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E87375" w14:textId="50DD5C1D" w:rsidR="00686096" w:rsidRPr="00EE3740" w:rsidRDefault="00195F1D" w:rsidP="00EE3740">
      <w:pPr>
        <w:spacing w:line="480" w:lineRule="auto"/>
        <w:rPr>
          <w:rFonts w:cs="Times"/>
          <w:b/>
          <w:bCs/>
          <w:szCs w:val="22"/>
          <w:lang w:val="en-US"/>
        </w:rPr>
      </w:pPr>
      <w:r w:rsidRPr="00EE3740">
        <w:rPr>
          <w:rFonts w:cs="Times"/>
          <w:b/>
          <w:bCs/>
          <w:szCs w:val="22"/>
          <w:lang w:val="en-US"/>
        </w:rPr>
        <w:t xml:space="preserve">Supplementary </w:t>
      </w:r>
      <w:r w:rsidR="00647441">
        <w:rPr>
          <w:rFonts w:cs="Times"/>
          <w:b/>
          <w:bCs/>
          <w:szCs w:val="22"/>
          <w:lang w:val="en-US"/>
        </w:rPr>
        <w:t>File</w:t>
      </w:r>
    </w:p>
    <w:p w14:paraId="1112E153" w14:textId="0519B584" w:rsidR="00A2031D" w:rsidRPr="00EE3740" w:rsidRDefault="00A2031D" w:rsidP="009E1BD2">
      <w:pPr>
        <w:snapToGrid w:val="0"/>
        <w:rPr>
          <w:rFonts w:cs="Times"/>
          <w:b/>
          <w:bCs/>
          <w:color w:val="000000" w:themeColor="text1"/>
          <w:sz w:val="26"/>
          <w:szCs w:val="26"/>
          <w:lang w:val="en-US"/>
        </w:rPr>
      </w:pPr>
      <w:r w:rsidRPr="00EE3740">
        <w:rPr>
          <w:rFonts w:cs="Times"/>
          <w:b/>
          <w:bCs/>
          <w:color w:val="000000" w:themeColor="text1"/>
          <w:sz w:val="26"/>
          <w:szCs w:val="26"/>
          <w:lang w:val="en-US"/>
        </w:rPr>
        <w:t xml:space="preserve">Gait-related cross-frequency coupling in the subthalamic nucleus of parkinsonian patients </w:t>
      </w:r>
    </w:p>
    <w:p w14:paraId="0C6F30EE" w14:textId="753DE9F3" w:rsidR="00A2031D" w:rsidRPr="00EE3740" w:rsidRDefault="00A2031D" w:rsidP="009E1BD2">
      <w:pPr>
        <w:rPr>
          <w:lang w:val="it-IT"/>
        </w:rPr>
      </w:pPr>
      <w:proofErr w:type="spellStart"/>
      <w:r w:rsidRPr="00EE3740">
        <w:rPr>
          <w:lang w:val="it-IT"/>
        </w:rPr>
        <w:t>AmirAli</w:t>
      </w:r>
      <w:proofErr w:type="spellEnd"/>
      <w:r w:rsidRPr="00EE3740">
        <w:rPr>
          <w:lang w:val="it-IT"/>
        </w:rPr>
        <w:t xml:space="preserve"> </w:t>
      </w:r>
      <w:proofErr w:type="spellStart"/>
      <w:r w:rsidRPr="00EE3740">
        <w:rPr>
          <w:lang w:val="it-IT"/>
        </w:rPr>
        <w:t>Farokhniaee</w:t>
      </w:r>
      <w:proofErr w:type="spellEnd"/>
      <w:r w:rsidRPr="00EE3740">
        <w:rPr>
          <w:lang w:val="it-IT"/>
        </w:rPr>
        <w:t xml:space="preserve">, Chiara Palmisano, Jasmin Del Vecchio Del Vecchio, Jens </w:t>
      </w:r>
      <w:proofErr w:type="spellStart"/>
      <w:r w:rsidRPr="00EE3740">
        <w:rPr>
          <w:lang w:val="it-IT"/>
        </w:rPr>
        <w:t>Volkmann</w:t>
      </w:r>
      <w:proofErr w:type="spellEnd"/>
      <w:r w:rsidRPr="00EE3740">
        <w:rPr>
          <w:lang w:val="it-IT"/>
        </w:rPr>
        <w:t>, and Ioannis U. Isaias</w:t>
      </w:r>
    </w:p>
    <w:p w14:paraId="1160E5E7" w14:textId="41BF3513" w:rsidR="00647441" w:rsidRPr="00EE3740" w:rsidRDefault="00EE3740" w:rsidP="00EE3740">
      <w:pPr>
        <w:rPr>
          <w:sz w:val="18"/>
          <w:szCs w:val="18"/>
          <w:lang w:val="en-US"/>
        </w:rPr>
      </w:pPr>
      <w:bookmarkStart w:id="0" w:name="_Hlk113442528"/>
      <w:r w:rsidRPr="00EE3740">
        <w:rPr>
          <w:b/>
          <w:bCs/>
          <w:sz w:val="18"/>
          <w:szCs w:val="18"/>
          <w:lang w:val="en-US"/>
        </w:rPr>
        <w:t xml:space="preserve">Abbreviations: </w:t>
      </w:r>
      <w:r w:rsidRPr="00EE3740">
        <w:rPr>
          <w:sz w:val="18"/>
          <w:szCs w:val="18"/>
          <w:lang w:val="en-US"/>
        </w:rPr>
        <w:t xml:space="preserve">LFP, local field potential; PAC, phase-amplitude coupling; </w:t>
      </w:r>
      <w:r w:rsidR="0020760C">
        <w:rPr>
          <w:sz w:val="18"/>
          <w:szCs w:val="18"/>
          <w:lang w:val="en-US"/>
        </w:rPr>
        <w:t>PSD, power spectral densit</w:t>
      </w:r>
      <w:r w:rsidR="00D660C9">
        <w:rPr>
          <w:sz w:val="18"/>
          <w:szCs w:val="18"/>
          <w:lang w:val="en-US"/>
        </w:rPr>
        <w:t>y</w:t>
      </w:r>
      <w:r w:rsidR="0020760C">
        <w:rPr>
          <w:sz w:val="18"/>
          <w:szCs w:val="18"/>
          <w:lang w:val="en-US"/>
        </w:rPr>
        <w:t xml:space="preserve">; </w:t>
      </w:r>
      <w:r w:rsidRPr="00EE3740">
        <w:rPr>
          <w:sz w:val="18"/>
          <w:szCs w:val="18"/>
          <w:lang w:val="en-US"/>
        </w:rPr>
        <w:t>S, standing; STN, subthalamic nucleus</w:t>
      </w:r>
      <w:r>
        <w:rPr>
          <w:sz w:val="18"/>
          <w:szCs w:val="18"/>
          <w:lang w:val="en-US"/>
        </w:rPr>
        <w:t xml:space="preserve"> </w:t>
      </w:r>
      <w:r>
        <w:rPr>
          <w:rFonts w:cstheme="majorBidi"/>
          <w:sz w:val="18"/>
          <w:szCs w:val="18"/>
          <w:lang w:val="en-US"/>
        </w:rPr>
        <w:t>(+/-, more or less</w:t>
      </w:r>
      <w:r w:rsidRPr="00E3258D">
        <w:rPr>
          <w:rFonts w:cstheme="majorBidi"/>
          <w:sz w:val="18"/>
          <w:szCs w:val="18"/>
          <w:lang w:val="en-US"/>
        </w:rPr>
        <w:t xml:space="preserve"> dopaminergic innervation</w:t>
      </w:r>
      <w:r>
        <w:rPr>
          <w:rFonts w:cstheme="majorBidi"/>
          <w:sz w:val="18"/>
          <w:szCs w:val="18"/>
          <w:lang w:val="en-US"/>
        </w:rPr>
        <w:t>)</w:t>
      </w:r>
      <w:r w:rsidRPr="00EE3740">
        <w:rPr>
          <w:sz w:val="18"/>
          <w:szCs w:val="18"/>
          <w:lang w:val="en-US"/>
        </w:rPr>
        <w:t>; W, walking.</w:t>
      </w:r>
      <w:bookmarkEnd w:id="0"/>
    </w:p>
    <w:p w14:paraId="5A76D367" w14:textId="2F6A2A7C" w:rsidR="00BD42CC" w:rsidRPr="0017738B" w:rsidRDefault="00A64479" w:rsidP="009E1BD2">
      <w:pPr>
        <w:pStyle w:val="Heading1"/>
        <w:rPr>
          <w:lang w:val="en-US"/>
        </w:rPr>
      </w:pPr>
      <w:r w:rsidRPr="0017738B">
        <w:rPr>
          <w:lang w:val="en-US"/>
        </w:rPr>
        <w:t>Power Spectral Densities</w:t>
      </w:r>
      <w:r w:rsidR="00BD42CC" w:rsidRPr="0017738B">
        <w:rPr>
          <w:lang w:val="en-US"/>
        </w:rPr>
        <w:t xml:space="preserve"> </w:t>
      </w:r>
    </w:p>
    <w:p w14:paraId="03E8518E" w14:textId="1F762565" w:rsidR="005E5771" w:rsidRPr="00EE3740" w:rsidRDefault="001B5B02" w:rsidP="009E1BD2">
      <w:pPr>
        <w:rPr>
          <w:lang w:val="en-US"/>
        </w:rPr>
      </w:pPr>
      <w:r w:rsidRPr="00EE3740">
        <w:rPr>
          <w:lang w:val="en-US"/>
        </w:rPr>
        <w:t>The total</w:t>
      </w:r>
      <w:r w:rsidR="00A64479" w:rsidRPr="00EE3740">
        <w:t xml:space="preserve"> PSDs </w:t>
      </w:r>
      <w:r w:rsidRPr="00EE3740">
        <w:rPr>
          <w:lang w:val="en-US"/>
        </w:rPr>
        <w:t>for each patient and state were computed and the results are presented in Figures S</w:t>
      </w:r>
      <w:r w:rsidR="005B539F" w:rsidRPr="00EE3740">
        <w:rPr>
          <w:lang w:val="en-US"/>
        </w:rPr>
        <w:t>1</w:t>
      </w:r>
      <w:r w:rsidRPr="00EE3740">
        <w:rPr>
          <w:lang w:val="en-US"/>
        </w:rPr>
        <w:t xml:space="preserve"> and S</w:t>
      </w:r>
      <w:r w:rsidR="005B539F" w:rsidRPr="00EE3740">
        <w:rPr>
          <w:lang w:val="en-US"/>
        </w:rPr>
        <w:t>2</w:t>
      </w:r>
      <w:r w:rsidRPr="00EE3740">
        <w:rPr>
          <w:lang w:val="en-US"/>
        </w:rPr>
        <w:t xml:space="preserve"> for </w:t>
      </w:r>
      <w:r w:rsidR="00244DE7">
        <w:rPr>
          <w:lang w:val="en-US"/>
        </w:rPr>
        <w:t>the</w:t>
      </w:r>
      <w:r w:rsidR="00244DE7" w:rsidRPr="00EE3740">
        <w:rPr>
          <w:lang w:val="en-US"/>
        </w:rPr>
        <w:t xml:space="preserve"> </w:t>
      </w:r>
      <w:r w:rsidRPr="00EE3740">
        <w:rPr>
          <w:lang w:val="en-US"/>
        </w:rPr>
        <w:t>STN</w:t>
      </w:r>
      <w:r w:rsidR="000C4637" w:rsidRPr="00EE3740">
        <w:rPr>
          <w:lang w:val="en-US"/>
        </w:rPr>
        <w:t>- and STN+</w:t>
      </w:r>
      <w:r w:rsidRPr="00EE3740">
        <w:rPr>
          <w:lang w:val="en-US"/>
        </w:rPr>
        <w:t xml:space="preserve"> group, respectively</w:t>
      </w:r>
      <w:r w:rsidR="000C4637" w:rsidRPr="00EE3740">
        <w:rPr>
          <w:lang w:val="en-US"/>
        </w:rPr>
        <w:t>.</w:t>
      </w:r>
      <w:r w:rsidR="005E5771" w:rsidRPr="00EE3740">
        <w:rPr>
          <w:lang w:val="en-US"/>
        </w:rPr>
        <w:t xml:space="preserve"> For each of the subplots (top and middle rows) in </w:t>
      </w:r>
      <w:r w:rsidR="00647441">
        <w:rPr>
          <w:lang w:val="en-US"/>
        </w:rPr>
        <w:t>F</w:t>
      </w:r>
      <w:r w:rsidR="005E5771" w:rsidRPr="00EE3740">
        <w:rPr>
          <w:lang w:val="en-US"/>
        </w:rPr>
        <w:t>igure</w:t>
      </w:r>
      <w:r w:rsidR="00647441">
        <w:rPr>
          <w:lang w:val="en-US"/>
        </w:rPr>
        <w:t>s</w:t>
      </w:r>
      <w:r w:rsidR="005E5771" w:rsidRPr="00EE3740">
        <w:rPr>
          <w:lang w:val="en-US"/>
        </w:rPr>
        <w:t xml:space="preserve"> S1 and S2, the PSD of 100 epochs for 20 seconds </w:t>
      </w:r>
      <w:r w:rsidR="00647441">
        <w:rPr>
          <w:lang w:val="en-US"/>
        </w:rPr>
        <w:t>were</w:t>
      </w:r>
      <w:r w:rsidR="00647441" w:rsidRPr="00EE3740">
        <w:rPr>
          <w:lang w:val="en-US"/>
        </w:rPr>
        <w:t xml:space="preserve"> </w:t>
      </w:r>
      <w:r w:rsidR="005E5771" w:rsidRPr="00EE3740">
        <w:rPr>
          <w:lang w:val="en-US"/>
        </w:rPr>
        <w:t xml:space="preserve">computed (dashed magenta for standing and dashed cyan for walking) and the average of these 100 trials </w:t>
      </w:r>
      <w:r w:rsidR="00647441">
        <w:rPr>
          <w:lang w:val="en-US"/>
        </w:rPr>
        <w:t>were</w:t>
      </w:r>
      <w:r w:rsidR="00647441" w:rsidRPr="00EE3740">
        <w:rPr>
          <w:lang w:val="en-US"/>
        </w:rPr>
        <w:t xml:space="preserve"> </w:t>
      </w:r>
      <w:r w:rsidR="005E5771" w:rsidRPr="00EE3740">
        <w:rPr>
          <w:lang w:val="en-US"/>
        </w:rPr>
        <w:t>plotted in a thick line (red for standing, blue for walking). The</w:t>
      </w:r>
      <w:r w:rsidR="00647441">
        <w:rPr>
          <w:lang w:val="en-US"/>
        </w:rPr>
        <w:t>se</w:t>
      </w:r>
      <w:r w:rsidR="005E5771" w:rsidRPr="00EE3740">
        <w:rPr>
          <w:lang w:val="en-US"/>
        </w:rPr>
        <w:t xml:space="preserve"> are normalized to the total integral of the PSD. Note that this is done on the concatenated LFPs. The subplots at the bottom are repetitions of all </w:t>
      </w:r>
      <w:r w:rsidR="00647441">
        <w:rPr>
          <w:lang w:val="en-US"/>
        </w:rPr>
        <w:t xml:space="preserve">the </w:t>
      </w:r>
      <w:r w:rsidR="005E5771" w:rsidRPr="00EE3740">
        <w:rPr>
          <w:lang w:val="en-US"/>
        </w:rPr>
        <w:t xml:space="preserve">mean </w:t>
      </w:r>
      <w:r w:rsidR="00647441">
        <w:rPr>
          <w:lang w:val="en-US"/>
        </w:rPr>
        <w:t xml:space="preserve">patient </w:t>
      </w:r>
      <w:r w:rsidR="005E5771" w:rsidRPr="00EE3740">
        <w:rPr>
          <w:lang w:val="en-US"/>
        </w:rPr>
        <w:t>PSDs during standing and walking, red and blue (dashed), respectively</w:t>
      </w:r>
      <w:r w:rsidR="00647441">
        <w:rPr>
          <w:lang w:val="en-US"/>
        </w:rPr>
        <w:t>,</w:t>
      </w:r>
      <w:r w:rsidR="005E5771" w:rsidRPr="00EE3740">
        <w:rPr>
          <w:lang w:val="en-US"/>
        </w:rPr>
        <w:t xml:space="preserve"> and their overall mean (thick red and blue lines).</w:t>
      </w:r>
    </w:p>
    <w:p w14:paraId="7EE53A0B" w14:textId="74E78063" w:rsidR="009E1BD2" w:rsidRPr="00EE3740" w:rsidRDefault="009E1BD2" w:rsidP="009E1BD2">
      <w:pPr>
        <w:rPr>
          <w:lang w:val="en-US"/>
        </w:rPr>
      </w:pPr>
      <w:r w:rsidRPr="009E1BD2">
        <w:rPr>
          <w:b/>
          <w:bCs/>
          <w:lang w:val="en-US"/>
        </w:rPr>
        <w:t>Figure S1.</w:t>
      </w:r>
      <w:r w:rsidRPr="00EE3740">
        <w:rPr>
          <w:lang w:val="en-US"/>
        </w:rPr>
        <w:t xml:space="preserve"> Top and middle rows: </w:t>
      </w:r>
      <w:r>
        <w:rPr>
          <w:lang w:val="en-US"/>
        </w:rPr>
        <w:t>t</w:t>
      </w:r>
      <w:r w:rsidRPr="00EE3740">
        <w:rPr>
          <w:lang w:val="en-US"/>
        </w:rPr>
        <w:t>he PSDs for individual subjects in</w:t>
      </w:r>
      <w:r>
        <w:rPr>
          <w:lang w:val="en-US"/>
        </w:rPr>
        <w:t xml:space="preserve"> the</w:t>
      </w:r>
      <w:r w:rsidRPr="00EE3740">
        <w:rPr>
          <w:lang w:val="en-US"/>
        </w:rPr>
        <w:t xml:space="preserve"> STN- group. Bottom row: </w:t>
      </w:r>
      <w:r>
        <w:rPr>
          <w:lang w:val="en-US"/>
        </w:rPr>
        <w:t>t</w:t>
      </w:r>
      <w:r w:rsidRPr="00EE3740">
        <w:rPr>
          <w:lang w:val="en-US"/>
        </w:rPr>
        <w:t xml:space="preserve">he mean PSDs for </w:t>
      </w:r>
      <w:r>
        <w:rPr>
          <w:lang w:val="en-US"/>
        </w:rPr>
        <w:t xml:space="preserve">the </w:t>
      </w:r>
      <w:r w:rsidRPr="00EE3740">
        <w:rPr>
          <w:lang w:val="en-US"/>
        </w:rPr>
        <w:t xml:space="preserve">STN- LFPs and the grand average </w:t>
      </w:r>
      <w:r>
        <w:rPr>
          <w:lang w:val="en-US"/>
        </w:rPr>
        <w:t>for</w:t>
      </w:r>
      <w:r w:rsidRPr="00EE3740">
        <w:rPr>
          <w:lang w:val="en-US"/>
        </w:rPr>
        <w:t xml:space="preserve"> all patients (bold lines, red for standing and blue for walking states).</w:t>
      </w:r>
    </w:p>
    <w:p w14:paraId="1F6CA7FA" w14:textId="35EB5258" w:rsidR="00A64479" w:rsidRPr="00EE3740" w:rsidRDefault="00C72499" w:rsidP="00237ECF">
      <w:r w:rsidRPr="00EE3740">
        <w:rPr>
          <w:noProof/>
        </w:rPr>
        <w:drawing>
          <wp:inline distT="0" distB="0" distL="0" distR="0" wp14:anchorId="1FC2DD07" wp14:editId="6A42FE14">
            <wp:extent cx="5731510" cy="3385185"/>
            <wp:effectExtent l="0" t="0" r="0" b="571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85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D42265" w14:textId="3D775A36" w:rsidR="009E1BD2" w:rsidRPr="00EE3740" w:rsidRDefault="009E1BD2" w:rsidP="009E1BD2">
      <w:pPr>
        <w:rPr>
          <w:lang w:val="en-US"/>
        </w:rPr>
      </w:pPr>
      <w:r w:rsidRPr="009E1BD2">
        <w:rPr>
          <w:b/>
          <w:bCs/>
          <w:lang w:val="en-US"/>
        </w:rPr>
        <w:lastRenderedPageBreak/>
        <w:t>Figure S2.</w:t>
      </w:r>
      <w:r w:rsidRPr="00EE3740">
        <w:rPr>
          <w:lang w:val="en-US"/>
        </w:rPr>
        <w:t xml:space="preserve"> Top and middle rows: </w:t>
      </w:r>
      <w:r>
        <w:rPr>
          <w:lang w:val="en-US"/>
        </w:rPr>
        <w:t>t</w:t>
      </w:r>
      <w:r w:rsidRPr="00EE3740">
        <w:rPr>
          <w:lang w:val="en-US"/>
        </w:rPr>
        <w:t>he PSDs for individual subjects in</w:t>
      </w:r>
      <w:r w:rsidR="00237ECF">
        <w:rPr>
          <w:lang w:val="en-US"/>
        </w:rPr>
        <w:t xml:space="preserve"> the</w:t>
      </w:r>
      <w:r w:rsidRPr="00EE3740">
        <w:rPr>
          <w:lang w:val="en-US"/>
        </w:rPr>
        <w:t xml:space="preserve"> STN+ group. Bottom row: </w:t>
      </w:r>
      <w:r w:rsidR="00237ECF">
        <w:rPr>
          <w:lang w:val="en-US"/>
        </w:rPr>
        <w:t>t</w:t>
      </w:r>
      <w:r w:rsidRPr="00EE3740">
        <w:rPr>
          <w:lang w:val="en-US"/>
        </w:rPr>
        <w:t xml:space="preserve">he mean PSDs for </w:t>
      </w:r>
      <w:r w:rsidR="00237ECF">
        <w:rPr>
          <w:lang w:val="en-US"/>
        </w:rPr>
        <w:t xml:space="preserve">the </w:t>
      </w:r>
      <w:r w:rsidRPr="00EE3740">
        <w:rPr>
          <w:lang w:val="en-US"/>
        </w:rPr>
        <w:t xml:space="preserve">STN+ LFPs and the grand average </w:t>
      </w:r>
      <w:r w:rsidR="00237ECF">
        <w:rPr>
          <w:lang w:val="en-US"/>
        </w:rPr>
        <w:t>for</w:t>
      </w:r>
      <w:r w:rsidRPr="00EE3740">
        <w:rPr>
          <w:lang w:val="en-US"/>
        </w:rPr>
        <w:t xml:space="preserve"> all patients (bold lines, red for standing and blue for walking states).</w:t>
      </w:r>
    </w:p>
    <w:p w14:paraId="06769520" w14:textId="33753A76" w:rsidR="00C0601F" w:rsidRPr="00EE3740" w:rsidRDefault="00C72499" w:rsidP="00237ECF">
      <w:pPr>
        <w:rPr>
          <w:lang w:val="en-US"/>
        </w:rPr>
      </w:pPr>
      <w:r w:rsidRPr="00EE3740">
        <w:rPr>
          <w:noProof/>
          <w:lang w:val="en-US"/>
        </w:rPr>
        <w:drawing>
          <wp:inline distT="0" distB="0" distL="0" distR="0" wp14:anchorId="335083EE" wp14:editId="642D6B7E">
            <wp:extent cx="5731510" cy="339598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95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80B1BA" w14:textId="51F1B317" w:rsidR="00A64479" w:rsidRPr="0017738B" w:rsidRDefault="00A64479" w:rsidP="00237ECF">
      <w:pPr>
        <w:pStyle w:val="Heading1"/>
        <w:rPr>
          <w:lang w:val="en-US"/>
        </w:rPr>
      </w:pPr>
      <w:r w:rsidRPr="0017738B">
        <w:rPr>
          <w:lang w:val="en-US"/>
        </w:rPr>
        <w:t xml:space="preserve">Band </w:t>
      </w:r>
      <w:r w:rsidR="007A7BED" w:rsidRPr="0017738B">
        <w:rPr>
          <w:lang w:val="en-US"/>
        </w:rPr>
        <w:t>p</w:t>
      </w:r>
      <w:r w:rsidRPr="0017738B">
        <w:rPr>
          <w:lang w:val="en-US"/>
        </w:rPr>
        <w:t>ower distributions in different rhythms</w:t>
      </w:r>
    </w:p>
    <w:p w14:paraId="692F0C8D" w14:textId="2E5CE60F" w:rsidR="00A64479" w:rsidRPr="00EE3740" w:rsidRDefault="00A64479" w:rsidP="00BC2D73">
      <w:pPr>
        <w:rPr>
          <w:lang w:val="en-US"/>
        </w:rPr>
      </w:pPr>
      <w:r w:rsidRPr="00EE3740">
        <w:rPr>
          <w:lang w:val="en-US"/>
        </w:rPr>
        <w:t xml:space="preserve">We </w:t>
      </w:r>
      <w:r w:rsidRPr="00EE3740">
        <w:t>computed the alpha</w:t>
      </w:r>
      <w:r w:rsidRPr="00EE3740">
        <w:rPr>
          <w:lang w:val="en-US"/>
        </w:rPr>
        <w:t xml:space="preserve"> (5-1</w:t>
      </w:r>
      <w:r w:rsidR="00B30DD6" w:rsidRPr="00EE3740">
        <w:rPr>
          <w:lang w:val="en-US"/>
        </w:rPr>
        <w:t>2</w:t>
      </w:r>
      <w:r w:rsidRPr="00EE3740">
        <w:rPr>
          <w:lang w:val="en-US"/>
        </w:rPr>
        <w:t xml:space="preserve"> Hz)</w:t>
      </w:r>
      <w:r w:rsidRPr="00EE3740">
        <w:t xml:space="preserve">, beta </w:t>
      </w:r>
      <w:r w:rsidRPr="00EE3740">
        <w:rPr>
          <w:lang w:val="en-US"/>
        </w:rPr>
        <w:t>(13-30 Hz</w:t>
      </w:r>
      <w:r w:rsidR="008E1911" w:rsidRPr="00EE3740">
        <w:rPr>
          <w:lang w:val="en-US"/>
        </w:rPr>
        <w:t>)</w:t>
      </w:r>
      <w:r w:rsidR="002366B9">
        <w:rPr>
          <w:lang w:val="en-US"/>
        </w:rPr>
        <w:t>,</w:t>
      </w:r>
      <w:r w:rsidR="005A63CC" w:rsidRPr="00EE3740">
        <w:rPr>
          <w:lang w:val="en-US"/>
        </w:rPr>
        <w:t xml:space="preserve"> </w:t>
      </w:r>
      <w:r w:rsidRPr="00EE3740">
        <w:t xml:space="preserve">and gamma </w:t>
      </w:r>
      <w:r w:rsidRPr="00EE3740">
        <w:rPr>
          <w:lang w:val="en-US"/>
        </w:rPr>
        <w:t>(</w:t>
      </w:r>
      <w:r w:rsidR="00A0259B" w:rsidRPr="00EE3740">
        <w:rPr>
          <w:lang w:val="en-US"/>
        </w:rPr>
        <w:t>40</w:t>
      </w:r>
      <w:r w:rsidRPr="00EE3740">
        <w:rPr>
          <w:lang w:val="en-US"/>
        </w:rPr>
        <w:t xml:space="preserve">-100 Hz) </w:t>
      </w:r>
      <w:r w:rsidRPr="00EE3740">
        <w:t>powers (normalized with respect to the total LFP power from 5 to 100 Hz) and plotted their distributions</w:t>
      </w:r>
      <w:r w:rsidRPr="00EE3740">
        <w:rPr>
          <w:lang w:val="en-US"/>
        </w:rPr>
        <w:t>. In addition, we divided the beta band to low (13-20 Hz) and high bands (2</w:t>
      </w:r>
      <w:r w:rsidR="00B30DD6" w:rsidRPr="00EE3740">
        <w:rPr>
          <w:lang w:val="en-US"/>
        </w:rPr>
        <w:t>1</w:t>
      </w:r>
      <w:r w:rsidRPr="00EE3740">
        <w:rPr>
          <w:lang w:val="en-US"/>
        </w:rPr>
        <w:t xml:space="preserve">-30 Hz) to check </w:t>
      </w:r>
      <w:r w:rsidR="002366B9">
        <w:rPr>
          <w:lang w:val="en-US"/>
        </w:rPr>
        <w:t>whether</w:t>
      </w:r>
      <w:r w:rsidR="002366B9" w:rsidRPr="00EE3740">
        <w:rPr>
          <w:lang w:val="en-US"/>
        </w:rPr>
        <w:t xml:space="preserve"> </w:t>
      </w:r>
      <w:r w:rsidRPr="00EE3740">
        <w:rPr>
          <w:lang w:val="en-US"/>
        </w:rPr>
        <w:t xml:space="preserve">there </w:t>
      </w:r>
      <w:r w:rsidR="002366B9">
        <w:rPr>
          <w:lang w:val="en-US"/>
        </w:rPr>
        <w:t xml:space="preserve">would be </w:t>
      </w:r>
      <w:r w:rsidRPr="00EE3740">
        <w:rPr>
          <w:lang w:val="en-US"/>
        </w:rPr>
        <w:t>a change in</w:t>
      </w:r>
      <w:r w:rsidR="002366B9">
        <w:rPr>
          <w:lang w:val="en-US"/>
        </w:rPr>
        <w:t xml:space="preserve"> the</w:t>
      </w:r>
      <w:r w:rsidRPr="00EE3740">
        <w:rPr>
          <w:lang w:val="en-US"/>
        </w:rPr>
        <w:t xml:space="preserve"> smaller ranges of beta</w:t>
      </w:r>
      <w:r w:rsidR="002366B9">
        <w:rPr>
          <w:lang w:val="en-US"/>
        </w:rPr>
        <w:t>-</w:t>
      </w:r>
      <w:r w:rsidR="008E1911" w:rsidRPr="00EE3740">
        <w:rPr>
          <w:lang w:val="en-US"/>
        </w:rPr>
        <w:t xml:space="preserve">band </w:t>
      </w:r>
      <w:r w:rsidRPr="00EE3740">
        <w:rPr>
          <w:lang w:val="en-US"/>
        </w:rPr>
        <w:t>rhythm.</w:t>
      </w:r>
      <w:r w:rsidRPr="00EE3740">
        <w:t xml:space="preserve"> </w:t>
      </w:r>
      <w:r w:rsidR="00365258">
        <w:t>No</w:t>
      </w:r>
      <w:r w:rsidRPr="00EE3740">
        <w:rPr>
          <w:lang w:val="en-US"/>
        </w:rPr>
        <w:t xml:space="preserve"> significant difference</w:t>
      </w:r>
      <w:r w:rsidR="00365258">
        <w:rPr>
          <w:lang w:val="en-US"/>
        </w:rPr>
        <w:t>s</w:t>
      </w:r>
      <w:r w:rsidRPr="00EE3740">
        <w:rPr>
          <w:lang w:val="en-US"/>
        </w:rPr>
        <w:t xml:space="preserve"> between the </w:t>
      </w:r>
      <w:r w:rsidR="0026636D" w:rsidRPr="00EE3740">
        <w:rPr>
          <w:lang w:val="en-US"/>
        </w:rPr>
        <w:t>me</w:t>
      </w:r>
      <w:r w:rsidRPr="00EE3740">
        <w:rPr>
          <w:lang w:val="en-US"/>
        </w:rPr>
        <w:t xml:space="preserve">an of the standing and walking state distributions </w:t>
      </w:r>
      <w:proofErr w:type="gramStart"/>
      <w:r w:rsidRPr="00EE3740">
        <w:rPr>
          <w:lang w:val="en-US"/>
        </w:rPr>
        <w:t>was</w:t>
      </w:r>
      <w:proofErr w:type="gramEnd"/>
      <w:r w:rsidR="002366B9">
        <w:rPr>
          <w:lang w:val="en-US"/>
        </w:rPr>
        <w:t xml:space="preserve"> </w:t>
      </w:r>
      <w:r w:rsidRPr="00EE3740">
        <w:rPr>
          <w:lang w:val="en-US"/>
        </w:rPr>
        <w:t>seen</w:t>
      </w:r>
      <w:r w:rsidRPr="00EE3740">
        <w:t xml:space="preserve"> </w:t>
      </w:r>
      <w:r w:rsidR="002366B9">
        <w:t>in any case (</w:t>
      </w:r>
      <w:r w:rsidR="0026636D" w:rsidRPr="00EE3740">
        <w:rPr>
          <w:lang w:val="en-US"/>
        </w:rPr>
        <w:t>Kruskal-Wallis test</w:t>
      </w:r>
      <w:r w:rsidR="002366B9">
        <w:rPr>
          <w:lang w:val="en-US"/>
        </w:rPr>
        <w:t>)</w:t>
      </w:r>
      <w:r w:rsidR="0026636D" w:rsidRPr="00EE3740">
        <w:rPr>
          <w:lang w:val="en-US"/>
        </w:rPr>
        <w:t>.</w:t>
      </w:r>
      <w:r w:rsidR="005A63CC" w:rsidRPr="00EE3740">
        <w:rPr>
          <w:lang w:val="en-US"/>
        </w:rPr>
        <w:t xml:space="preserve"> </w:t>
      </w:r>
    </w:p>
    <w:p w14:paraId="46DFB4AD" w14:textId="3CF2AACF" w:rsidR="00237ECF" w:rsidRPr="00EE3740" w:rsidRDefault="00237ECF" w:rsidP="00237ECF">
      <w:pPr>
        <w:rPr>
          <w:lang w:val="en-US"/>
        </w:rPr>
      </w:pPr>
      <w:r w:rsidRPr="00237ECF">
        <w:rPr>
          <w:b/>
          <w:bCs/>
          <w:lang w:val="en-US"/>
        </w:rPr>
        <w:t>Figure S3.</w:t>
      </w:r>
      <w:r w:rsidRPr="00EE3740">
        <w:rPr>
          <w:lang w:val="en-US"/>
        </w:rPr>
        <w:t xml:space="preserve"> (A) alpha (p=0.17), (B) beta (p=0.4), (C) low-beta (p=0.46), (D) high-beta (p=0.3), and (E) gamma</w:t>
      </w:r>
      <w:r w:rsidR="0083315F">
        <w:rPr>
          <w:lang w:val="en-US"/>
        </w:rPr>
        <w:t>-</w:t>
      </w:r>
      <w:r w:rsidRPr="00EE3740">
        <w:rPr>
          <w:lang w:val="en-US"/>
        </w:rPr>
        <w:t>band power (p=0.6) distributions during standing and walking states for</w:t>
      </w:r>
      <w:r w:rsidR="0083315F">
        <w:rPr>
          <w:lang w:val="en-US"/>
        </w:rPr>
        <w:t xml:space="preserve"> the</w:t>
      </w:r>
      <w:r w:rsidRPr="00EE3740">
        <w:rPr>
          <w:lang w:val="en-US"/>
        </w:rPr>
        <w:t xml:space="preserve"> STN- group.</w:t>
      </w:r>
    </w:p>
    <w:p w14:paraId="501889DD" w14:textId="67A52F86" w:rsidR="000B1ABA" w:rsidRPr="00EE3740" w:rsidRDefault="006E507C" w:rsidP="00237ECF">
      <w:r w:rsidRPr="00EE3740">
        <w:rPr>
          <w:noProof/>
        </w:rPr>
        <w:drawing>
          <wp:inline distT="0" distB="0" distL="0" distR="0" wp14:anchorId="471D20EA" wp14:editId="45747028">
            <wp:extent cx="5731510" cy="152908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52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1BBB27" w14:textId="77777777" w:rsidR="00425320" w:rsidRDefault="00425320">
      <w:pPr>
        <w:spacing w:after="0" w:line="240" w:lineRule="auto"/>
        <w:rPr>
          <w:b/>
          <w:bCs/>
          <w:lang w:val="en-US"/>
        </w:rPr>
      </w:pPr>
      <w:r>
        <w:rPr>
          <w:b/>
          <w:bCs/>
          <w:lang w:val="en-US"/>
        </w:rPr>
        <w:br w:type="page"/>
      </w:r>
    </w:p>
    <w:p w14:paraId="443A1E6D" w14:textId="448FAD7A" w:rsidR="00BC2D73" w:rsidRPr="00EE3740" w:rsidRDefault="00BC2D73" w:rsidP="00BC2D73">
      <w:pPr>
        <w:rPr>
          <w:lang w:val="en-US"/>
        </w:rPr>
      </w:pPr>
      <w:r w:rsidRPr="00237ECF">
        <w:rPr>
          <w:b/>
          <w:bCs/>
          <w:lang w:val="en-US"/>
        </w:rPr>
        <w:lastRenderedPageBreak/>
        <w:t>Figure S4.</w:t>
      </w:r>
      <w:r w:rsidRPr="00EE3740">
        <w:rPr>
          <w:lang w:val="en-US"/>
        </w:rPr>
        <w:t xml:space="preserve"> (A) alpha (p=0.67), (B) beta (p=0.75), (C) low-beta (p=0.46), (D) high-beta (p=0.29), and (E) gamma</w:t>
      </w:r>
      <w:r w:rsidR="00F46006">
        <w:rPr>
          <w:lang w:val="en-US"/>
        </w:rPr>
        <w:t>-</w:t>
      </w:r>
      <w:r w:rsidRPr="00EE3740">
        <w:rPr>
          <w:lang w:val="en-US"/>
        </w:rPr>
        <w:t xml:space="preserve">band power (p=0.34) distributions during standing and walking states for </w:t>
      </w:r>
      <w:r w:rsidR="00381946">
        <w:rPr>
          <w:lang w:val="en-US"/>
        </w:rPr>
        <w:t xml:space="preserve">the </w:t>
      </w:r>
      <w:r w:rsidRPr="00EE3740">
        <w:rPr>
          <w:lang w:val="en-US"/>
        </w:rPr>
        <w:t>STN+ group.</w:t>
      </w:r>
    </w:p>
    <w:p w14:paraId="54B17627" w14:textId="3968C895" w:rsidR="00BD42CC" w:rsidRPr="00EE3740" w:rsidRDefault="006E507C" w:rsidP="00465B55">
      <w:pPr>
        <w:spacing w:after="600"/>
        <w:rPr>
          <w:lang w:val="en-US"/>
        </w:rPr>
      </w:pPr>
      <w:r w:rsidRPr="00EE3740">
        <w:rPr>
          <w:noProof/>
          <w:lang w:val="en-US"/>
        </w:rPr>
        <w:drawing>
          <wp:inline distT="0" distB="0" distL="0" distR="0" wp14:anchorId="67F3BEF3" wp14:editId="2265B5D1">
            <wp:extent cx="5731510" cy="152908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52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24B547" w14:textId="56FEF8D6" w:rsidR="00FD7462" w:rsidRPr="00EE3740" w:rsidRDefault="001C30D3" w:rsidP="0017738B">
      <w:pPr>
        <w:rPr>
          <w:rFonts w:cs="Times"/>
          <w:b/>
          <w:bCs/>
          <w:i/>
          <w:iCs/>
          <w:szCs w:val="22"/>
          <w:lang w:val="en-US"/>
        </w:rPr>
      </w:pPr>
      <w:r w:rsidRPr="00BC2D73">
        <w:rPr>
          <w:b/>
          <w:bCs/>
          <w:lang w:val="en-US"/>
        </w:rPr>
        <w:t>Figure S5</w:t>
      </w:r>
      <w:r w:rsidR="00490FB6" w:rsidRPr="00BC2D73">
        <w:rPr>
          <w:b/>
          <w:bCs/>
          <w:lang w:val="en-US"/>
        </w:rPr>
        <w:t>.</w:t>
      </w:r>
      <w:r w:rsidR="00490FB6" w:rsidRPr="00EE3740">
        <w:rPr>
          <w:lang w:val="en-US"/>
        </w:rPr>
        <w:t xml:space="preserve"> </w:t>
      </w:r>
      <w:r w:rsidR="00F1444D" w:rsidRPr="00EE3740">
        <w:rPr>
          <w:lang w:val="en-US"/>
        </w:rPr>
        <w:t xml:space="preserve">Individual PAC diagrams in </w:t>
      </w:r>
      <w:r w:rsidR="006A3CDA">
        <w:rPr>
          <w:lang w:val="en-US"/>
        </w:rPr>
        <w:t xml:space="preserve">the </w:t>
      </w:r>
      <w:r w:rsidR="00F1444D" w:rsidRPr="00EE3740">
        <w:rPr>
          <w:lang w:val="en-US"/>
        </w:rPr>
        <w:t>standing and walking states</w:t>
      </w:r>
      <w:r w:rsidR="006A3CDA">
        <w:rPr>
          <w:lang w:val="en-US"/>
        </w:rPr>
        <w:t>.</w:t>
      </w:r>
    </w:p>
    <w:p w14:paraId="4B498085" w14:textId="3B8066EE" w:rsidR="00FD7462" w:rsidRPr="00286165" w:rsidRDefault="00FD7462" w:rsidP="00A01F59">
      <w:pPr>
        <w:spacing w:after="0" w:line="240" w:lineRule="auto"/>
        <w:rPr>
          <w:b/>
          <w:bCs/>
          <w:i/>
          <w:iCs/>
          <w:lang w:val="en-US"/>
        </w:rPr>
      </w:pPr>
      <w:r w:rsidRPr="00286165">
        <w:rPr>
          <w:b/>
          <w:bCs/>
          <w:i/>
          <w:iCs/>
          <w:lang w:val="en-US"/>
        </w:rPr>
        <w:t>WUE02</w:t>
      </w:r>
    </w:p>
    <w:p w14:paraId="1878B8E4" w14:textId="5EA44005" w:rsidR="00F02971" w:rsidRPr="00A01F59" w:rsidRDefault="00F02971" w:rsidP="00A01F59">
      <w:pPr>
        <w:spacing w:after="0" w:line="240" w:lineRule="auto"/>
        <w:rPr>
          <w:b/>
          <w:bCs/>
          <w:i/>
          <w:iCs/>
          <w:lang w:val="en-US"/>
        </w:rPr>
      </w:pPr>
      <w:r w:rsidRPr="00A01F59">
        <w:rPr>
          <w:b/>
          <w:bCs/>
          <w:i/>
          <w:iCs/>
          <w:noProof/>
          <w:lang w:val="en-US"/>
        </w:rPr>
        <w:drawing>
          <wp:inline distT="0" distB="0" distL="0" distR="0" wp14:anchorId="5DEECEB3" wp14:editId="0EFE5D7B">
            <wp:extent cx="6120000" cy="3507503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35075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9D88FD" w14:textId="77777777" w:rsidR="00432D85" w:rsidRDefault="00432D85">
      <w:pPr>
        <w:spacing w:after="0" w:line="240" w:lineRule="auto"/>
        <w:rPr>
          <w:b/>
          <w:bCs/>
          <w:i/>
          <w:iCs/>
          <w:lang w:val="en-US"/>
        </w:rPr>
      </w:pPr>
      <w:r>
        <w:rPr>
          <w:b/>
          <w:bCs/>
          <w:i/>
          <w:iCs/>
          <w:lang w:val="en-US"/>
        </w:rPr>
        <w:br w:type="page"/>
      </w:r>
    </w:p>
    <w:p w14:paraId="4567639D" w14:textId="11B79A0C" w:rsidR="00F02971" w:rsidRPr="00286165" w:rsidRDefault="00FD7462" w:rsidP="00A01F59">
      <w:pPr>
        <w:spacing w:after="0" w:line="240" w:lineRule="auto"/>
        <w:rPr>
          <w:b/>
          <w:bCs/>
          <w:i/>
          <w:iCs/>
          <w:lang w:val="en-US"/>
        </w:rPr>
      </w:pPr>
      <w:r w:rsidRPr="00286165">
        <w:rPr>
          <w:b/>
          <w:bCs/>
          <w:i/>
          <w:iCs/>
          <w:lang w:val="en-US"/>
        </w:rPr>
        <w:lastRenderedPageBreak/>
        <w:t>WUE03</w:t>
      </w:r>
    </w:p>
    <w:p w14:paraId="149F6F12" w14:textId="17182D21" w:rsidR="00F02971" w:rsidRPr="00A01F59" w:rsidRDefault="00F02971" w:rsidP="00A01F59">
      <w:pPr>
        <w:spacing w:after="0" w:line="240" w:lineRule="auto"/>
        <w:rPr>
          <w:b/>
          <w:bCs/>
          <w:i/>
          <w:iCs/>
          <w:lang w:val="en-US"/>
        </w:rPr>
      </w:pPr>
      <w:r w:rsidRPr="00A01F59">
        <w:rPr>
          <w:b/>
          <w:bCs/>
          <w:i/>
          <w:iCs/>
          <w:noProof/>
          <w:lang w:val="en-US"/>
        </w:rPr>
        <w:drawing>
          <wp:inline distT="0" distB="0" distL="0" distR="0" wp14:anchorId="411AE1A8" wp14:editId="782AB678">
            <wp:extent cx="6120000" cy="3507507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35075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67B809" w14:textId="5E38ED96" w:rsidR="00FD7462" w:rsidRPr="00286165" w:rsidRDefault="00FD7462" w:rsidP="00A01F59">
      <w:pPr>
        <w:spacing w:after="0" w:line="240" w:lineRule="auto"/>
        <w:rPr>
          <w:b/>
          <w:bCs/>
          <w:i/>
          <w:iCs/>
          <w:lang w:val="en-US"/>
        </w:rPr>
      </w:pPr>
      <w:r w:rsidRPr="00286165">
        <w:rPr>
          <w:b/>
          <w:bCs/>
          <w:i/>
          <w:iCs/>
          <w:lang w:val="en-US"/>
        </w:rPr>
        <w:t>WUE04</w:t>
      </w:r>
    </w:p>
    <w:p w14:paraId="0BE089F3" w14:textId="0AAA80B3" w:rsidR="00F02971" w:rsidRPr="00A01F59" w:rsidRDefault="00F02971" w:rsidP="00A01F59">
      <w:pPr>
        <w:spacing w:after="0" w:line="240" w:lineRule="auto"/>
        <w:rPr>
          <w:b/>
          <w:bCs/>
          <w:i/>
          <w:iCs/>
          <w:lang w:val="en-US"/>
        </w:rPr>
      </w:pPr>
      <w:r w:rsidRPr="00A01F59">
        <w:rPr>
          <w:b/>
          <w:bCs/>
          <w:i/>
          <w:iCs/>
          <w:noProof/>
          <w:lang w:val="en-US"/>
        </w:rPr>
        <w:drawing>
          <wp:inline distT="0" distB="0" distL="0" distR="0" wp14:anchorId="167AB545" wp14:editId="0A313144">
            <wp:extent cx="6120000" cy="3507507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30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35075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F2EF4A" w14:textId="77777777" w:rsidR="00432D85" w:rsidRDefault="00432D85">
      <w:pPr>
        <w:spacing w:after="0" w:line="240" w:lineRule="auto"/>
        <w:rPr>
          <w:b/>
          <w:bCs/>
          <w:i/>
          <w:iCs/>
          <w:lang w:val="en-US"/>
        </w:rPr>
      </w:pPr>
      <w:r>
        <w:rPr>
          <w:b/>
          <w:bCs/>
          <w:i/>
          <w:iCs/>
          <w:lang w:val="en-US"/>
        </w:rPr>
        <w:br w:type="page"/>
      </w:r>
    </w:p>
    <w:p w14:paraId="1C5BF89F" w14:textId="7487C08E" w:rsidR="00F02971" w:rsidRPr="00286165" w:rsidRDefault="00FD7462" w:rsidP="00A01F59">
      <w:pPr>
        <w:spacing w:after="0" w:line="240" w:lineRule="auto"/>
        <w:rPr>
          <w:b/>
          <w:bCs/>
          <w:i/>
          <w:iCs/>
          <w:lang w:val="en-US"/>
        </w:rPr>
      </w:pPr>
      <w:r w:rsidRPr="00286165">
        <w:rPr>
          <w:b/>
          <w:bCs/>
          <w:i/>
          <w:iCs/>
          <w:lang w:val="en-US"/>
        </w:rPr>
        <w:lastRenderedPageBreak/>
        <w:t>WUE06</w:t>
      </w:r>
    </w:p>
    <w:p w14:paraId="2FEB9B80" w14:textId="1F4F08D3" w:rsidR="00F02971" w:rsidRPr="00A01F59" w:rsidRDefault="00F02971" w:rsidP="00A01F59">
      <w:pPr>
        <w:spacing w:after="0" w:line="240" w:lineRule="auto"/>
        <w:rPr>
          <w:b/>
          <w:bCs/>
          <w:i/>
          <w:iCs/>
          <w:lang w:val="en-US"/>
        </w:rPr>
      </w:pPr>
      <w:r w:rsidRPr="00A01F59">
        <w:rPr>
          <w:b/>
          <w:bCs/>
          <w:i/>
          <w:iCs/>
          <w:noProof/>
          <w:lang w:val="en-US"/>
        </w:rPr>
        <w:drawing>
          <wp:inline distT="0" distB="0" distL="0" distR="0" wp14:anchorId="2AECBF9B" wp14:editId="327848B8">
            <wp:extent cx="6120000" cy="3507507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35075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6A8036" w14:textId="4A1811D1" w:rsidR="00FD7462" w:rsidRPr="00286165" w:rsidRDefault="00FD7462" w:rsidP="00A01F59">
      <w:pPr>
        <w:spacing w:after="0" w:line="240" w:lineRule="auto"/>
        <w:rPr>
          <w:b/>
          <w:bCs/>
          <w:i/>
          <w:iCs/>
          <w:lang w:val="en-US"/>
        </w:rPr>
      </w:pPr>
      <w:r w:rsidRPr="00286165">
        <w:rPr>
          <w:b/>
          <w:bCs/>
          <w:i/>
          <w:iCs/>
          <w:lang w:val="en-US"/>
        </w:rPr>
        <w:t>WUE07</w:t>
      </w:r>
    </w:p>
    <w:p w14:paraId="056972E7" w14:textId="2A465AA7" w:rsidR="00F02971" w:rsidRPr="00A01F59" w:rsidRDefault="00F02971" w:rsidP="00A01F59">
      <w:pPr>
        <w:spacing w:after="0" w:line="240" w:lineRule="auto"/>
        <w:rPr>
          <w:b/>
          <w:bCs/>
          <w:i/>
          <w:iCs/>
          <w:lang w:val="en-US"/>
        </w:rPr>
      </w:pPr>
      <w:r w:rsidRPr="00A01F59">
        <w:rPr>
          <w:b/>
          <w:bCs/>
          <w:i/>
          <w:iCs/>
          <w:noProof/>
          <w:lang w:val="en-US"/>
        </w:rPr>
        <w:drawing>
          <wp:inline distT="0" distB="0" distL="0" distR="0" wp14:anchorId="72A63B80" wp14:editId="612D80C9">
            <wp:extent cx="6120000" cy="3507507"/>
            <wp:effectExtent l="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35075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794412" w14:textId="77777777" w:rsidR="00432D85" w:rsidRDefault="00432D85">
      <w:pPr>
        <w:spacing w:after="0" w:line="240" w:lineRule="auto"/>
        <w:rPr>
          <w:b/>
          <w:bCs/>
          <w:i/>
          <w:iCs/>
          <w:lang w:val="en-US"/>
        </w:rPr>
      </w:pPr>
      <w:r>
        <w:rPr>
          <w:b/>
          <w:bCs/>
          <w:i/>
          <w:iCs/>
          <w:lang w:val="en-US"/>
        </w:rPr>
        <w:br w:type="page"/>
      </w:r>
    </w:p>
    <w:p w14:paraId="54864938" w14:textId="40ABD78E" w:rsidR="00F02971" w:rsidRPr="00286165" w:rsidRDefault="00FD7462" w:rsidP="00A01F59">
      <w:pPr>
        <w:spacing w:after="0" w:line="240" w:lineRule="auto"/>
        <w:rPr>
          <w:b/>
          <w:bCs/>
          <w:i/>
          <w:iCs/>
          <w:lang w:val="en-US"/>
        </w:rPr>
      </w:pPr>
      <w:r w:rsidRPr="00286165">
        <w:rPr>
          <w:b/>
          <w:bCs/>
          <w:i/>
          <w:iCs/>
          <w:lang w:val="en-US"/>
        </w:rPr>
        <w:lastRenderedPageBreak/>
        <w:t>WUE09</w:t>
      </w:r>
    </w:p>
    <w:p w14:paraId="7EA38EAD" w14:textId="41C79EC5" w:rsidR="00F02971" w:rsidRPr="00A01F59" w:rsidRDefault="00F02971" w:rsidP="00A01F59">
      <w:pPr>
        <w:spacing w:after="0" w:line="240" w:lineRule="auto"/>
        <w:rPr>
          <w:b/>
          <w:bCs/>
          <w:i/>
          <w:iCs/>
          <w:lang w:val="en-US"/>
        </w:rPr>
      </w:pPr>
      <w:r w:rsidRPr="00A01F59">
        <w:rPr>
          <w:b/>
          <w:bCs/>
          <w:i/>
          <w:iCs/>
          <w:noProof/>
          <w:lang w:val="en-US"/>
        </w:rPr>
        <w:drawing>
          <wp:inline distT="0" distB="0" distL="0" distR="0" wp14:anchorId="1E883117" wp14:editId="61C2AB92">
            <wp:extent cx="6120000" cy="3507507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3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35075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0A24BC" w14:textId="681072BC" w:rsidR="00FD7462" w:rsidRPr="00286165" w:rsidRDefault="00FD7462" w:rsidP="00A01F59">
      <w:pPr>
        <w:spacing w:after="0" w:line="240" w:lineRule="auto"/>
        <w:rPr>
          <w:b/>
          <w:bCs/>
          <w:i/>
          <w:iCs/>
          <w:lang w:val="en-US"/>
        </w:rPr>
      </w:pPr>
      <w:r w:rsidRPr="00286165">
        <w:rPr>
          <w:b/>
          <w:bCs/>
          <w:i/>
          <w:iCs/>
          <w:lang w:val="en-US"/>
        </w:rPr>
        <w:t>WUE10</w:t>
      </w:r>
    </w:p>
    <w:p w14:paraId="336F3CAD" w14:textId="7B602D4D" w:rsidR="00F02971" w:rsidRPr="00A01F59" w:rsidRDefault="00F02971" w:rsidP="00A01F59">
      <w:pPr>
        <w:spacing w:after="0" w:line="240" w:lineRule="auto"/>
        <w:rPr>
          <w:b/>
          <w:bCs/>
          <w:i/>
          <w:iCs/>
          <w:lang w:val="en-US"/>
        </w:rPr>
      </w:pPr>
      <w:r w:rsidRPr="00A01F59">
        <w:rPr>
          <w:b/>
          <w:bCs/>
          <w:i/>
          <w:iCs/>
          <w:noProof/>
          <w:lang w:val="en-US"/>
        </w:rPr>
        <w:drawing>
          <wp:inline distT="0" distB="0" distL="0" distR="0" wp14:anchorId="085D93CD" wp14:editId="3E49284E">
            <wp:extent cx="6120000" cy="3507507"/>
            <wp:effectExtent l="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4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35075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D44E52" w14:textId="77777777" w:rsidR="00432D85" w:rsidRDefault="00432D85">
      <w:pPr>
        <w:spacing w:after="0" w:line="240" w:lineRule="auto"/>
        <w:rPr>
          <w:b/>
          <w:bCs/>
          <w:i/>
          <w:iCs/>
          <w:lang w:val="en-US"/>
        </w:rPr>
      </w:pPr>
      <w:r>
        <w:rPr>
          <w:b/>
          <w:bCs/>
          <w:i/>
          <w:iCs/>
          <w:lang w:val="en-US"/>
        </w:rPr>
        <w:br w:type="page"/>
      </w:r>
    </w:p>
    <w:p w14:paraId="420C06CE" w14:textId="50FF8669" w:rsidR="00F02971" w:rsidRPr="00286165" w:rsidRDefault="00FD7462" w:rsidP="00A01F59">
      <w:pPr>
        <w:spacing w:after="0" w:line="240" w:lineRule="auto"/>
        <w:rPr>
          <w:b/>
          <w:bCs/>
          <w:i/>
          <w:iCs/>
          <w:lang w:val="en-US"/>
        </w:rPr>
      </w:pPr>
      <w:r w:rsidRPr="00286165">
        <w:rPr>
          <w:b/>
          <w:bCs/>
          <w:i/>
          <w:iCs/>
          <w:lang w:val="en-US"/>
        </w:rPr>
        <w:lastRenderedPageBreak/>
        <w:t>WUE11</w:t>
      </w:r>
    </w:p>
    <w:p w14:paraId="4182FEDA" w14:textId="63A570D7" w:rsidR="00F02971" w:rsidRPr="00A01F59" w:rsidRDefault="00F02971" w:rsidP="00A01F59">
      <w:pPr>
        <w:spacing w:after="0" w:line="240" w:lineRule="auto"/>
        <w:rPr>
          <w:b/>
          <w:bCs/>
          <w:i/>
          <w:iCs/>
          <w:lang w:val="en-US"/>
        </w:rPr>
      </w:pPr>
      <w:r w:rsidRPr="00A01F59">
        <w:rPr>
          <w:b/>
          <w:bCs/>
          <w:i/>
          <w:iCs/>
          <w:noProof/>
          <w:lang w:val="en-US"/>
        </w:rPr>
        <w:drawing>
          <wp:inline distT="0" distB="0" distL="0" distR="0" wp14:anchorId="67152058" wp14:editId="2990D1FA">
            <wp:extent cx="6120000" cy="3507507"/>
            <wp:effectExtent l="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35075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2A9921" w14:textId="2E4161BA" w:rsidR="00F02971" w:rsidRPr="00EE3740" w:rsidRDefault="00F02971" w:rsidP="00EE3740">
      <w:pPr>
        <w:spacing w:line="480" w:lineRule="auto"/>
        <w:rPr>
          <w:rFonts w:cs="Times"/>
          <w:szCs w:val="22"/>
          <w:lang w:val="en-US"/>
        </w:rPr>
      </w:pPr>
    </w:p>
    <w:p w14:paraId="4F746D53" w14:textId="77777777" w:rsidR="003F7440" w:rsidRPr="00EE3740" w:rsidRDefault="003F7440" w:rsidP="00286165">
      <w:pPr>
        <w:rPr>
          <w:rFonts w:cs="Times"/>
          <w:szCs w:val="22"/>
          <w:lang w:val="en-US"/>
        </w:rPr>
      </w:pPr>
    </w:p>
    <w:sectPr w:rsidR="003F7440" w:rsidRPr="00EE374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F1D"/>
    <w:rsid w:val="00050B42"/>
    <w:rsid w:val="000B1ABA"/>
    <w:rsid w:val="000C4637"/>
    <w:rsid w:val="000D2F7B"/>
    <w:rsid w:val="00125820"/>
    <w:rsid w:val="001350E6"/>
    <w:rsid w:val="0017738B"/>
    <w:rsid w:val="00195F1D"/>
    <w:rsid w:val="001B5B02"/>
    <w:rsid w:val="001C30D3"/>
    <w:rsid w:val="0020760C"/>
    <w:rsid w:val="002366B9"/>
    <w:rsid w:val="00237ECF"/>
    <w:rsid w:val="00244DE7"/>
    <w:rsid w:val="0026636D"/>
    <w:rsid w:val="00280813"/>
    <w:rsid w:val="00286165"/>
    <w:rsid w:val="00335220"/>
    <w:rsid w:val="00365258"/>
    <w:rsid w:val="00381946"/>
    <w:rsid w:val="00396ADA"/>
    <w:rsid w:val="003E1171"/>
    <w:rsid w:val="003F7440"/>
    <w:rsid w:val="00412947"/>
    <w:rsid w:val="00425320"/>
    <w:rsid w:val="00432D85"/>
    <w:rsid w:val="00465B55"/>
    <w:rsid w:val="00490FB6"/>
    <w:rsid w:val="004C681E"/>
    <w:rsid w:val="005543F9"/>
    <w:rsid w:val="00572905"/>
    <w:rsid w:val="005A63CC"/>
    <w:rsid w:val="005B4FE1"/>
    <w:rsid w:val="005B539F"/>
    <w:rsid w:val="005E5771"/>
    <w:rsid w:val="00611CB0"/>
    <w:rsid w:val="00647441"/>
    <w:rsid w:val="00677ACD"/>
    <w:rsid w:val="00686096"/>
    <w:rsid w:val="006A3CDA"/>
    <w:rsid w:val="006E507C"/>
    <w:rsid w:val="007A7BED"/>
    <w:rsid w:val="007D7477"/>
    <w:rsid w:val="0083315F"/>
    <w:rsid w:val="008D6368"/>
    <w:rsid w:val="008E1911"/>
    <w:rsid w:val="00900A3C"/>
    <w:rsid w:val="00914C6A"/>
    <w:rsid w:val="00966A2D"/>
    <w:rsid w:val="009B4BBC"/>
    <w:rsid w:val="009E1BD2"/>
    <w:rsid w:val="00A01F59"/>
    <w:rsid w:val="00A0259B"/>
    <w:rsid w:val="00A2031D"/>
    <w:rsid w:val="00A60FBE"/>
    <w:rsid w:val="00A64479"/>
    <w:rsid w:val="00AC4A37"/>
    <w:rsid w:val="00B06610"/>
    <w:rsid w:val="00B06D5D"/>
    <w:rsid w:val="00B30DD6"/>
    <w:rsid w:val="00BC2D73"/>
    <w:rsid w:val="00BD42CC"/>
    <w:rsid w:val="00BD7746"/>
    <w:rsid w:val="00C047A6"/>
    <w:rsid w:val="00C0601F"/>
    <w:rsid w:val="00C12752"/>
    <w:rsid w:val="00C72499"/>
    <w:rsid w:val="00C76A65"/>
    <w:rsid w:val="00C80369"/>
    <w:rsid w:val="00D161D5"/>
    <w:rsid w:val="00D660C9"/>
    <w:rsid w:val="00D70ADA"/>
    <w:rsid w:val="00DD2BCF"/>
    <w:rsid w:val="00DD7857"/>
    <w:rsid w:val="00DF6C9D"/>
    <w:rsid w:val="00E0067F"/>
    <w:rsid w:val="00E2625D"/>
    <w:rsid w:val="00E43806"/>
    <w:rsid w:val="00E6012E"/>
    <w:rsid w:val="00E70D13"/>
    <w:rsid w:val="00EA24EF"/>
    <w:rsid w:val="00EA75A7"/>
    <w:rsid w:val="00ED7FDF"/>
    <w:rsid w:val="00EE3740"/>
    <w:rsid w:val="00F02971"/>
    <w:rsid w:val="00F1444D"/>
    <w:rsid w:val="00F2556D"/>
    <w:rsid w:val="00F46006"/>
    <w:rsid w:val="00FB7F69"/>
    <w:rsid w:val="00FD7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33AD736"/>
  <w15:chartTrackingRefBased/>
  <w15:docId w15:val="{1A1D4755-8486-D642-8645-BBD56D1DB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1BD2"/>
    <w:pPr>
      <w:spacing w:after="160" w:line="360" w:lineRule="auto"/>
    </w:pPr>
    <w:rPr>
      <w:rFonts w:ascii="Times" w:hAnsi="Times"/>
      <w:sz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E1BD2"/>
    <w:pPr>
      <w:spacing w:after="0"/>
      <w:contextualSpacing/>
      <w:outlineLvl w:val="0"/>
    </w:pPr>
    <w:rPr>
      <w:rFonts w:cs="Times"/>
      <w:b/>
      <w:bCs/>
      <w:color w:val="000000" w:themeColor="text1"/>
      <w:szCs w:val="22"/>
      <w:lang w:val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E2625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2625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2625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2625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2625D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28081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80813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ED7FDF"/>
  </w:style>
  <w:style w:type="character" w:customStyle="1" w:styleId="Heading1Char">
    <w:name w:val="Heading 1 Char"/>
    <w:basedOn w:val="DefaultParagraphFont"/>
    <w:link w:val="Heading1"/>
    <w:uiPriority w:val="9"/>
    <w:rsid w:val="009E1BD2"/>
    <w:rPr>
      <w:rFonts w:ascii="Times" w:hAnsi="Times" w:cs="Times"/>
      <w:b/>
      <w:bCs/>
      <w:color w:val="000000" w:themeColor="text1"/>
      <w:sz w:val="22"/>
      <w:szCs w:val="22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7</Pages>
  <Words>402</Words>
  <Characters>2298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Amirali Farokhniaee</dc:creator>
  <cp:keywords/>
  <dc:description/>
  <cp:lastModifiedBy>Isaias_I</cp:lastModifiedBy>
  <cp:revision>36</cp:revision>
  <dcterms:created xsi:type="dcterms:W3CDTF">2022-08-21T20:46:00Z</dcterms:created>
  <dcterms:modified xsi:type="dcterms:W3CDTF">2022-09-09T16:24:00Z</dcterms:modified>
</cp:coreProperties>
</file>