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FCD" w:rsidRPr="00E56ACB" w:rsidRDefault="00E05FCD" w:rsidP="00E56ACB">
      <w:pPr>
        <w:pStyle w:val="a9"/>
        <w:spacing w:line="480" w:lineRule="auto"/>
        <w:jc w:val="center"/>
        <w:rPr>
          <w:rFonts w:ascii="Times New Roman" w:hAnsi="Times New Roman" w:cs="Times New Roman"/>
          <w:b w:val="0"/>
          <w:i w:val="0"/>
          <w:sz w:val="24"/>
          <w:szCs w:val="24"/>
          <w:lang w:eastAsia="ko-KR"/>
        </w:rPr>
      </w:pPr>
      <w:bookmarkStart w:id="0" w:name="OLE_LINK52"/>
      <w:bookmarkStart w:id="1" w:name="OLE_LINK23"/>
      <w:bookmarkStart w:id="2" w:name="OLE_LINK20"/>
      <w:bookmarkStart w:id="3" w:name="_GoBack"/>
      <w:bookmarkEnd w:id="3"/>
      <w:r w:rsidRPr="00E56ACB">
        <w:rPr>
          <w:rFonts w:ascii="Times New Roman" w:hAnsi="Times New Roman" w:cs="Times New Roman"/>
          <w:b w:val="0"/>
          <w:i w:val="0"/>
          <w:sz w:val="24"/>
          <w:szCs w:val="24"/>
          <w:lang w:eastAsia="ko-KR"/>
        </w:rPr>
        <w:t>Supplementary material for</w:t>
      </w:r>
    </w:p>
    <w:p w:rsidR="00E05FCD" w:rsidRPr="00E56ACB" w:rsidRDefault="00E05FCD" w:rsidP="00E56ACB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56A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Preparation of carbon self-doped g-C</w:t>
      </w:r>
      <w:r w:rsidRPr="00E56AC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3</w:t>
      </w:r>
      <w:r w:rsidRPr="00E56A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</w:t>
      </w:r>
      <w:r w:rsidRPr="00E56AC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4</w:t>
      </w:r>
      <w:r w:rsidRPr="00E56A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for efficiently degradation of Bisphenol A under visible light irradiation</w:t>
      </w:r>
    </w:p>
    <w:p w:rsidR="00E05FCD" w:rsidRPr="00E56ACB" w:rsidRDefault="00E05FCD" w:rsidP="00E56ACB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56ACB">
        <w:rPr>
          <w:rFonts w:ascii="Times New Roman" w:hAnsi="Times New Roman" w:cs="Times New Roman"/>
          <w:color w:val="000000" w:themeColor="text1"/>
          <w:sz w:val="24"/>
          <w:szCs w:val="24"/>
        </w:rPr>
        <w:t>Ling Lei, Xi He, Xiaoyu Lin, Yufeng Zhao, Chen Yang, Longzhe Cui, Guiping Wu*</w:t>
      </w:r>
      <w:bookmarkEnd w:id="0"/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6ACB">
        <w:rPr>
          <w:rFonts w:ascii="Times New Roman" w:hAnsi="Times New Roman" w:cs="Times New Roman"/>
          <w:color w:val="000000" w:themeColor="text1"/>
          <w:sz w:val="24"/>
          <w:szCs w:val="24"/>
        </w:rPr>
        <w:t>Key Laboratory of Resources Conversion and Pollution Control of the State Ethnic Affairs Commission, College of Resources and Environmental Science, South-Central Minzu University, Wuhan 430074, P.R. China.</w:t>
      </w:r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6ACB">
        <w:rPr>
          <w:rFonts w:ascii="Times New Roman" w:hAnsi="Times New Roman" w:cs="Times New Roman"/>
          <w:color w:val="000000" w:themeColor="text1"/>
          <w:sz w:val="24"/>
          <w:szCs w:val="24"/>
        </w:rPr>
        <w:t>*Corresponding author: e-mail addresses: wuguiping@scuec.edu.cn (Guiping Wu)</w:t>
      </w:r>
    </w:p>
    <w:p w:rsidR="00E05FCD" w:rsidRPr="00E56ACB" w:rsidRDefault="00E05FCD" w:rsidP="00E56ACB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4" w:name="OLE_LINK91"/>
      <w:r w:rsidRPr="00E56ACB">
        <w:rPr>
          <w:rFonts w:ascii="Times New Roman" w:hAnsi="Times New Roman" w:cs="Times New Roman"/>
          <w:color w:val="000000" w:themeColor="text1"/>
          <w:sz w:val="24"/>
          <w:szCs w:val="24"/>
        </w:rPr>
        <w:t>Declarations of interest: none</w:t>
      </w:r>
      <w:bookmarkEnd w:id="4"/>
    </w:p>
    <w:p w:rsidR="00E05FCD" w:rsidRPr="00E56ACB" w:rsidRDefault="00E05FCD" w:rsidP="00E56ACB">
      <w:pPr>
        <w:widowControl/>
        <w:spacing w:after="160"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 w:rsidRPr="00E56ACB">
        <w:rPr>
          <w:rFonts w:ascii="Times New Roman" w:hAnsi="Times New Roman" w:cs="Times New Roman"/>
          <w:color w:val="000000" w:themeColor="text1"/>
        </w:rPr>
        <w:br w:type="page"/>
      </w:r>
    </w:p>
    <w:p w:rsidR="00E05FCD" w:rsidRPr="00E56ACB" w:rsidRDefault="00E05FCD" w:rsidP="00E56ACB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color w:val="000000" w:themeColor="text1"/>
        </w:rPr>
        <w:lastRenderedPageBreak/>
        <w:t>Fig. S1. Schematic representation of C-doped g-C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3</w:t>
      </w:r>
      <w:r w:rsidRPr="00E56ACB">
        <w:rPr>
          <w:rFonts w:ascii="Times New Roman" w:hAnsi="Times New Roman" w:cs="Times New Roman"/>
          <w:color w:val="000000" w:themeColor="text1"/>
        </w:rPr>
        <w:t>N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Pr="00E56ACB">
        <w:rPr>
          <w:rFonts w:ascii="Times New Roman" w:hAnsi="Times New Roman" w:cs="Times New Roman"/>
          <w:color w:val="000000" w:themeColor="text1"/>
        </w:rPr>
        <w:t xml:space="preserve"> preparation process</w:t>
      </w:r>
      <w:bookmarkEnd w:id="1"/>
      <w:bookmarkEnd w:id="2"/>
    </w:p>
    <w:p w:rsidR="00E05FCD" w:rsidRPr="00E56ACB" w:rsidRDefault="00E05FCD" w:rsidP="00E56ACB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F191005" wp14:editId="4F8845EA">
            <wp:extent cx="5193030" cy="2238375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03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FCD" w:rsidRPr="00E56ACB" w:rsidRDefault="00E05FCD" w:rsidP="00E56AC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color w:val="000000" w:themeColor="text1"/>
        </w:rPr>
        <w:br w:type="page"/>
      </w:r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color w:val="000000" w:themeColor="text1"/>
        </w:rPr>
        <w:lastRenderedPageBreak/>
        <w:t>Fig. S2. Cycling experiments on the photocatalytic degradation of BPA by C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0.02</w:t>
      </w:r>
      <w:r w:rsidRPr="00E56ACB">
        <w:rPr>
          <w:rFonts w:ascii="Times New Roman" w:hAnsi="Times New Roman" w:cs="Times New Roman"/>
          <w:color w:val="000000" w:themeColor="text1"/>
        </w:rPr>
        <w:t>CN</w:t>
      </w:r>
    </w:p>
    <w:p w:rsidR="00E05FCD" w:rsidRPr="00E56ACB" w:rsidRDefault="00E05FCD" w:rsidP="00E56ACB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i/>
          <w:noProof/>
          <w:color w:val="000000" w:themeColor="text1"/>
        </w:rPr>
        <w:drawing>
          <wp:inline distT="0" distB="0" distL="0" distR="0" wp14:anchorId="5FEF36AC" wp14:editId="77113FBE">
            <wp:extent cx="4146191" cy="3225340"/>
            <wp:effectExtent l="0" t="0" r="0" b="0"/>
            <wp:docPr id="4" name="图片 4" descr="C:\Users\Administrator\Desktop\Environmental Science and Pollution Research\fig\fig.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Environmental Science and Pollution Research\fig\fig. s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071" cy="3175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6ACB">
        <w:rPr>
          <w:rFonts w:ascii="Times New Roman" w:hAnsi="Times New Roman" w:cs="Times New Roman"/>
          <w:color w:val="000000" w:themeColor="text1"/>
        </w:rPr>
        <w:br w:type="page"/>
      </w:r>
    </w:p>
    <w:p w:rsidR="00E05FCD" w:rsidRPr="00E56ACB" w:rsidRDefault="00E05FCD" w:rsidP="00E56ACB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color w:val="000000" w:themeColor="text1"/>
        </w:rPr>
        <w:lastRenderedPageBreak/>
        <w:t>Fig. S3. SEM images of (a, b) g-C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3</w:t>
      </w:r>
      <w:r w:rsidRPr="00E56ACB">
        <w:rPr>
          <w:rFonts w:ascii="Times New Roman" w:hAnsi="Times New Roman" w:cs="Times New Roman"/>
          <w:color w:val="000000" w:themeColor="text1"/>
        </w:rPr>
        <w:t>N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Pr="00E56ACB">
        <w:rPr>
          <w:rFonts w:ascii="Times New Roman" w:hAnsi="Times New Roman" w:cs="Times New Roman"/>
          <w:color w:val="000000" w:themeColor="text1"/>
        </w:rPr>
        <w:t>, (c, d) C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0.02</w:t>
      </w:r>
      <w:r w:rsidRPr="00E56ACB">
        <w:rPr>
          <w:rFonts w:ascii="Times New Roman" w:hAnsi="Times New Roman" w:cs="Times New Roman"/>
          <w:color w:val="000000" w:themeColor="text1"/>
        </w:rPr>
        <w:t xml:space="preserve">CN </w:t>
      </w:r>
    </w:p>
    <w:p w:rsidR="00E05FCD" w:rsidRPr="00E56ACB" w:rsidRDefault="00E05FCD" w:rsidP="00E56ACB">
      <w:pPr>
        <w:spacing w:line="480" w:lineRule="auto"/>
        <w:ind w:firstLineChars="200" w:firstLine="420"/>
        <w:jc w:val="center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7111B33" wp14:editId="364D19D1">
            <wp:extent cx="4879340" cy="334391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8" r="13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6ACB">
        <w:rPr>
          <w:rFonts w:ascii="Times New Roman" w:hAnsi="Times New Roman" w:cs="Times New Roman"/>
        </w:rPr>
        <w:br w:type="page"/>
      </w:r>
    </w:p>
    <w:p w:rsidR="00E05FCD" w:rsidRPr="00E56ACB" w:rsidRDefault="00E05FCD" w:rsidP="00E56ACB">
      <w:pPr>
        <w:widowControl/>
        <w:spacing w:after="160" w:line="480" w:lineRule="auto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color w:val="000000" w:themeColor="text1"/>
        </w:rPr>
        <w:lastRenderedPageBreak/>
        <w:t>Fig. S4. N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 xml:space="preserve">2 </w:t>
      </w:r>
      <w:r w:rsidRPr="00E56ACB">
        <w:rPr>
          <w:rFonts w:ascii="Times New Roman" w:hAnsi="Times New Roman" w:cs="Times New Roman"/>
          <w:color w:val="000000" w:themeColor="text1"/>
        </w:rPr>
        <w:t>adsorption-desorption isotherms of g-C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3</w:t>
      </w:r>
      <w:r w:rsidRPr="00E56ACB">
        <w:rPr>
          <w:rFonts w:ascii="Times New Roman" w:hAnsi="Times New Roman" w:cs="Times New Roman"/>
          <w:color w:val="000000" w:themeColor="text1"/>
        </w:rPr>
        <w:t>N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Pr="00E56ACB">
        <w:rPr>
          <w:rFonts w:ascii="Times New Roman" w:hAnsi="Times New Roman" w:cs="Times New Roman"/>
          <w:color w:val="000000" w:themeColor="text1"/>
        </w:rPr>
        <w:t xml:space="preserve"> and C</w:t>
      </w:r>
      <w:r w:rsidRPr="00E56ACB">
        <w:rPr>
          <w:rFonts w:ascii="Times New Roman" w:hAnsi="Times New Roman" w:cs="Times New Roman"/>
          <w:color w:val="000000" w:themeColor="text1"/>
          <w:vertAlign w:val="subscript"/>
        </w:rPr>
        <w:t>0.02</w:t>
      </w:r>
      <w:r w:rsidRPr="00E56ACB">
        <w:rPr>
          <w:rFonts w:ascii="Times New Roman" w:hAnsi="Times New Roman" w:cs="Times New Roman"/>
          <w:color w:val="000000" w:themeColor="text1"/>
        </w:rPr>
        <w:t>CN</w:t>
      </w:r>
    </w:p>
    <w:p w:rsidR="00E05FCD" w:rsidRPr="00E56ACB" w:rsidRDefault="00E05FCD" w:rsidP="00E56ACB">
      <w:pPr>
        <w:spacing w:line="480" w:lineRule="auto"/>
        <w:ind w:firstLineChars="200" w:firstLine="420"/>
        <w:jc w:val="center"/>
        <w:rPr>
          <w:rFonts w:ascii="Times New Roman" w:hAnsi="Times New Roman" w:cs="Times New Roman"/>
          <w:color w:val="000000" w:themeColor="text1"/>
        </w:rPr>
      </w:pPr>
      <w:r w:rsidRPr="00E56ACB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>
            <wp:extent cx="4351501" cy="3419593"/>
            <wp:effectExtent l="0" t="0" r="0" b="0"/>
            <wp:docPr id="3" name="图片 3" descr="C:\Users\Administrator\Desktop\Environmental Science and Pollution Research\fig\fig.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Environmental Science and Pollution Research\fig\fig. s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279" cy="181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6ACB">
        <w:rPr>
          <w:rFonts w:ascii="Times New Roman" w:hAnsi="Times New Roman" w:cs="Times New Roman"/>
          <w:color w:val="000000" w:themeColor="text1"/>
        </w:rPr>
        <w:br w:type="page"/>
      </w:r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</w:rPr>
        <w:sectPr w:rsidR="00E05FCD" w:rsidRPr="00E56ACB" w:rsidSect="00E56ACB">
          <w:headerReference w:type="even" r:id="rId12"/>
          <w:headerReference w:type="default" r:id="rId13"/>
          <w:footerReference w:type="default" r:id="rId14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lastRenderedPageBreak/>
        <w:t>Table. S1. Fitting parameters for photocatalytic BPA degradation in the presence of C</w:t>
      </w:r>
      <w:r w:rsidRPr="00E56ACB">
        <w:rPr>
          <w:rFonts w:ascii="Times New Roman" w:hAnsi="Times New Roman" w:cs="Times New Roman"/>
          <w:vertAlign w:val="subscript"/>
        </w:rPr>
        <w:t>X</w:t>
      </w:r>
      <w:r w:rsidRPr="00E56ACB">
        <w:rPr>
          <w:rFonts w:ascii="Times New Roman" w:hAnsi="Times New Roman" w:cs="Times New Roman"/>
        </w:rPr>
        <w:t xml:space="preserve">CN by pseudo-first-order model. </w:t>
      </w:r>
    </w:p>
    <w:tbl>
      <w:tblPr>
        <w:tblW w:w="6521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2268"/>
        <w:gridCol w:w="1276"/>
      </w:tblGrid>
      <w:tr w:rsidR="00E05FCD" w:rsidRPr="00E56ACB" w:rsidTr="00F9427E">
        <w:trPr>
          <w:trHeight w:val="19"/>
          <w:jc w:val="center"/>
        </w:trPr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56ACB">
              <w:rPr>
                <w:rFonts w:ascii="Times New Roman" w:hAnsi="Times New Roman" w:cs="Times New Roman"/>
                <w:bCs/>
              </w:rPr>
              <w:t>Reaction condition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k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BPA</w:t>
            </w:r>
            <w:r w:rsidRPr="00E56ACB">
              <w:rPr>
                <w:rFonts w:ascii="Times New Roman" w:hAnsi="Times New Roman" w:cs="Times New Roman"/>
                <w:bCs/>
              </w:rPr>
              <w:t xml:space="preserve"> (min</w:t>
            </w:r>
            <w:r w:rsidRPr="00E56ACB">
              <w:rPr>
                <w:rFonts w:ascii="Times New Roman" w:hAnsi="Times New Roman" w:cs="Times New Roman"/>
                <w:bCs/>
                <w:vertAlign w:val="superscript"/>
              </w:rPr>
              <w:t>-1</w:t>
            </w:r>
            <w:r w:rsidRPr="00E56ACB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R</w:t>
            </w:r>
            <w:r w:rsidRPr="00E56ACB">
              <w:rPr>
                <w:rFonts w:ascii="Times New Roman" w:hAnsi="Times New Roman" w:cs="Times New Roman"/>
                <w:bCs/>
                <w:vertAlign w:val="superscript"/>
              </w:rPr>
              <w:t>2</w:t>
            </w:r>
          </w:p>
        </w:tc>
      </w:tr>
      <w:tr w:rsidR="00E05FCD" w:rsidRPr="00E56ACB" w:rsidTr="00F9427E">
        <w:trPr>
          <w:trHeight w:val="19"/>
          <w:jc w:val="center"/>
        </w:trPr>
        <w:tc>
          <w:tcPr>
            <w:tcW w:w="2977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g-C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3</w:t>
            </w:r>
            <w:r w:rsidRPr="00E56ACB">
              <w:rPr>
                <w:rFonts w:ascii="Times New Roman" w:hAnsi="Times New Roman" w:cs="Times New Roman"/>
                <w:bCs/>
              </w:rPr>
              <w:t>N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4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0.00266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  <w:iCs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0.9655</w:t>
            </w:r>
          </w:p>
        </w:tc>
      </w:tr>
      <w:tr w:rsidR="00E05FCD" w:rsidRPr="00E56ACB" w:rsidTr="00F9427E">
        <w:trPr>
          <w:trHeight w:val="19"/>
          <w:jc w:val="center"/>
        </w:trPr>
        <w:tc>
          <w:tcPr>
            <w:tcW w:w="29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C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0.005</w:t>
            </w:r>
            <w:r w:rsidRPr="00E56ACB">
              <w:rPr>
                <w:rFonts w:ascii="Times New Roman" w:hAnsi="Times New Roman" w:cs="Times New Roman"/>
                <w:bCs/>
              </w:rPr>
              <w:t>CN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0.00990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  <w:iCs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0.9975</w:t>
            </w:r>
          </w:p>
        </w:tc>
      </w:tr>
      <w:tr w:rsidR="00E05FCD" w:rsidRPr="00E56ACB" w:rsidTr="00F9427E">
        <w:trPr>
          <w:trHeight w:val="19"/>
          <w:jc w:val="center"/>
        </w:trPr>
        <w:tc>
          <w:tcPr>
            <w:tcW w:w="29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C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0.01</w:t>
            </w:r>
            <w:r w:rsidRPr="00E56ACB">
              <w:rPr>
                <w:rFonts w:ascii="Times New Roman" w:hAnsi="Times New Roman" w:cs="Times New Roman"/>
                <w:bCs/>
              </w:rPr>
              <w:t>CN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0.01291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  <w:iCs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0.9968</w:t>
            </w:r>
          </w:p>
        </w:tc>
      </w:tr>
      <w:tr w:rsidR="00E05FCD" w:rsidRPr="00E56ACB" w:rsidTr="00F9427E">
        <w:trPr>
          <w:trHeight w:val="19"/>
          <w:jc w:val="center"/>
        </w:trPr>
        <w:tc>
          <w:tcPr>
            <w:tcW w:w="29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C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0.02</w:t>
            </w:r>
            <w:r w:rsidRPr="00E56ACB">
              <w:rPr>
                <w:rFonts w:ascii="Times New Roman" w:hAnsi="Times New Roman" w:cs="Times New Roman"/>
                <w:bCs/>
              </w:rPr>
              <w:t>CN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0.01778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  <w:iCs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0.9915</w:t>
            </w:r>
          </w:p>
        </w:tc>
      </w:tr>
      <w:tr w:rsidR="00E05FCD" w:rsidRPr="00E56ACB" w:rsidTr="00F9427E">
        <w:trPr>
          <w:trHeight w:val="19"/>
          <w:jc w:val="center"/>
        </w:trPr>
        <w:tc>
          <w:tcPr>
            <w:tcW w:w="29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C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0.05</w:t>
            </w:r>
            <w:r w:rsidRPr="00E56ACB">
              <w:rPr>
                <w:rFonts w:ascii="Times New Roman" w:hAnsi="Times New Roman" w:cs="Times New Roman"/>
                <w:bCs/>
              </w:rPr>
              <w:t>CN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0.00911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  <w:iCs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0.9973</w:t>
            </w:r>
          </w:p>
        </w:tc>
      </w:tr>
      <w:tr w:rsidR="00E05FCD" w:rsidRPr="00E56ACB" w:rsidTr="00F9427E">
        <w:trPr>
          <w:trHeight w:val="19"/>
          <w:jc w:val="center"/>
        </w:trPr>
        <w:tc>
          <w:tcPr>
            <w:tcW w:w="29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C</w:t>
            </w:r>
            <w:r w:rsidRPr="00E56ACB">
              <w:rPr>
                <w:rFonts w:ascii="Times New Roman" w:hAnsi="Times New Roman" w:cs="Times New Roman"/>
                <w:bCs/>
                <w:vertAlign w:val="subscript"/>
              </w:rPr>
              <w:t>0.08</w:t>
            </w:r>
            <w:r w:rsidRPr="00E56ACB">
              <w:rPr>
                <w:rFonts w:ascii="Times New Roman" w:hAnsi="Times New Roman" w:cs="Times New Roman"/>
                <w:bCs/>
              </w:rPr>
              <w:t>CN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E56ACB">
              <w:rPr>
                <w:rFonts w:ascii="Times New Roman" w:hAnsi="Times New Roman" w:cs="Times New Roman"/>
                <w:bCs/>
              </w:rPr>
              <w:t>0.00877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05FCD" w:rsidRPr="00E56ACB" w:rsidRDefault="00E05FCD" w:rsidP="00E56ACB">
            <w:pPr>
              <w:spacing w:line="480" w:lineRule="auto"/>
              <w:rPr>
                <w:rFonts w:ascii="Times New Roman" w:hAnsi="Times New Roman" w:cs="Times New Roman"/>
                <w:bCs/>
                <w:iCs/>
              </w:rPr>
            </w:pPr>
            <w:r w:rsidRPr="00E56ACB">
              <w:rPr>
                <w:rFonts w:ascii="Times New Roman" w:hAnsi="Times New Roman" w:cs="Times New Roman"/>
                <w:bCs/>
                <w:iCs/>
              </w:rPr>
              <w:t>0.9904</w:t>
            </w:r>
          </w:p>
        </w:tc>
      </w:tr>
    </w:tbl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</w:rPr>
        <w:sectPr w:rsidR="00E05FCD" w:rsidRPr="00E56ACB" w:rsidSect="00F9427E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linePitch="312"/>
        </w:sectPr>
      </w:pPr>
    </w:p>
    <w:p w:rsidR="00E05FCD" w:rsidRPr="00E56ACB" w:rsidRDefault="00E05FCD" w:rsidP="00E56ACB">
      <w:pPr>
        <w:spacing w:line="480" w:lineRule="auto"/>
        <w:rPr>
          <w:rFonts w:ascii="Times New Roman" w:hAnsi="Times New Roman" w:cs="Times New Roman"/>
        </w:rPr>
      </w:pPr>
      <w:r w:rsidRPr="00E56ACB">
        <w:rPr>
          <w:rFonts w:ascii="Times New Roman" w:eastAsia="宋体" w:hAnsi="Times New Roman" w:cs="Times New Roman"/>
          <w:sz w:val="24"/>
          <w:szCs w:val="24"/>
        </w:rPr>
        <w:lastRenderedPageBreak/>
        <w:t>Table. S2. Comparison of studies on the photocatalysis of BPA using g-C</w:t>
      </w:r>
      <w:r w:rsidRPr="00E56ACB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E56ACB">
        <w:rPr>
          <w:rFonts w:ascii="Times New Roman" w:eastAsia="宋体" w:hAnsi="Times New Roman" w:cs="Times New Roman"/>
          <w:sz w:val="24"/>
          <w:szCs w:val="24"/>
        </w:rPr>
        <w:t>N</w:t>
      </w:r>
      <w:r w:rsidRPr="00E56ACB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E56ACB">
        <w:rPr>
          <w:rFonts w:ascii="Times New Roman" w:eastAsia="宋体" w:hAnsi="Times New Roman" w:cs="Times New Roman"/>
          <w:sz w:val="24"/>
          <w:szCs w:val="24"/>
        </w:rPr>
        <w:t>-related photocataly</w:t>
      </w:r>
    </w:p>
    <w:tbl>
      <w:tblPr>
        <w:tblStyle w:val="a7"/>
        <w:tblW w:w="14016" w:type="dxa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3"/>
        <w:gridCol w:w="1733"/>
        <w:gridCol w:w="5529"/>
        <w:gridCol w:w="1148"/>
        <w:gridCol w:w="468"/>
        <w:gridCol w:w="2335"/>
      </w:tblGrid>
      <w:tr w:rsidR="00E05FCD" w:rsidRPr="00E56ACB" w:rsidTr="00496C4A">
        <w:trPr>
          <w:trHeight w:val="665"/>
        </w:trPr>
        <w:tc>
          <w:tcPr>
            <w:tcW w:w="28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Catalyst</w:t>
            </w:r>
          </w:p>
        </w:tc>
        <w:tc>
          <w:tcPr>
            <w:tcW w:w="17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Reaction promotors</w:t>
            </w:r>
          </w:p>
        </w:tc>
        <w:tc>
          <w:tcPr>
            <w:tcW w:w="55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Degradation condition</w:t>
            </w:r>
          </w:p>
        </w:tc>
        <w:tc>
          <w:tcPr>
            <w:tcW w:w="161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Degradation efficiency</w:t>
            </w:r>
          </w:p>
        </w:tc>
        <w:tc>
          <w:tcPr>
            <w:tcW w:w="23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References</w:t>
            </w:r>
          </w:p>
        </w:tc>
      </w:tr>
      <w:tr w:rsidR="00E05FCD" w:rsidRPr="00E56ACB" w:rsidTr="00496C4A">
        <w:trPr>
          <w:trHeight w:val="674"/>
        </w:trPr>
        <w:tc>
          <w:tcPr>
            <w:tcW w:w="280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C</w:t>
            </w:r>
            <w:r w:rsidRPr="00E56ACB">
              <w:rPr>
                <w:sz w:val="24"/>
                <w:szCs w:val="24"/>
                <w:vertAlign w:val="subscript"/>
              </w:rPr>
              <w:t>0.02</w:t>
            </w:r>
            <w:r w:rsidRPr="00E56ACB">
              <w:rPr>
                <w:sz w:val="24"/>
                <w:szCs w:val="24"/>
              </w:rPr>
              <w:t>CN</w:t>
            </w:r>
          </w:p>
        </w:tc>
        <w:tc>
          <w:tcPr>
            <w:tcW w:w="1733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None</w:t>
            </w:r>
          </w:p>
        </w:tc>
        <w:tc>
          <w:tcPr>
            <w:tcW w:w="552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Xenon(300W), λ ≥ 400 nm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BPA(10mg/L)</w:t>
            </w:r>
          </w:p>
        </w:tc>
        <w:tc>
          <w:tcPr>
            <w:tcW w:w="114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95.5% in 150 min</w:t>
            </w:r>
          </w:p>
        </w:tc>
        <w:tc>
          <w:tcPr>
            <w:tcW w:w="280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this paper</w:t>
            </w:r>
          </w:p>
        </w:tc>
      </w:tr>
      <w:tr w:rsidR="00E05FCD" w:rsidRPr="00E56ACB" w:rsidTr="00496C4A">
        <w:trPr>
          <w:trHeight w:val="8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</w:t>
            </w:r>
            <w:r w:rsidRPr="00E56ACB">
              <w:rPr>
                <w:sz w:val="24"/>
                <w:szCs w:val="24"/>
                <w:vertAlign w:val="subscript"/>
              </w:rPr>
              <w:t>2</w:t>
            </w:r>
            <w:r w:rsidRPr="00E56ACB">
              <w:rPr>
                <w:sz w:val="24"/>
                <w:szCs w:val="24"/>
              </w:rPr>
              <w:t>O</w:t>
            </w:r>
            <w:r w:rsidRPr="00E56ACB">
              <w:rPr>
                <w:sz w:val="24"/>
                <w:szCs w:val="24"/>
                <w:vertAlign w:val="subscript"/>
              </w:rPr>
              <w:t>3</w:t>
            </w:r>
            <w:r w:rsidRPr="00E56ACB">
              <w:rPr>
                <w:sz w:val="24"/>
                <w:szCs w:val="24"/>
              </w:rPr>
              <w:t>/OGCN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None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Xenon(300W), λ ≥ 420 nm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BPA(50mg/L)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91% in 180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(Ahmed Uddin et al. 2021)</w:t>
            </w:r>
          </w:p>
        </w:tc>
      </w:tr>
      <w:tr w:rsidR="00E05FCD" w:rsidRPr="00E56ACB" w:rsidTr="00496C4A">
        <w:trPr>
          <w:trHeight w:val="651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MCN/HRP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None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Xenon(300W)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BPA(10mg/L)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85.7% in 50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(Haibo Zhang et al. 2020)</w:t>
            </w:r>
          </w:p>
        </w:tc>
      </w:tr>
      <w:tr w:rsidR="00E05FCD" w:rsidRPr="00E56ACB" w:rsidTr="00496C4A">
        <w:trPr>
          <w:trHeight w:val="651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30-GNT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None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 xml:space="preserve">Sunlight, 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BPA(20mg/L)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78% in 240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noProof/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(Sutar et al. 2020)</w:t>
            </w:r>
          </w:p>
        </w:tc>
      </w:tr>
      <w:tr w:rsidR="00E05FCD" w:rsidRPr="00E56ACB" w:rsidTr="00496C4A">
        <w:trPr>
          <w:trHeight w:val="651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lastRenderedPageBreak/>
              <w:t>APC-25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None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0.1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BPA(10mg/L)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92.8% in 180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noProof/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(Mei et al. 2018)</w:t>
            </w:r>
          </w:p>
        </w:tc>
      </w:tr>
      <w:tr w:rsidR="00E05FCD" w:rsidRPr="00E56ACB" w:rsidTr="00496C4A">
        <w:trPr>
          <w:trHeight w:val="1014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CNFe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10mM PDS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LED lamps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BPA(0.5mM)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92% in 60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(Suding Yan et al. 2019)</w:t>
            </w:r>
          </w:p>
        </w:tc>
      </w:tr>
      <w:tr w:rsidR="00E05FCD" w:rsidRPr="00E56ACB" w:rsidTr="00496C4A">
        <w:trPr>
          <w:trHeight w:val="1014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g-C</w:t>
            </w:r>
            <w:r w:rsidRPr="00E56ACB">
              <w:rPr>
                <w:sz w:val="24"/>
                <w:szCs w:val="24"/>
                <w:vertAlign w:val="subscript"/>
              </w:rPr>
              <w:t>3</w:t>
            </w:r>
            <w:r w:rsidRPr="00E56ACB">
              <w:rPr>
                <w:sz w:val="24"/>
                <w:szCs w:val="24"/>
              </w:rPr>
              <w:t>N</w:t>
            </w:r>
            <w:r w:rsidRPr="00E56ACB">
              <w:rPr>
                <w:sz w:val="24"/>
                <w:szCs w:val="24"/>
                <w:vertAlign w:val="subscript"/>
              </w:rPr>
              <w:t>4</w:t>
            </w:r>
            <w:r w:rsidRPr="00E56ACB">
              <w:rPr>
                <w:sz w:val="24"/>
                <w:szCs w:val="24"/>
              </w:rPr>
              <w:t>/MIL-101(Fe)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persulfate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Xenon(300W), λ ≥ 400 nm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BPA(10mg/L)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98% in 60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noProof/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(Yan Gong et al. 2018)</w:t>
            </w:r>
          </w:p>
        </w:tc>
      </w:tr>
      <w:tr w:rsidR="00E05FCD" w:rsidRPr="00E56ACB" w:rsidTr="00496C4A">
        <w:trPr>
          <w:trHeight w:val="1014"/>
        </w:trPr>
        <w:tc>
          <w:tcPr>
            <w:tcW w:w="28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DMCN-3.5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persulfate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Xenon(300W), λ ≥ 420 nm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Photocatalyst dosage = 0.5 g/L</w:t>
            </w:r>
          </w:p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Initial concentration of BPA(20mg/L)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E56ACB">
              <w:rPr>
                <w:sz w:val="24"/>
                <w:szCs w:val="24"/>
              </w:rPr>
              <w:t>Almost 100% in 15 min</w:t>
            </w:r>
          </w:p>
        </w:tc>
        <w:tc>
          <w:tcPr>
            <w:tcW w:w="280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5FCD" w:rsidRPr="00E56ACB" w:rsidRDefault="00E05FCD" w:rsidP="00E56ACB">
            <w:pPr>
              <w:spacing w:line="480" w:lineRule="auto"/>
              <w:jc w:val="center"/>
              <w:rPr>
                <w:noProof/>
                <w:sz w:val="24"/>
                <w:szCs w:val="24"/>
              </w:rPr>
            </w:pPr>
            <w:r w:rsidRPr="00E56ACB">
              <w:rPr>
                <w:noProof/>
                <w:sz w:val="24"/>
                <w:szCs w:val="24"/>
              </w:rPr>
              <w:t>(Sai Zhang et al. 2019)</w:t>
            </w:r>
          </w:p>
        </w:tc>
      </w:tr>
    </w:tbl>
    <w:p w:rsidR="00E05FCD" w:rsidRPr="00E56ACB" w:rsidRDefault="00E05FCD" w:rsidP="00E56AC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  <w:sectPr w:rsidR="00E05FCD" w:rsidRPr="00E56ACB" w:rsidSect="00A227D6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linePitch="312"/>
        </w:sectPr>
      </w:pPr>
    </w:p>
    <w:tbl>
      <w:tblPr>
        <w:tblStyle w:val="a7"/>
        <w:tblW w:w="7847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47"/>
      </w:tblGrid>
      <w:tr w:rsidR="00E05FCD" w:rsidRPr="00E56ACB" w:rsidTr="00604432">
        <w:trPr>
          <w:trHeight w:val="2960"/>
          <w:jc w:val="center"/>
        </w:trPr>
        <w:tc>
          <w:tcPr>
            <w:tcW w:w="7847" w:type="dxa"/>
          </w:tcPr>
          <w:p w:rsidR="00E05FCD" w:rsidRPr="00E56ACB" w:rsidRDefault="00E05FCD" w:rsidP="00E56ACB">
            <w:pPr>
              <w:spacing w:line="480" w:lineRule="auto"/>
              <w:rPr>
                <w:color w:val="000000" w:themeColor="text1"/>
                <w:szCs w:val="21"/>
              </w:rPr>
            </w:pPr>
            <w:r w:rsidRPr="00E56ACB">
              <w:rPr>
                <w:color w:val="000000" w:themeColor="text1"/>
                <w:szCs w:val="21"/>
              </w:rPr>
              <w:lastRenderedPageBreak/>
              <w:t>Table. S3. The elemental compositions of g-C</w:t>
            </w:r>
            <w:r w:rsidRPr="00E56ACB">
              <w:rPr>
                <w:color w:val="000000" w:themeColor="text1"/>
                <w:szCs w:val="21"/>
                <w:vertAlign w:val="subscript"/>
              </w:rPr>
              <w:t>3</w:t>
            </w:r>
            <w:r w:rsidRPr="00E56ACB">
              <w:rPr>
                <w:color w:val="000000" w:themeColor="text1"/>
                <w:szCs w:val="21"/>
              </w:rPr>
              <w:t>N</w:t>
            </w:r>
            <w:r w:rsidRPr="00E56ACB">
              <w:rPr>
                <w:color w:val="000000" w:themeColor="text1"/>
                <w:szCs w:val="21"/>
                <w:vertAlign w:val="subscript"/>
              </w:rPr>
              <w:t>4</w:t>
            </w:r>
            <w:r w:rsidRPr="00E56ACB">
              <w:rPr>
                <w:color w:val="000000" w:themeColor="text1"/>
                <w:szCs w:val="21"/>
              </w:rPr>
              <w:t xml:space="preserve"> and C</w:t>
            </w:r>
            <w:r w:rsidRPr="00E56ACB">
              <w:rPr>
                <w:color w:val="000000" w:themeColor="text1"/>
                <w:szCs w:val="21"/>
                <w:vertAlign w:val="subscript"/>
              </w:rPr>
              <w:t>0.02</w:t>
            </w:r>
            <w:r w:rsidRPr="00E56ACB">
              <w:rPr>
                <w:color w:val="000000" w:themeColor="text1"/>
                <w:szCs w:val="21"/>
              </w:rPr>
              <w:t>CN samples</w:t>
            </w:r>
          </w:p>
          <w:tbl>
            <w:tblPr>
              <w:tblStyle w:val="a7"/>
              <w:tblW w:w="0" w:type="auto"/>
              <w:jc w:val="center"/>
              <w:tblInd w:w="0" w:type="dxa"/>
              <w:tblBorders>
                <w:top w:val="single" w:sz="12" w:space="0" w:color="auto"/>
                <w:left w:val="none" w:sz="0" w:space="0" w:color="auto"/>
                <w:bottom w:val="single" w:sz="12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05"/>
              <w:gridCol w:w="1276"/>
              <w:gridCol w:w="1296"/>
              <w:gridCol w:w="1114"/>
              <w:gridCol w:w="1275"/>
            </w:tblGrid>
            <w:tr w:rsidR="00E05FCD" w:rsidRPr="00E56ACB" w:rsidTr="00CB11B9">
              <w:trPr>
                <w:jc w:val="center"/>
              </w:trPr>
              <w:tc>
                <w:tcPr>
                  <w:tcW w:w="240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sample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C (%)</w:t>
                  </w:r>
                </w:p>
              </w:tc>
              <w:tc>
                <w:tcPr>
                  <w:tcW w:w="1296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 xml:space="preserve">N (%) </w:t>
                  </w:r>
                </w:p>
              </w:tc>
              <w:tc>
                <w:tcPr>
                  <w:tcW w:w="111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O (%)</w:t>
                  </w:r>
                </w:p>
              </w:tc>
              <w:tc>
                <w:tcPr>
                  <w:tcW w:w="127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C/N (%)</w:t>
                  </w:r>
                </w:p>
              </w:tc>
            </w:tr>
            <w:tr w:rsidR="00E05FCD" w:rsidRPr="00E56ACB" w:rsidTr="00CB11B9">
              <w:trPr>
                <w:jc w:val="center"/>
              </w:trPr>
              <w:tc>
                <w:tcPr>
                  <w:tcW w:w="2405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pristine g-C</w:t>
                  </w:r>
                  <w:r w:rsidRPr="00E56ACB">
                    <w:rPr>
                      <w:color w:val="000000" w:themeColor="text1"/>
                      <w:szCs w:val="21"/>
                      <w:vertAlign w:val="subscript"/>
                    </w:rPr>
                    <w:t>3</w:t>
                  </w:r>
                  <w:r w:rsidRPr="00E56ACB">
                    <w:rPr>
                      <w:color w:val="000000" w:themeColor="text1"/>
                      <w:szCs w:val="21"/>
                    </w:rPr>
                    <w:t>N</w:t>
                  </w:r>
                  <w:r w:rsidRPr="00E56ACB">
                    <w:rPr>
                      <w:color w:val="000000" w:themeColor="text1"/>
                      <w:szCs w:val="21"/>
                      <w:vertAlign w:val="subscript"/>
                    </w:rPr>
                    <w:t>4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50.29</w:t>
                  </w:r>
                </w:p>
              </w:tc>
              <w:tc>
                <w:tcPr>
                  <w:tcW w:w="129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44.05</w:t>
                  </w:r>
                </w:p>
              </w:tc>
              <w:tc>
                <w:tcPr>
                  <w:tcW w:w="111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5.65</w:t>
                  </w: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1.142</w:t>
                  </w:r>
                </w:p>
              </w:tc>
            </w:tr>
            <w:tr w:rsidR="00E05FCD" w:rsidRPr="00E56ACB" w:rsidTr="00CB11B9">
              <w:trPr>
                <w:jc w:val="center"/>
              </w:trPr>
              <w:tc>
                <w:tcPr>
                  <w:tcW w:w="2405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C</w:t>
                  </w:r>
                  <w:r w:rsidRPr="00E56ACB">
                    <w:rPr>
                      <w:color w:val="000000" w:themeColor="text1"/>
                      <w:szCs w:val="21"/>
                      <w:vertAlign w:val="subscript"/>
                    </w:rPr>
                    <w:t>0.02</w:t>
                  </w:r>
                  <w:r w:rsidRPr="00E56ACB">
                    <w:rPr>
                      <w:color w:val="000000" w:themeColor="text1"/>
                      <w:szCs w:val="21"/>
                    </w:rPr>
                    <w:t>CN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57.01</w:t>
                  </w:r>
                </w:p>
              </w:tc>
              <w:tc>
                <w:tcPr>
                  <w:tcW w:w="129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35.52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7.47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:rsidR="00E05FCD" w:rsidRPr="00E56ACB" w:rsidRDefault="00E05FCD" w:rsidP="00E56ACB">
                  <w:pPr>
                    <w:spacing w:line="480" w:lineRule="auto"/>
                    <w:jc w:val="center"/>
                    <w:rPr>
                      <w:i/>
                      <w:color w:val="000000" w:themeColor="text1"/>
                      <w:szCs w:val="21"/>
                    </w:rPr>
                  </w:pPr>
                  <w:r w:rsidRPr="00E56ACB">
                    <w:rPr>
                      <w:color w:val="000000" w:themeColor="text1"/>
                      <w:szCs w:val="21"/>
                    </w:rPr>
                    <w:t>1.605</w:t>
                  </w:r>
                </w:p>
              </w:tc>
            </w:tr>
          </w:tbl>
          <w:p w:rsidR="00E05FCD" w:rsidRPr="00E56ACB" w:rsidRDefault="00E05FCD" w:rsidP="00E56ACB">
            <w:pPr>
              <w:spacing w:line="480" w:lineRule="auto"/>
              <w:rPr>
                <w:noProof/>
                <w:color w:val="000000" w:themeColor="text1"/>
                <w:szCs w:val="21"/>
              </w:rPr>
            </w:pPr>
          </w:p>
        </w:tc>
      </w:tr>
    </w:tbl>
    <w:p w:rsidR="00E05FCD" w:rsidRPr="00E56ACB" w:rsidRDefault="00E05FCD" w:rsidP="00E56ACB">
      <w:pPr>
        <w:spacing w:line="480" w:lineRule="auto"/>
        <w:rPr>
          <w:rFonts w:ascii="Times New Roman" w:eastAsia="等线" w:hAnsi="Times New Roman" w:cs="Times New Roman"/>
          <w:noProof/>
          <w:sz w:val="20"/>
        </w:rPr>
      </w:pPr>
      <w:r w:rsidRPr="00E56ACB">
        <w:rPr>
          <w:rFonts w:ascii="Times New Roman" w:hAnsi="Times New Roman" w:cs="Times New Roman"/>
        </w:rPr>
        <w:br w:type="page"/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lastRenderedPageBreak/>
        <w:t>Ahmed Uddin, Abdur Rauf, Tong Wu, Rizwan Khan, Yalin Yu, Ling Tan, Fang Jiang, Chen H (2021) In</w:t>
      </w:r>
      <w:r w:rsidRPr="00E56ACB">
        <w:rPr>
          <w:rFonts w:ascii="Times New Roman" w:hAnsi="Times New Roman" w:cs="Times New Roman"/>
          <w:vertAlign w:val="subscript"/>
        </w:rPr>
        <w:t>2</w:t>
      </w:r>
      <w:r w:rsidRPr="00E56ACB">
        <w:rPr>
          <w:rFonts w:ascii="Times New Roman" w:hAnsi="Times New Roman" w:cs="Times New Roman"/>
        </w:rPr>
        <w:t>O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/oxygen doped 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 xml:space="preserve"> towards photocatalytic BPA degradation: Balance of oxygen between metal oxides and doped 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>. J Colloid Interf Sci 602, 261-273, http://doi.org/10.1016/j.jcis.2021.06.003.</w:t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Haibo Zhang, Jiacong Wu, Juan Han, Lei Wang, Wenli Zhang, Hongjun Dong, Chunmei Li, Wang Y (2020) Photocatalyst/enzyme heterojunction fabricated for high-efficiency photoenzyme synergic catalytic degrading Bisphenol A in water. Chem Eng J 385, 123764, http://doi.org/ARTN 123764</w:t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10.1016/j.cej.2019.123764.</w:t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Mei J, Zhang DP, Li N, Zhang MX, Gu XY, Miao SC, Cui SH, Yang J (2018) The synthesis of Ag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PO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>/g-C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 xml:space="preserve"> nanocomposites and the application in the photocatalytic degradation of bisphenol A under visible light irradiation. J Alloy Compd 749, 715-723, http://doi.org/10.1016/j.jallcom.2018.03.251.</w:t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Sai Zhang, Shuang Song, Pengcheng Gu, Ran Ma, Dongli Wei, Guixia Zhao, Tao Wen, Riffat Jehan, Baowei Hu, Wang X (2019) Visible-light-driven activation of persulfate over cyano and hydroxyl group co-modified mesoporous 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 xml:space="preserve"> for boosting bisphenol A degradation. J. Mater. Chem. A 7, 5552, http://doi.org/10.1039/C9TA00339H.</w:t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Suding Yan, Yue Shi, Yufang Tao, Zhang H (2019) Enhanced persulfate-mediated photocatalytic oxidation of bisphenol A using bioelectricity and a 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>/Fe</w:t>
      </w:r>
      <w:r w:rsidRPr="00E56ACB">
        <w:rPr>
          <w:rFonts w:ascii="Times New Roman" w:hAnsi="Times New Roman" w:cs="Times New Roman"/>
          <w:vertAlign w:val="subscript"/>
        </w:rPr>
        <w:t>2</w:t>
      </w:r>
      <w:r w:rsidRPr="00E56ACB">
        <w:rPr>
          <w:rFonts w:ascii="Times New Roman" w:hAnsi="Times New Roman" w:cs="Times New Roman"/>
        </w:rPr>
        <w:t>O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 xml:space="preserve"> heterojunction. Chem Eng J 359, 933-943, http://doi.org/10.1016/j.cej.2018.11.093.</w:t>
      </w:r>
    </w:p>
    <w:p w:rsidR="00E05FCD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Sutar RS, Barkul RP, Delekar SD, Patil MK (2020) Sunlight assisted photocatalytic degradation of organic pollutants using 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>-TiO</w:t>
      </w:r>
      <w:r w:rsidRPr="00E56ACB">
        <w:rPr>
          <w:rFonts w:ascii="Times New Roman" w:hAnsi="Times New Roman" w:cs="Times New Roman"/>
          <w:vertAlign w:val="subscript"/>
        </w:rPr>
        <w:t>2</w:t>
      </w:r>
      <w:r w:rsidRPr="00E56ACB">
        <w:rPr>
          <w:rFonts w:ascii="Times New Roman" w:hAnsi="Times New Roman" w:cs="Times New Roman"/>
        </w:rPr>
        <w:t xml:space="preserve"> nanocomposites. Arab J Chem 13, 4966-4977, </w:t>
      </w:r>
      <w:r w:rsidRPr="00E56ACB">
        <w:rPr>
          <w:rFonts w:ascii="Times New Roman" w:hAnsi="Times New Roman" w:cs="Times New Roman"/>
        </w:rPr>
        <w:lastRenderedPageBreak/>
        <w:t>http://doi.org/10.1016/j.arabjc.2020.01.019.</w:t>
      </w:r>
    </w:p>
    <w:p w:rsidR="00C5096B" w:rsidRPr="00E56ACB" w:rsidRDefault="00E05FCD" w:rsidP="00E56AC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E56ACB">
        <w:rPr>
          <w:rFonts w:ascii="Times New Roman" w:hAnsi="Times New Roman" w:cs="Times New Roman"/>
        </w:rPr>
        <w:t>Yan Gong, Bo Yang, Hui Zhang, Zhao X (2018) A g-C</w:t>
      </w:r>
      <w:r w:rsidRPr="00E56ACB">
        <w:rPr>
          <w:rFonts w:ascii="Times New Roman" w:hAnsi="Times New Roman" w:cs="Times New Roman"/>
          <w:vertAlign w:val="subscript"/>
        </w:rPr>
        <w:t>3</w:t>
      </w:r>
      <w:r w:rsidRPr="00E56ACB">
        <w:rPr>
          <w:rFonts w:ascii="Times New Roman" w:hAnsi="Times New Roman" w:cs="Times New Roman"/>
        </w:rPr>
        <w:t>N</w:t>
      </w:r>
      <w:r w:rsidRPr="00E56ACB">
        <w:rPr>
          <w:rFonts w:ascii="Times New Roman" w:hAnsi="Times New Roman" w:cs="Times New Roman"/>
          <w:vertAlign w:val="subscript"/>
        </w:rPr>
        <w:t>4</w:t>
      </w:r>
      <w:r w:rsidRPr="00E56ACB">
        <w:rPr>
          <w:rFonts w:ascii="Times New Roman" w:hAnsi="Times New Roman" w:cs="Times New Roman"/>
        </w:rPr>
        <w:t>/MIL-101(Fe) heterostructure composite for highly efficient BPA degradation with persulfate under visible light irradiation. Journal of Materials Chemistry A 6, 23703, http://doi.org/10.1039/C8TA07915C.</w:t>
      </w:r>
    </w:p>
    <w:sectPr w:rsidR="00C5096B" w:rsidRPr="00E56ACB" w:rsidSect="002D20A4">
      <w:pgSz w:w="11906" w:h="16838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6DB" w:rsidRDefault="00E166DB">
      <w:r>
        <w:separator/>
      </w:r>
    </w:p>
  </w:endnote>
  <w:endnote w:type="continuationSeparator" w:id="0">
    <w:p w:rsidR="00E166DB" w:rsidRDefault="00E16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7194528"/>
      <w:docPartObj>
        <w:docPartGallery w:val="Page Numbers (Bottom of Page)"/>
        <w:docPartUnique/>
      </w:docPartObj>
    </w:sdtPr>
    <w:sdtEndPr/>
    <w:sdtContent>
      <w:p w:rsidR="001B2662" w:rsidRDefault="00E05F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ACB" w:rsidRPr="00E56ACB">
          <w:rPr>
            <w:noProof/>
            <w:lang w:val="zh-CN"/>
          </w:rPr>
          <w:t>8</w:t>
        </w:r>
        <w:r>
          <w:fldChar w:fldCharType="end"/>
        </w:r>
      </w:p>
    </w:sdtContent>
  </w:sdt>
  <w:p w:rsidR="001B2662" w:rsidRDefault="00E166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6DB" w:rsidRDefault="00E166DB">
      <w:r>
        <w:separator/>
      </w:r>
    </w:p>
  </w:footnote>
  <w:footnote w:type="continuationSeparator" w:id="0">
    <w:p w:rsidR="00E166DB" w:rsidRDefault="00E16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9AC" w:rsidRDefault="00E166DB" w:rsidP="006B39AC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9AC" w:rsidRDefault="00E166DB" w:rsidP="006B39A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2D4CBE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738069F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0B0C31C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8B5E183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BBB0FC9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CB6877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1FC646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218157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34A1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076AD3D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E05FCD"/>
    <w:rsid w:val="00C5096B"/>
    <w:rsid w:val="00E05FCD"/>
    <w:rsid w:val="00E166DB"/>
    <w:rsid w:val="00E5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466"/>
  <w15:chartTrackingRefBased/>
  <w15:docId w15:val="{D64D006B-3F9A-4AF8-A727-2DD3911D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A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5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5F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5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5FCD"/>
    <w:rPr>
      <w:sz w:val="18"/>
      <w:szCs w:val="18"/>
    </w:rPr>
  </w:style>
  <w:style w:type="table" w:styleId="a7">
    <w:name w:val="Table Grid"/>
    <w:basedOn w:val="a1"/>
    <w:qFormat/>
    <w:rsid w:val="00E05FC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unhideWhenUsed/>
    <w:rsid w:val="00E56ACB"/>
    <w:rPr>
      <w:rFonts w:ascii="Times New Roman" w:eastAsia="宋体" w:hAnsi="Times New Roman"/>
      <w:sz w:val="24"/>
    </w:rPr>
  </w:style>
  <w:style w:type="paragraph" w:styleId="a9">
    <w:name w:val="caption"/>
    <w:basedOn w:val="a"/>
    <w:next w:val="a"/>
    <w:uiPriority w:val="35"/>
    <w:unhideWhenUsed/>
    <w:qFormat/>
    <w:rsid w:val="00E05FCD"/>
    <w:pPr>
      <w:widowControl/>
      <w:spacing w:after="200" w:line="276" w:lineRule="auto"/>
      <w:jc w:val="left"/>
    </w:pPr>
    <w:rPr>
      <w:b/>
      <w:bCs/>
      <w:i/>
      <w:kern w:val="0"/>
      <w:sz w:val="20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E05FC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05FC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05FC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05FCD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unhideWhenUsed/>
    <w:rsid w:val="00E05F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6997A-6708-49AE-9E9C-BE32B65F3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676</Words>
  <Characters>3858</Characters>
  <Application>Microsoft Office Word</Application>
  <DocSecurity>0</DocSecurity>
  <Lines>32</Lines>
  <Paragraphs>9</Paragraphs>
  <ScaleCrop>false</ScaleCrop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2022-10-05T01:46:00Z</dcterms:created>
  <dcterms:modified xsi:type="dcterms:W3CDTF">2022-10-05T07:00:00Z</dcterms:modified>
</cp:coreProperties>
</file>