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6F0DE" w14:textId="2DDF172E" w:rsidR="006F3F95" w:rsidRDefault="00967D8E">
      <w:r>
        <w:t>Supplemental Table B</w:t>
      </w:r>
      <w:r w:rsidR="006F3F95">
        <w:t>. Multivariable analysis: The Occurrence of Adverse Tracheal Intubation Associated Events in Patients who received Tracheal Intubations Before and After Apneic Oxygenation Implementation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885"/>
        <w:gridCol w:w="2160"/>
        <w:gridCol w:w="2250"/>
        <w:gridCol w:w="2340"/>
        <w:gridCol w:w="1440"/>
      </w:tblGrid>
      <w:tr w:rsidR="00FB2F9B" w14:paraId="385B3DAC" w14:textId="77777777" w:rsidTr="00FB2F9B">
        <w:tc>
          <w:tcPr>
            <w:tcW w:w="1885" w:type="dxa"/>
          </w:tcPr>
          <w:p w14:paraId="75C369EF" w14:textId="34854EC1" w:rsidR="00FB2F9B" w:rsidRDefault="00FB2F9B" w:rsidP="006F3F95">
            <w:r>
              <w:t>Outcome</w:t>
            </w:r>
          </w:p>
        </w:tc>
        <w:tc>
          <w:tcPr>
            <w:tcW w:w="2160" w:type="dxa"/>
          </w:tcPr>
          <w:p w14:paraId="1ABC39AE" w14:textId="77777777" w:rsidR="00FB2F9B" w:rsidRDefault="00FB2F9B" w:rsidP="006F3F95">
            <w:r>
              <w:t>Pre-intervention</w:t>
            </w:r>
          </w:p>
          <w:p w14:paraId="3AA6F3E1" w14:textId="49580536" w:rsidR="00FB2F9B" w:rsidRDefault="00FB2F9B" w:rsidP="006F3F95">
            <w:r>
              <w:t>n=2,554</w:t>
            </w:r>
          </w:p>
        </w:tc>
        <w:tc>
          <w:tcPr>
            <w:tcW w:w="2250" w:type="dxa"/>
          </w:tcPr>
          <w:p w14:paraId="5B9A452C" w14:textId="77777777" w:rsidR="00FB2F9B" w:rsidRDefault="00FB2F9B" w:rsidP="006F3F95">
            <w:pPr>
              <w:rPr>
                <w:rFonts w:ascii="Calibri" w:hAnsi="Calibri" w:cs="Calibri"/>
                <w:color w:val="000000" w:themeColor="text1"/>
                <w:kern w:val="24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</w:rPr>
              <w:t>Post-intervention</w:t>
            </w:r>
          </w:p>
          <w:p w14:paraId="31E6D97A" w14:textId="389E4B16" w:rsidR="00FB2F9B" w:rsidRDefault="00FB2F9B" w:rsidP="006F3F95">
            <w:r>
              <w:rPr>
                <w:rFonts w:ascii="Calibri" w:hAnsi="Calibri" w:cs="Calibri"/>
                <w:color w:val="000000" w:themeColor="text1"/>
                <w:kern w:val="24"/>
              </w:rPr>
              <w:t>n=3,995</w:t>
            </w:r>
          </w:p>
        </w:tc>
        <w:tc>
          <w:tcPr>
            <w:tcW w:w="2340" w:type="dxa"/>
          </w:tcPr>
          <w:p w14:paraId="0031F5E4" w14:textId="0443A99B" w:rsidR="00FB2F9B" w:rsidRDefault="00FB2F9B" w:rsidP="006F3F95">
            <w:r w:rsidRPr="00DF0E7F">
              <w:rPr>
                <w:rFonts w:ascii="Calibri" w:hAnsi="Calibri" w:cs="Calibri"/>
                <w:color w:val="000000" w:themeColor="text1"/>
                <w:kern w:val="24"/>
              </w:rPr>
              <w:t>Unadjusted O</w:t>
            </w:r>
            <w:r>
              <w:rPr>
                <w:rFonts w:ascii="Calibri" w:hAnsi="Calibri" w:cs="Calibri"/>
                <w:color w:val="000000" w:themeColor="text1"/>
                <w:kern w:val="24"/>
              </w:rPr>
              <w:t>dds Ratio (95% CI)</w:t>
            </w:r>
          </w:p>
        </w:tc>
        <w:tc>
          <w:tcPr>
            <w:tcW w:w="1440" w:type="dxa"/>
          </w:tcPr>
          <w:p w14:paraId="17B2D3C5" w14:textId="16BCBC73" w:rsidR="00FB2F9B" w:rsidRDefault="00FB2F9B" w:rsidP="006F3F95">
            <w:r w:rsidRPr="00DF0E7F">
              <w:rPr>
                <w:rFonts w:ascii="Calibri" w:hAnsi="Calibri" w:cs="Calibri"/>
                <w:color w:val="000000" w:themeColor="text1"/>
                <w:kern w:val="24"/>
              </w:rPr>
              <w:t>P-value</w:t>
            </w:r>
          </w:p>
        </w:tc>
      </w:tr>
      <w:tr w:rsidR="00FB2F9B" w14:paraId="40A670CB" w14:textId="77777777" w:rsidTr="00FB2F9B">
        <w:tc>
          <w:tcPr>
            <w:tcW w:w="1885" w:type="dxa"/>
          </w:tcPr>
          <w:p w14:paraId="4BF90558" w14:textId="792B1428" w:rsidR="00FB2F9B" w:rsidRDefault="00FB2F9B" w:rsidP="006F3F95">
            <w:r w:rsidRPr="00DF0E7F">
              <w:rPr>
                <w:rFonts w:ascii="Calibri" w:hAnsi="Calibri" w:cs="Calibri"/>
                <w:color w:val="000000" w:themeColor="text1"/>
                <w:kern w:val="24"/>
              </w:rPr>
              <w:t>Adverse TIAE</w:t>
            </w:r>
          </w:p>
        </w:tc>
        <w:tc>
          <w:tcPr>
            <w:tcW w:w="2160" w:type="dxa"/>
          </w:tcPr>
          <w:p w14:paraId="1F59AFDA" w14:textId="5AC12316" w:rsidR="00FB2F9B" w:rsidRDefault="00FB2F9B" w:rsidP="006F3F95">
            <w:r>
              <w:t>324 (12.7%)</w:t>
            </w:r>
          </w:p>
        </w:tc>
        <w:tc>
          <w:tcPr>
            <w:tcW w:w="2250" w:type="dxa"/>
          </w:tcPr>
          <w:p w14:paraId="4EBBF2CB" w14:textId="172B7A62" w:rsidR="00FB2F9B" w:rsidRDefault="00FB2F9B" w:rsidP="006F3F95">
            <w:r>
              <w:t>461 (11.5%)</w:t>
            </w:r>
          </w:p>
        </w:tc>
        <w:tc>
          <w:tcPr>
            <w:tcW w:w="2340" w:type="dxa"/>
          </w:tcPr>
          <w:p w14:paraId="1B5E4338" w14:textId="6075A6F4" w:rsidR="00FB2F9B" w:rsidRDefault="00FB2F9B" w:rsidP="006F3F95">
            <w:r>
              <w:t>0.90 (0.55-1.45)</w:t>
            </w:r>
          </w:p>
        </w:tc>
        <w:tc>
          <w:tcPr>
            <w:tcW w:w="1440" w:type="dxa"/>
          </w:tcPr>
          <w:p w14:paraId="0A457D49" w14:textId="4675415F" w:rsidR="00FB2F9B" w:rsidRDefault="00FB2F9B" w:rsidP="006F3F95">
            <w:r>
              <w:t>0.662</w:t>
            </w:r>
          </w:p>
        </w:tc>
      </w:tr>
      <w:tr w:rsidR="00FB2F9B" w14:paraId="59D36731" w14:textId="77777777" w:rsidTr="00FB2F9B">
        <w:tc>
          <w:tcPr>
            <w:tcW w:w="1885" w:type="dxa"/>
          </w:tcPr>
          <w:p w14:paraId="0963FD70" w14:textId="04B13EC4" w:rsidR="00FB2F9B" w:rsidRDefault="00FB2F9B" w:rsidP="006F3F95">
            <w:r w:rsidRPr="00DF0E7F">
              <w:rPr>
                <w:rFonts w:ascii="Calibri" w:hAnsi="Calibri" w:cs="Calibri"/>
                <w:color w:val="000000" w:themeColor="text1"/>
                <w:kern w:val="24"/>
              </w:rPr>
              <w:t>Severe TIAE</w:t>
            </w:r>
          </w:p>
        </w:tc>
        <w:tc>
          <w:tcPr>
            <w:tcW w:w="2160" w:type="dxa"/>
          </w:tcPr>
          <w:p w14:paraId="4C41E57A" w14:textId="166BF685" w:rsidR="00FB2F9B" w:rsidRDefault="00FB2F9B" w:rsidP="006F3F95">
            <w:r>
              <w:t>132 (5.2%)</w:t>
            </w:r>
          </w:p>
        </w:tc>
        <w:tc>
          <w:tcPr>
            <w:tcW w:w="2250" w:type="dxa"/>
          </w:tcPr>
          <w:p w14:paraId="170D48F9" w14:textId="1283DA53" w:rsidR="00FB2F9B" w:rsidRDefault="00FB2F9B" w:rsidP="006F3F95">
            <w:r>
              <w:t>187 (4.7%)</w:t>
            </w:r>
          </w:p>
        </w:tc>
        <w:tc>
          <w:tcPr>
            <w:tcW w:w="2340" w:type="dxa"/>
          </w:tcPr>
          <w:p w14:paraId="73B52F27" w14:textId="142A6604" w:rsidR="00FB2F9B" w:rsidRDefault="00FB2F9B" w:rsidP="006F3F95">
            <w:r>
              <w:t>0.90 (0.60-1.36)</w:t>
            </w:r>
          </w:p>
        </w:tc>
        <w:tc>
          <w:tcPr>
            <w:tcW w:w="1440" w:type="dxa"/>
          </w:tcPr>
          <w:p w14:paraId="08DEDBF0" w14:textId="57E09373" w:rsidR="00FB2F9B" w:rsidRDefault="00FB2F9B" w:rsidP="006F3F95">
            <w:r>
              <w:t>0.619</w:t>
            </w:r>
          </w:p>
        </w:tc>
      </w:tr>
      <w:tr w:rsidR="00FB2F9B" w14:paraId="2BEA779F" w14:textId="77777777" w:rsidTr="00FB2F9B">
        <w:tc>
          <w:tcPr>
            <w:tcW w:w="1885" w:type="dxa"/>
          </w:tcPr>
          <w:p w14:paraId="501C8FB1" w14:textId="1A858B2A" w:rsidR="00FB2F9B" w:rsidRPr="00DF0E7F" w:rsidRDefault="00FB2F9B" w:rsidP="006F3F95">
            <w:pPr>
              <w:rPr>
                <w:rFonts w:ascii="Calibri" w:hAnsi="Calibri" w:cs="Calibri"/>
                <w:color w:val="000000" w:themeColor="text1"/>
                <w:kern w:val="24"/>
              </w:rPr>
            </w:pPr>
            <w:r>
              <w:rPr>
                <w:rFonts w:ascii="Calibri" w:hAnsi="Calibri" w:cs="Calibri"/>
                <w:color w:val="000000" w:themeColor="text1"/>
                <w:kern w:val="24"/>
              </w:rPr>
              <w:t>Multiple attempts</w:t>
            </w:r>
          </w:p>
        </w:tc>
        <w:tc>
          <w:tcPr>
            <w:tcW w:w="2160" w:type="dxa"/>
          </w:tcPr>
          <w:p w14:paraId="72C15BD4" w14:textId="3FA3936B" w:rsidR="00FB2F9B" w:rsidRDefault="005043E8" w:rsidP="006F3F95">
            <w:r>
              <w:t>249 (9.8%)</w:t>
            </w:r>
          </w:p>
        </w:tc>
        <w:tc>
          <w:tcPr>
            <w:tcW w:w="2250" w:type="dxa"/>
          </w:tcPr>
          <w:p w14:paraId="7EECCEBF" w14:textId="5F519DF7" w:rsidR="00FB2F9B" w:rsidRDefault="005043E8" w:rsidP="006F3F95">
            <w:r>
              <w:t>336 (8.4%)</w:t>
            </w:r>
          </w:p>
        </w:tc>
        <w:tc>
          <w:tcPr>
            <w:tcW w:w="2340" w:type="dxa"/>
          </w:tcPr>
          <w:p w14:paraId="5DC4639B" w14:textId="7AB506C5" w:rsidR="00FB2F9B" w:rsidRDefault="00B050B5" w:rsidP="006F3F95">
            <w:r>
              <w:t>0.85 (0.61-1.19)</w:t>
            </w:r>
          </w:p>
        </w:tc>
        <w:tc>
          <w:tcPr>
            <w:tcW w:w="1440" w:type="dxa"/>
          </w:tcPr>
          <w:p w14:paraId="522E12A4" w14:textId="0A422A9C" w:rsidR="00FB2F9B" w:rsidRDefault="00B050B5" w:rsidP="006F3F95">
            <w:r>
              <w:t>0.349</w:t>
            </w:r>
          </w:p>
        </w:tc>
      </w:tr>
      <w:tr w:rsidR="00FB2F9B" w14:paraId="385EAF29" w14:textId="77777777" w:rsidTr="00FB2F9B">
        <w:tc>
          <w:tcPr>
            <w:tcW w:w="1885" w:type="dxa"/>
          </w:tcPr>
          <w:p w14:paraId="49E06967" w14:textId="1EC19EFA" w:rsidR="00FB2F9B" w:rsidRDefault="00FB2F9B" w:rsidP="006F3F95">
            <w:r w:rsidRPr="00DF0E7F">
              <w:rPr>
                <w:rFonts w:ascii="Calibri" w:hAnsi="Calibri" w:cs="Calibri"/>
                <w:color w:val="000000" w:themeColor="text1"/>
                <w:kern w:val="24"/>
              </w:rPr>
              <w:t>Severe Hypoxemia</w:t>
            </w:r>
            <w:r>
              <w:rPr>
                <w:rFonts w:ascii="Calibri" w:hAnsi="Calibri" w:cs="Calibri"/>
                <w:color w:val="000000" w:themeColor="text1"/>
                <w:kern w:val="24"/>
              </w:rPr>
              <w:t xml:space="preserve"> </w:t>
            </w:r>
            <w:r w:rsidRPr="00DF0E7F">
              <w:rPr>
                <w:rFonts w:ascii="Calibri" w:hAnsi="Calibri" w:cs="Calibri"/>
                <w:color w:val="000000" w:themeColor="text1"/>
                <w:kern w:val="24"/>
              </w:rPr>
              <w:t>(SpO2&lt;80%)</w:t>
            </w:r>
          </w:p>
        </w:tc>
        <w:tc>
          <w:tcPr>
            <w:tcW w:w="2160" w:type="dxa"/>
          </w:tcPr>
          <w:p w14:paraId="1E2AB5BE" w14:textId="0A4C3722" w:rsidR="00FB2F9B" w:rsidRDefault="00FB2F9B" w:rsidP="006F3F95">
            <w:r>
              <w:t>442 (17.3%)</w:t>
            </w:r>
          </w:p>
        </w:tc>
        <w:tc>
          <w:tcPr>
            <w:tcW w:w="2250" w:type="dxa"/>
          </w:tcPr>
          <w:p w14:paraId="678B05EC" w14:textId="00ADCA37" w:rsidR="00FB2F9B" w:rsidRDefault="00FB2F9B" w:rsidP="006F3F95">
            <w:r>
              <w:t>581 (14.5%)</w:t>
            </w:r>
          </w:p>
        </w:tc>
        <w:tc>
          <w:tcPr>
            <w:tcW w:w="2340" w:type="dxa"/>
          </w:tcPr>
          <w:p w14:paraId="5B6F2F03" w14:textId="786B4D37" w:rsidR="00FB2F9B" w:rsidRDefault="00FB2F9B" w:rsidP="006F3F95">
            <w:r>
              <w:t>0.81 (0.61-1.09)</w:t>
            </w:r>
          </w:p>
        </w:tc>
        <w:tc>
          <w:tcPr>
            <w:tcW w:w="1440" w:type="dxa"/>
          </w:tcPr>
          <w:p w14:paraId="536B5EBB" w14:textId="4322C51A" w:rsidR="00FB2F9B" w:rsidRDefault="00FB2F9B" w:rsidP="006F3F95">
            <w:r>
              <w:t>0.164</w:t>
            </w:r>
          </w:p>
        </w:tc>
      </w:tr>
    </w:tbl>
    <w:p w14:paraId="4BCE602B" w14:textId="2BB3582B" w:rsidR="00A41A52" w:rsidRDefault="00A41A52"/>
    <w:p w14:paraId="1360D155" w14:textId="77777777" w:rsidR="00E07CB8" w:rsidRDefault="00E07CB8" w:rsidP="00E07CB8">
      <w:r>
        <w:t xml:space="preserve">Footnote: Unadjusted odds ratio was calculated with logistic regression with generalized estimating equations.  </w:t>
      </w:r>
    </w:p>
    <w:p w14:paraId="044B600E" w14:textId="77777777" w:rsidR="00E07CB8" w:rsidRDefault="00E07CB8" w:rsidP="00E07CB8">
      <w:r>
        <w:t>CI denotes confidence interval.</w:t>
      </w:r>
    </w:p>
    <w:p w14:paraId="1A4A46E9" w14:textId="77777777" w:rsidR="007875FE" w:rsidRDefault="007875FE"/>
    <w:sectPr w:rsidR="007875FE" w:rsidSect="006F3F9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F95"/>
    <w:rsid w:val="002E3DF6"/>
    <w:rsid w:val="005043E8"/>
    <w:rsid w:val="006F3F95"/>
    <w:rsid w:val="007875FE"/>
    <w:rsid w:val="008A3A92"/>
    <w:rsid w:val="008C4F27"/>
    <w:rsid w:val="00967D8E"/>
    <w:rsid w:val="00A41A52"/>
    <w:rsid w:val="00B050B5"/>
    <w:rsid w:val="00CB3CFE"/>
    <w:rsid w:val="00D91F2B"/>
    <w:rsid w:val="00E07CB8"/>
    <w:rsid w:val="00FB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61955"/>
  <w15:chartTrackingRefBased/>
  <w15:docId w15:val="{39F655DB-08BD-479E-ACB4-320AD413A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Nishisaki, Akira</dc:creator>
  <cp:keywords/>
  <dc:description/>
  <cp:lastModifiedBy>Napolitano, Natalie</cp:lastModifiedBy>
  <cp:revision>9</cp:revision>
  <dcterms:created xsi:type="dcterms:W3CDTF">2022-02-25T21:47:00Z</dcterms:created>
  <dcterms:modified xsi:type="dcterms:W3CDTF">2022-08-15T13:31:00Z</dcterms:modified>
</cp:coreProperties>
</file>