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71120</wp:posOffset>
                </wp:positionV>
                <wp:extent cx="9253220" cy="74422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53220" cy="7442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4572" w:type="dxa"/>
                              <w:tblInd w:w="0" w:type="dxa"/>
                              <w:tblBorders>
                                <w:top w:val="single" w:color="ffffff" w:sz="8" w:space="0" w:shadow="0" w:frame="0"/>
                                <w:left w:val="single" w:color="ffffff" w:sz="8" w:space="0" w:shadow="0" w:frame="0"/>
                                <w:bottom w:val="single" w:color="ffffff" w:sz="8" w:space="0" w:shadow="0" w:frame="0"/>
                                <w:right w:val="single" w:color="ffffff" w:sz="8" w:space="0" w:shadow="0" w:frame="0"/>
                                <w:insideH w:val="single" w:color="ffffff" w:sz="8" w:space="0" w:shadow="0" w:frame="0"/>
                                <w:insideV w:val="single" w:color="ffffff" w:sz="8" w:space="0" w:shadow="0" w:frame="0"/>
                              </w:tblBorders>
                              <w:shd w:val="clear" w:color="auto" w:fill="ced7e7"/>
                              <w:tblLayout w:type="fixed"/>
                            </w:tblPr>
                            <w:tblGrid>
                              <w:gridCol w:w="1190"/>
                              <w:gridCol w:w="3691"/>
                              <w:gridCol w:w="1383"/>
                              <w:gridCol w:w="1383"/>
                              <w:gridCol w:w="1383"/>
                              <w:gridCol w:w="1383"/>
                              <w:gridCol w:w="1395"/>
                              <w:gridCol w:w="1382"/>
                              <w:gridCol w:w="1382"/>
                            </w:tblGrid>
                            <w:tr>
                              <w:tblPrEx>
                                <w:shd w:val="clear" w:color="auto" w:fill="4f81bd"/>
                              </w:tblPrEx>
                              <w:trPr>
                                <w:trHeight w:val="605" w:hRule="atLeast"/>
                              </w:trPr>
                              <w:tc>
                                <w:tcPr>
                                  <w:tcW w:type="dxa" w:w="14572"/>
                                  <w:gridSpan w:val="9"/>
                                  <w:tcBorders>
                                    <w:top w:val="nil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1"/>
                                    <w:shd w:val="clear" w:color="auto" w:fill="auto"/>
                                    <w:tabs>
                                      <w:tab w:val="left" w:pos="1440"/>
                                      <w:tab w:val="left" w:pos="2880"/>
                                      <w:tab w:val="left" w:pos="4320"/>
                                      <w:tab w:val="left" w:pos="5760"/>
                                      <w:tab w:val="left" w:pos="7200"/>
                                      <w:tab w:val="left" w:pos="8640"/>
                                      <w:tab w:val="left" w:pos="10080"/>
                                      <w:tab w:val="left" w:pos="11520"/>
                                      <w:tab w:val="left" w:pos="12960"/>
                                      <w:tab w:val="left" w:pos="14072"/>
                                      <w:tab w:val="left" w:pos="14072"/>
                                    </w:tabs>
                                    <w:suppressAutoHyphens w:val="1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outlineLvl w:val="0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Calibri" w:cs="Arial Unicode MS" w:hAnsi="Calibri" w:eastAsia="Arial Unicode MS"/>
                                      <w:b w:val="1"/>
                                      <w:bCs w:val="1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8"/>
                                      <w:szCs w:val="28"/>
                                      <w:u w:val="none" w:color="000000"/>
                                      <w:vertAlign w:val="baseline"/>
                                      <w:rtl w:val="0"/>
                                      <w:lang w:val="en-US"/>
                                    </w:rPr>
                                    <w:t>Table 4a: Fluid requirements and per-operative haemodymics</w:t>
                                  </w:r>
                                  <w:r>
                                    <w:rPr>
                                      <w:rFonts w:ascii="Arial Unicode MS" w:cs="Arial Unicode MS" w:hAnsi="Arial Unicode MS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8"/>
                                      <w:szCs w:val="28"/>
                                      <w:u w:val="none" w:color="000000"/>
                                      <w:vertAlign w:val="baseline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ascii="Calibri" w:cs="Arial Unicode MS" w:hAnsi="Calibri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  <w:lang w:val="en-US"/>
                                    </w:rPr>
                                    <w:t>Fluid requirements (FLUIDS)</w:t>
                                  </w:r>
                                  <w:r>
                                    <w:rPr>
                                      <w:rFonts w:ascii="Calibri" w:cs="Arial Unicode MS" w:hAnsi="Calibri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  <w:lang w:val="fr-FR"/>
                                    </w:rPr>
                                    <w:t xml:space="preserve">; </w:t>
                                  </w:r>
                                  <w:r>
                                    <w:rPr>
                                      <w:rFonts w:ascii="Calibri" w:cs="Arial Unicode MS" w:hAnsi="Calibri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  <w:lang w:val="en-US"/>
                                    </w:rPr>
                                    <w:t xml:space="preserve">peri-operative haemodymics (HD); data as Mean </w:t>
                                  </w:r>
                                  <w:r>
                                    <w:rPr>
                                      <w:rFonts w:ascii="Calibri" w:cs="Arial Unicode MS" w:hAnsi="Calibri" w:eastAsia="Arial Unicode MS" w:hint="default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cs="Arial Unicode MS" w:hAnsi="Calibri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  <w:lang w:val="en-US"/>
                                    </w:rPr>
                                    <w:t>SD - Analysis by Mann-Whitney test</w:t>
                                  </w:r>
                                  <w:r>
                                    <w:rPr>
                                      <w:rFonts w:ascii="Calibri" w:cs="Arial Unicode MS" w:hAnsi="Calibri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  <w:lang w:val="fr-FR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1050" w:hRule="atLeast"/>
                              </w:trPr>
                              <w:tc>
                                <w:tcPr>
                                  <w:tcW w:type="dxa" w:w="4881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  <w:lang w:val="en-US"/>
                                    </w:rPr>
                                    <w:t>PLACEBO GROUP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  <w:lang w:val="en-US"/>
                                    </w:rPr>
                                    <w:t>LIDOCAINE GROUP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 value for difference between groups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restart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FLUIDS</w:t>
                                  </w:r>
                                </w:p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Total in during surgery (ml)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3150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1822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2410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948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0.213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Fluid balance during surgery (ml)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2237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1408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1758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957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0.267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Total in during PACU stay (ml)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2820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1208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2874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1305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0.968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Fluid balance during PACU stay (ml)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1613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1781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1204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0.598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Global fluid balance (ml)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3850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1740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3540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1469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0.607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0" w:hRule="atLeast"/>
                              </w:trPr>
                              <w:tc>
                                <w:tcPr>
                                  <w:tcW w:type="dxa" w:w="1190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restart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HD</w:t>
                                  </w:r>
                                </w:p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HR (bpm)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73.2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11.6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68.7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10.9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0.307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MAP (mmHg)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78.8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6.8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74.9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4.1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0.033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SVI (m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b</w:t>
                                  </w:r>
                                  <w:r>
                                    <w:rPr>
                                      <w:rFonts w:ascii="Calibri" w:hAnsi="Calibri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hAnsi="Calibri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>²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39.9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5.1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37.0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8.8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0.088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CI (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min</w:t>
                                  </w:r>
                                  <w:r>
                                    <w:rPr>
                                      <w:rFonts w:ascii="Calibri" w:hAnsi="Calibri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hAnsi="Calibri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>²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2.9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0.6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2.4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0.4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0.024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3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Percent of time passed with SVV&lt;13 (%)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66.1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22.7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71.3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26.0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0.335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9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Percent of time passed with MAP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≥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70 mmHg (%)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75.7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19.0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70.8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15.4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0.273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31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Percent of time passed with CI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≥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2.5 L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min</w:t>
                                  </w:r>
                                  <w:r>
                                    <w:rPr>
                                      <w:rFonts w:ascii="Calibri" w:hAnsi="Calibri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libri" w:hAnsi="Calibri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²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type="dxa" w:w="276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68.8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35.0</w:t>
                                  </w:r>
                                </w:p>
                              </w:tc>
                              <w:tc>
                                <w:tcPr>
                                  <w:tcW w:type="dxa" w:w="2765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43.6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32.9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0.025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45" w:hRule="atLeast"/>
                              </w:trPr>
                              <w:tc>
                                <w:tcPr>
                                  <w:tcW w:type="dxa" w:w="14572"/>
                                  <w:gridSpan w:val="9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605" w:hRule="atLeast"/>
                              </w:trPr>
                              <w:tc>
                                <w:tcPr>
                                  <w:tcW w:type="dxa" w:w="14572"/>
                                  <w:gridSpan w:val="9"/>
                                  <w:tcBorders>
                                    <w:top w:val="nil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rPr>
                                      <w:rFonts w:ascii="Calibri" w:cs="Calibri" w:hAnsi="Calibri" w:eastAsia="Calibri"/>
                                      <w:b w:val="1"/>
                                      <w:bCs w:val="1"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sz w:val="28"/>
                                      <w:szCs w:val="28"/>
                                      <w:rtl w:val="0"/>
                                      <w:lang w:val="en-US"/>
                                    </w:rPr>
                                    <w:t>Table 4b: Point-of-care laboratory analysis</w:t>
                                  </w:r>
                                </w:p>
                                <w:p>
                                  <w:pPr>
                                    <w:pStyle w:val="Corps"/>
                                    <w:spacing w:line="360" w:lineRule="auto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Point-of-care laboratory analysis (POCT)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;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before surgery (T0)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;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on arrival at PACU (T1); data as Mean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SD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; a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nalysis by 2-way ANOVA for repeated measures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1120" w:hRule="atLeast"/>
                              </w:trPr>
                              <w:tc>
                                <w:tcPr>
                                  <w:tcW w:type="dxa" w:w="1190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1"/>
                                    <w:shd w:val="clear" w:color="auto" w:fill="auto"/>
                                    <w:suppressAutoHyphens w:val="0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outlineLvl w:val="9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Calibri" w:cs="Arial Unicode MS" w:hAnsi="Calibri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vertAlign w:val="baseline"/>
                                      <w:rtl w:val="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T0</w:t>
                                  </w:r>
                                </w:p>
                              </w:tc>
                              <w:tc>
                                <w:tcPr>
                                  <w:tcW w:type="dxa" w:w="138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T1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T0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T1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 value for difference between groups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 value for difference between times</w:t>
                                  </w:r>
                                </w:p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 value for interaction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type="dxa" w:w="1190"/>
                                  <w:vMerge w:val="restart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POCT</w:t>
                                  </w:r>
                                </w:p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Lactates (mmol/L)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0.91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0.47</w:t>
                                  </w:r>
                                </w:p>
                              </w:tc>
                              <w:tc>
                                <w:tcPr>
                                  <w:tcW w:type="dxa" w:w="138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1.65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0.97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1.04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0.43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1.70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0.92 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0.646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0.734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80" w:hRule="atLeast"/>
                              </w:trPr>
                              <w:tc>
                                <w:tcPr>
                                  <w:tcW w:type="dxa" w:w="1190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69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Glycemia (mg/dL)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122.4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47.7</w:t>
                                  </w:r>
                                </w:p>
                              </w:tc>
                              <w:tc>
                                <w:tcPr>
                                  <w:tcW w:type="dxa" w:w="138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164.4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44.2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126.8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45.1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191.5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50.6</w:t>
                                  </w:r>
                                </w:p>
                              </w:tc>
                              <w:tc>
                                <w:tcPr>
                                  <w:tcW w:type="dxa" w:w="1394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0.237</w:t>
                                  </w:r>
                                </w:p>
                              </w:tc>
                              <w:tc>
                                <w:tcPr>
                                  <w:tcW w:type="dxa" w:w="1382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type="dxa" w:w="138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0.113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40.0pt;margin-top:5.6pt;width:728.6pt;height:586.0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14572" w:type="dxa"/>
                        <w:tblInd w:w="0" w:type="dxa"/>
                        <w:tblBorders>
                          <w:top w:val="single" w:color="ffffff" w:sz="8" w:space="0" w:shadow="0" w:frame="0"/>
                          <w:left w:val="single" w:color="ffffff" w:sz="8" w:space="0" w:shadow="0" w:frame="0"/>
                          <w:bottom w:val="single" w:color="ffffff" w:sz="8" w:space="0" w:shadow="0" w:frame="0"/>
                          <w:right w:val="single" w:color="ffffff" w:sz="8" w:space="0" w:shadow="0" w:frame="0"/>
                          <w:insideH w:val="single" w:color="ffffff" w:sz="8" w:space="0" w:shadow="0" w:frame="0"/>
                          <w:insideV w:val="single" w:color="ffffff" w:sz="8" w:space="0" w:shadow="0" w:frame="0"/>
                        </w:tblBorders>
                        <w:shd w:val="clear" w:color="auto" w:fill="ced7e7"/>
                        <w:tblLayout w:type="fixed"/>
                      </w:tblPr>
                      <w:tblGrid>
                        <w:gridCol w:w="1190"/>
                        <w:gridCol w:w="3691"/>
                        <w:gridCol w:w="1383"/>
                        <w:gridCol w:w="1383"/>
                        <w:gridCol w:w="1383"/>
                        <w:gridCol w:w="1383"/>
                        <w:gridCol w:w="1395"/>
                        <w:gridCol w:w="1382"/>
                        <w:gridCol w:w="1382"/>
                      </w:tblGrid>
                      <w:tr>
                        <w:tblPrEx>
                          <w:shd w:val="clear" w:color="auto" w:fill="4f81bd"/>
                        </w:tblPrEx>
                        <w:trPr>
                          <w:trHeight w:val="605" w:hRule="atLeast"/>
                        </w:trPr>
                        <w:tc>
                          <w:tcPr>
                            <w:tcW w:type="dxa" w:w="14572"/>
                            <w:gridSpan w:val="9"/>
                            <w:tcBorders>
                              <w:top w:val="nil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1"/>
                              <w:shd w:val="clear" w:color="auto" w:fill="auto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  <w:tab w:val="left" w:pos="11520"/>
                                <w:tab w:val="left" w:pos="12960"/>
                                <w:tab w:val="left" w:pos="14072"/>
                                <w:tab w:val="left" w:pos="14072"/>
                              </w:tabs>
                              <w:suppressAutoHyphens w:val="1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outlineLvl w:val="0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libri" w:cs="Arial Unicode MS" w:hAnsi="Calibri" w:eastAsia="Arial Unicode MS"/>
                                <w:b w:val="1"/>
                                <w:bCs w:val="1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8"/>
                                <w:szCs w:val="28"/>
                                <w:u w:val="none" w:color="000000"/>
                                <w:vertAlign w:val="baseline"/>
                                <w:rtl w:val="0"/>
                                <w:lang w:val="en-US"/>
                              </w:rPr>
                              <w:t>Table 4a: Fluid requirements and per-operative haemodymics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8"/>
                                <w:szCs w:val="28"/>
                                <w:u w:val="none" w:color="000000"/>
                                <w:vertAlign w:val="baseline"/>
                              </w:rPr>
                              <w:br w:type="textWrapping"/>
                            </w:r>
                            <w:r>
                              <w:rPr>
                                <w:rFonts w:ascii="Calibri" w:cs="Arial Unicode MS" w:hAnsi="Calibri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  <w:lang w:val="en-US"/>
                              </w:rPr>
                              <w:t>Fluid requirements (FLUIDS)</w:t>
                            </w:r>
                            <w:r>
                              <w:rPr>
                                <w:rFonts w:ascii="Calibri" w:cs="Arial Unicode MS" w:hAnsi="Calibri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  <w:lang w:val="fr-FR"/>
                              </w:rPr>
                              <w:t xml:space="preserve">; </w:t>
                            </w:r>
                            <w:r>
                              <w:rPr>
                                <w:rFonts w:ascii="Calibri" w:cs="Arial Unicode MS" w:hAnsi="Calibri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  <w:lang w:val="en-US"/>
                              </w:rPr>
                              <w:t xml:space="preserve">peri-operative haemodymics (HD); data as Mean </w:t>
                            </w:r>
                            <w:r>
                              <w:rPr>
                                <w:rFonts w:ascii="Calibri" w:cs="Arial Unicode MS" w:hAnsi="Calibri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</w:rPr>
                              <w:t xml:space="preserve">± </w:t>
                            </w:r>
                            <w:r>
                              <w:rPr>
                                <w:rFonts w:ascii="Calibri" w:cs="Arial Unicode MS" w:hAnsi="Calibri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  <w:lang w:val="en-US"/>
                              </w:rPr>
                              <w:t>SD - Analysis by Mann-Whitney test</w:t>
                            </w:r>
                            <w:r>
                              <w:rPr>
                                <w:rFonts w:ascii="Calibri" w:cs="Arial Unicode MS" w:hAnsi="Calibri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  <w:lang w:val="fr-FR"/>
                              </w:rPr>
                              <w:t>.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1050" w:hRule="atLeast"/>
                        </w:trPr>
                        <w:tc>
                          <w:tcPr>
                            <w:tcW w:type="dxa" w:w="4881"/>
                            <w:gridSpan w:val="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PLACEBO GROUP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LIDOCAINE GROUP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 value for difference between groups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restart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FLUIDS</w:t>
                            </w:r>
                          </w:p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Total in during surgery (ml)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3150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1822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2410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948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0.213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Fluid balance during surgery (ml)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2237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1408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1758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957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0.267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Total in during PACU stay (ml)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2820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1208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2874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1305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0.968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Fluid balance during PACU stay (ml)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1613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1781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1204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0.598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Global fluid balance (ml)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3850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1740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3540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1469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0.607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0" w:hRule="atLeast"/>
                        </w:trPr>
                        <w:tc>
                          <w:tcPr>
                            <w:tcW w:type="dxa" w:w="1190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restart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HD</w:t>
                            </w:r>
                          </w:p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HR (bpm)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73.2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11.6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68.7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10.9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0.307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MAP (mmHg)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78.8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6.8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74.9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4.1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0.033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SVI (m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b</w:t>
                            </w:r>
                            <w:r>
                              <w:rPr>
                                <w:rFonts w:ascii="Calibri" w:hAnsi="Calibri"/>
                                <w:vertAlign w:val="superscript"/>
                                <w:rtl w:val="0"/>
                                <w:lang w:val="fr-FR"/>
                              </w:rPr>
                              <w:t>-1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Calibri" w:hAnsi="Calibri"/>
                                <w:vertAlign w:val="superscript"/>
                                <w:rtl w:val="0"/>
                                <w:lang w:val="fr-FR"/>
                              </w:rPr>
                              <w:t>-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>²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39.9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5.1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37.0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8.8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0.088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CI (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min</w:t>
                            </w:r>
                            <w:r>
                              <w:rPr>
                                <w:rFonts w:ascii="Calibri" w:hAnsi="Calibri"/>
                                <w:vertAlign w:val="superscript"/>
                                <w:rtl w:val="0"/>
                                <w:lang w:val="fr-FR"/>
                              </w:rPr>
                              <w:t>-1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Calibri" w:hAnsi="Calibri"/>
                                <w:vertAlign w:val="superscript"/>
                                <w:rtl w:val="0"/>
                                <w:lang w:val="fr-FR"/>
                              </w:rPr>
                              <w:t>-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>²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2.9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0.6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2.4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0.4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0.024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3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Percent of time passed with SVV&lt;13 (%)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66.1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22.7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71.3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26.0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0.335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9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Percent of time passed with MAP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≥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70 mmHg (%)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75.7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19.0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70.8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15.4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0.273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31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Percent of time passed with CI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≥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2.5 L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min</w:t>
                            </w:r>
                            <w:r>
                              <w:rPr>
                                <w:rFonts w:ascii="Calibri" w:hAnsi="Calibri"/>
                                <w:vertAlign w:val="superscript"/>
                                <w:rtl w:val="0"/>
                                <w:lang w:val="fr-FR"/>
                              </w:rPr>
                              <w:t>-1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Calibri" w:hAnsi="Calibri"/>
                                <w:vertAlign w:val="superscript"/>
                                <w:rtl w:val="0"/>
                                <w:lang w:val="fr-FR"/>
                              </w:rPr>
                              <w:t>-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²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type="dxa" w:w="2766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68.8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35.0</w:t>
                            </w:r>
                          </w:p>
                        </w:tc>
                        <w:tc>
                          <w:tcPr>
                            <w:tcW w:type="dxa" w:w="2765"/>
                            <w:gridSpan w:val="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43.6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32.9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0.025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45" w:hRule="atLeast"/>
                        </w:trPr>
                        <w:tc>
                          <w:tcPr>
                            <w:tcW w:type="dxa" w:w="14572"/>
                            <w:gridSpan w:val="9"/>
                            <w:tcBorders>
                              <w:top w:val="single" w:color="000000" w:sz="4" w:space="0" w:shadow="0" w:fram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605" w:hRule="atLeast"/>
                        </w:trPr>
                        <w:tc>
                          <w:tcPr>
                            <w:tcW w:type="dxa" w:w="14572"/>
                            <w:gridSpan w:val="9"/>
                            <w:tcBorders>
                              <w:top w:val="nil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rPr>
                                <w:rFonts w:ascii="Calibri" w:cs="Calibri" w:hAnsi="Calibri" w:eastAsia="Calibri"/>
                                <w:b w:val="1"/>
                                <w:bCs w:val="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Table 4b: Point-of-care laboratory analysis</w:t>
                            </w:r>
                          </w:p>
                          <w:p>
                            <w:pPr>
                              <w:pStyle w:val="Corps"/>
                              <w:spacing w:line="360" w:lineRule="auto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Point-of-care laboratory analysis (POCT)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;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before surgery (T0)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;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on arrival at PACU (T1); data as Mean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SD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; a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nalysis by 2-way ANOVA for repeated measures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.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1120" w:hRule="atLeast"/>
                        </w:trPr>
                        <w:tc>
                          <w:tcPr>
                            <w:tcW w:type="dxa" w:w="1190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1"/>
                              <w:shd w:val="clear" w:color="auto" w:fill="auto"/>
                              <w:suppressAutoHyphens w:val="0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outlineLvl w:val="9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libri" w:cs="Arial Unicode MS" w:hAnsi="Calibri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vertAlign w:val="baseline"/>
                                <w:rtl w:val="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T0</w:t>
                            </w:r>
                          </w:p>
                        </w:tc>
                        <w:tc>
                          <w:tcPr>
                            <w:tcW w:type="dxa" w:w="138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T1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T0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T1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 value for difference between groups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 value for difference between times</w:t>
                            </w:r>
                          </w:p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 value for interaction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80" w:hRule="atLeast"/>
                        </w:trPr>
                        <w:tc>
                          <w:tcPr>
                            <w:tcW w:type="dxa" w:w="1190"/>
                            <w:vMerge w:val="restart"/>
                            <w:tcBorders>
                              <w:top w:val="single" w:color="000000" w:sz="4" w:space="0" w:shadow="0" w:frame="0"/>
                              <w:left w:val="nil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POCT</w:t>
                            </w:r>
                          </w:p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Lactates (mmol/L)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0.91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0.47</w:t>
                            </w:r>
                          </w:p>
                        </w:tc>
                        <w:tc>
                          <w:tcPr>
                            <w:tcW w:type="dxa" w:w="138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1.65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0.97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1.04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0.43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1.70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0.92 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0.646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0.734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80" w:hRule="atLeast"/>
                        </w:trPr>
                        <w:tc>
                          <w:tcPr>
                            <w:tcW w:type="dxa" w:w="1190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69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Glycemia (mg/dL)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122.4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47.7</w:t>
                            </w:r>
                          </w:p>
                        </w:tc>
                        <w:tc>
                          <w:tcPr>
                            <w:tcW w:type="dxa" w:w="138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164.4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44.2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126.8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45.1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191.5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50.6</w:t>
                            </w:r>
                          </w:p>
                        </w:tc>
                        <w:tc>
                          <w:tcPr>
                            <w:tcW w:type="dxa" w:w="1394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0.237</w:t>
                            </w:r>
                          </w:p>
                        </w:tc>
                        <w:tc>
                          <w:tcPr>
                            <w:tcW w:type="dxa" w:w="1382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type="dxa" w:w="138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0.113</w:t>
                            </w:r>
                          </w:p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p>
      <w:pPr>
        <w:pStyle w:val="Normal.0"/>
      </w:pPr>
    </w:p>
    <w:p>
      <w:pPr>
        <w:pStyle w:val="Normal.0"/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  <w:rPr>
          <w:sz w:val="26"/>
          <w:szCs w:val="26"/>
        </w:rPr>
      </w:pPr>
    </w:p>
    <w:p>
      <w:pPr>
        <w:pStyle w:val="Par défaut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072"/>
          <w:tab w:val="left" w:pos="14072"/>
        </w:tabs>
        <w:suppressAutoHyphens w:val="1"/>
        <w:spacing w:line="360" w:lineRule="auto"/>
        <w:outlineLvl w:val="0"/>
      </w:pPr>
      <w:r>
        <w:rPr>
          <w:sz w:val="26"/>
          <w:szCs w:val="26"/>
        </w:rPr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Baskervill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Baskerville"/>
        <a:ea typeface="Baskerville"/>
        <a:cs typeface="Baskerville"/>
      </a:majorFont>
      <a:minorFont>
        <a:latin typeface="Baskerville"/>
        <a:ea typeface="Baskerville"/>
        <a:cs typeface="Baskervill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Baskervill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Baskervill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