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widowControl w:val="0"/>
        <w:ind w:left="108" w:hanging="108"/>
      </w:pP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801370</wp:posOffset>
                </wp:positionH>
                <wp:positionV relativeFrom="page">
                  <wp:posOffset>407034</wp:posOffset>
                </wp:positionV>
                <wp:extent cx="9104184" cy="6435726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04184" cy="643572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14444" w:type="dxa"/>
                              <w:tblInd w:w="10" w:type="dxa"/>
                              <w:tblBorders>
                                <w:top w:val="single" w:color="ffffff" w:sz="8" w:space="0" w:shadow="0" w:frame="0"/>
                                <w:left w:val="single" w:color="ffffff" w:sz="8" w:space="0" w:shadow="0" w:frame="0"/>
                                <w:bottom w:val="single" w:color="ffffff" w:sz="8" w:space="0" w:shadow="0" w:frame="0"/>
                                <w:right w:val="single" w:color="ffffff" w:sz="8" w:space="0" w:shadow="0" w:frame="0"/>
                                <w:insideH w:val="single" w:color="ffffff" w:sz="8" w:space="0" w:shadow="0" w:frame="0"/>
                                <w:insideV w:val="single" w:color="ffffff" w:sz="8" w:space="0" w:shadow="0" w:frame="0"/>
                              </w:tblBorders>
                              <w:shd w:val="clear" w:color="auto" w:fill="ced7e7"/>
                              <w:tblLayout w:type="fixed"/>
                            </w:tblPr>
                            <w:tblGrid>
                              <w:gridCol w:w="957"/>
                              <w:gridCol w:w="3217"/>
                              <w:gridCol w:w="1159"/>
                              <w:gridCol w:w="1162"/>
                              <w:gridCol w:w="1130"/>
                              <w:gridCol w:w="1130"/>
                              <w:gridCol w:w="1162"/>
                              <w:gridCol w:w="1129"/>
                              <w:gridCol w:w="1125"/>
                              <w:gridCol w:w="1144"/>
                              <w:gridCol w:w="1129"/>
                            </w:tblGrid>
                            <w:tr>
                              <w:tblPrEx>
                                <w:shd w:val="clear" w:color="auto" w:fill="4f81bd"/>
                              </w:tblPrEx>
                              <w:trPr>
                                <w:trHeight w:val="915" w:hRule="atLeast"/>
                                <w:tblHeader/>
                              </w:trPr>
                              <w:tc>
                                <w:tcPr>
                                  <w:tcW w:type="dxa" w:w="14444"/>
                                  <w:gridSpan w:val="11"/>
                                  <w:tcBorders>
                                    <w:top w:val="nil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</w:pPr>
                                  <w:r>
                                    <w:rPr>
                                      <w:rStyle w:val="Aucun"/>
                                      <w:b w:val="1"/>
                                      <w:bCs w:val="1"/>
                                      <w:sz w:val="28"/>
                                      <w:szCs w:val="28"/>
                                      <w:rtl w:val="0"/>
                                      <w:lang w:val="en-US"/>
                                    </w:rPr>
                                    <w:t>Table 3: Main results</w:t>
                                  </w:r>
                                  <w:r>
                                    <w:rPr>
                                      <w:rStyle w:val="Aucun"/>
                                      <w:sz w:val="28"/>
                                      <w:szCs w:val="28"/>
                                      <w:lang w:val="en-US"/>
                                    </w:rPr>
                                    <w:br w:type="textWrapping"/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Endothelial Glycocalyx (EG), NIRS-derived (NIRS) and FMD-derived (FMD) variables, before surgery (T0), 1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-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3 h after arrival in PACU (T1) and 24 h after surgery (T2); data as Mean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SD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; a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nalysis by 2-way ANOVA for repeated measures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 a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nd Tukey-Kramer multi comparison test.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43" w:hRule="atLeast"/>
                              </w:trPr>
                              <w:tc>
                                <w:tcPr>
                                  <w:tcW w:type="dxa" w:w="957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3216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3451"/>
                                  <w:gridSpan w:val="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b w:val="1"/>
                                      <w:bCs w:val="1"/>
                                      <w:sz w:val="26"/>
                                      <w:szCs w:val="26"/>
                                      <w:rtl w:val="0"/>
                                      <w:lang w:val="en-US"/>
                                    </w:rPr>
                                    <w:t>PLACEBO GROUP</w:t>
                                  </w:r>
                                </w:p>
                              </w:tc>
                              <w:tc>
                                <w:tcPr>
                                  <w:tcW w:type="dxa" w:w="3420"/>
                                  <w:gridSpan w:val="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b w:val="1"/>
                                      <w:bCs w:val="1"/>
                                      <w:sz w:val="26"/>
                                      <w:szCs w:val="26"/>
                                      <w:rtl w:val="0"/>
                                      <w:lang w:val="en-US"/>
                                    </w:rPr>
                                    <w:t>LIDOCAINE GROUP</w:t>
                                  </w:r>
                                </w:p>
                              </w:tc>
                              <w:tc>
                                <w:tcPr>
                                  <w:tcW w:type="dxa" w:w="1125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4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1330" w:hRule="atLeast"/>
                              </w:trPr>
                              <w:tc>
                                <w:tcPr>
                                  <w:tcW w:type="dxa" w:w="957"/>
                                  <w:vMerge w:val="restart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Corps A"/>
                                    <w:jc w:val="right"/>
                                  </w:pPr>
                                  <w:r>
                                    <w:rPr>
                                      <w:rStyle w:val="Aucun"/>
                                      <w:b w:val="1"/>
                                      <w:bCs w:val="1"/>
                                      <w:rtl w:val="0"/>
                                      <w:lang w:val="en-US"/>
                                    </w:rPr>
                                    <w:t>EG</w:t>
                                  </w:r>
                                </w:p>
                              </w:tc>
                              <w:tc>
                                <w:tcPr>
                                  <w:tcW w:type="dxa" w:w="3216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5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b w:val="1"/>
                                      <w:bCs w:val="1"/>
                                      <w:rtl w:val="0"/>
                                      <w:lang w:val="fr-FR"/>
                                    </w:rPr>
                                    <w:t>T0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b w:val="1"/>
                                      <w:bCs w:val="1"/>
                                      <w:rtl w:val="0"/>
                                      <w:lang w:val="fr-FR"/>
                                    </w:rPr>
                                    <w:t>T1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b w:val="1"/>
                                      <w:bCs w:val="1"/>
                                      <w:rtl w:val="0"/>
                                      <w:lang w:val="fr-FR"/>
                                    </w:rPr>
                                    <w:t>T2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b w:val="1"/>
                                      <w:bCs w:val="1"/>
                                      <w:rtl w:val="0"/>
                                      <w:lang w:val="fr-FR"/>
                                    </w:rPr>
                                    <w:t>T0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b w:val="1"/>
                                      <w:bCs w:val="1"/>
                                      <w:rtl w:val="0"/>
                                      <w:lang w:val="fr-FR"/>
                                    </w:rPr>
                                    <w:t>T1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b w:val="1"/>
                                      <w:bCs w:val="1"/>
                                      <w:rtl w:val="0"/>
                                      <w:lang w:val="fr-FR"/>
                                    </w:rPr>
                                    <w:t>T2</w:t>
                                  </w:r>
                                </w:p>
                              </w:tc>
                              <w:tc>
                                <w:tcPr>
                                  <w:tcW w:type="dxa" w:w="1125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P value for difference between groups</w:t>
                                  </w:r>
                                </w:p>
                              </w:tc>
                              <w:tc>
                                <w:tcPr>
                                  <w:tcW w:type="dxa" w:w="114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P value for difference between times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P value for interaction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80" w:hRule="atLeast"/>
                              </w:trPr>
                              <w:tc>
                                <w:tcPr>
                                  <w:tcW w:type="dxa" w:w="957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216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right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Syndecan (pg/ml)</w:t>
                                  </w:r>
                                </w:p>
                              </w:tc>
                              <w:tc>
                                <w:tcPr>
                                  <w:tcW w:type="dxa" w:w="115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2896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2558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3452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2656***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3999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3453**</w:t>
                                  </w:r>
                                  <w:r>
                                    <w:rPr>
                                      <w:rStyle w:val="Aucun"/>
                                      <w:vertAlign w:val="superscript"/>
                                      <w:rtl w:val="0"/>
                                      <w:lang w:val="fr-FR"/>
                                    </w:rPr>
                                    <w:t>$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2115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2007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2770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2898**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3169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2906***</w:t>
                                  </w:r>
                                  <w:r>
                                    <w:rPr>
                                      <w:rtl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Style w:val="Aucun"/>
                                      <w:vertAlign w:val="superscript"/>
                                      <w:rtl w:val="0"/>
                                      <w:lang w:val="fr-FR"/>
                                    </w:rPr>
                                    <w:t>$</w:t>
                                  </w:r>
                                </w:p>
                              </w:tc>
                              <w:tc>
                                <w:tcPr>
                                  <w:tcW w:type="dxa" w:w="1125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0.179</w:t>
                                  </w:r>
                                </w:p>
                              </w:tc>
                              <w:tc>
                                <w:tcPr>
                                  <w:tcW w:type="dxa" w:w="114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&lt;0.001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0.454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420" w:hRule="atLeast"/>
                              </w:trPr>
                              <w:tc>
                                <w:tcPr>
                                  <w:tcW w:type="dxa" w:w="957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3216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5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25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4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30" w:hRule="atLeast"/>
                              </w:trPr>
                              <w:tc>
                                <w:tcPr>
                                  <w:tcW w:type="dxa" w:w="957"/>
                                  <w:vMerge w:val="restart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 A"/>
                                    <w:jc w:val="right"/>
                                  </w:pPr>
                                  <w:r>
                                    <w:rPr>
                                      <w:rStyle w:val="Aucun"/>
                                      <w:b w:val="1"/>
                                      <w:bCs w:val="1"/>
                                      <w:rtl w:val="0"/>
                                      <w:lang w:val="en-US"/>
                                    </w:rPr>
                                    <w:t>NIRS</w:t>
                                  </w:r>
                                </w:p>
                              </w:tc>
                              <w:tc>
                                <w:tcPr>
                                  <w:tcW w:type="dxa" w:w="3216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right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StO</w:t>
                                  </w:r>
                                  <w:r>
                                    <w:rPr>
                                      <w:rStyle w:val="Aucun"/>
                                      <w:vertAlign w:val="subscript"/>
                                      <w:rtl w:val="0"/>
                                      <w:lang w:val="fr-FR"/>
                                    </w:rPr>
                                    <w:t>2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 - Baseline (%)</w:t>
                                  </w:r>
                                </w:p>
                              </w:tc>
                              <w:tc>
                                <w:tcPr>
                                  <w:tcW w:type="dxa" w:w="115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69.2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3.1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70.7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7.5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66.4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5.1**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68.1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5.8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70.1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4.9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68.0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5.0**</w:t>
                                  </w:r>
                                </w:p>
                              </w:tc>
                              <w:tc>
                                <w:tcPr>
                                  <w:tcW w:type="dxa" w:w="1125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0.939</w:t>
                                  </w:r>
                                </w:p>
                              </w:tc>
                              <w:tc>
                                <w:tcPr>
                                  <w:tcW w:type="dxa" w:w="114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0.046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0.374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80" w:hRule="atLeast"/>
                              </w:trPr>
                              <w:tc>
                                <w:tcPr>
                                  <w:tcW w:type="dxa" w:w="957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216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right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StO</w:t>
                                  </w:r>
                                  <w:r>
                                    <w:rPr>
                                      <w:rStyle w:val="Aucun"/>
                                      <w:vertAlign w:val="subscript"/>
                                      <w:rtl w:val="0"/>
                                      <w:lang w:val="fr-FR"/>
                                    </w:rPr>
                                    <w:t>2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 -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Ischemic slope (%/sec)</w:t>
                                  </w:r>
                                </w:p>
                              </w:tc>
                              <w:tc>
                                <w:tcPr>
                                  <w:tcW w:type="dxa" w:w="115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-0.165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0.049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-0.147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0.063*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-0.141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0.041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-0.163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0.042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-0.145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0.050*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-0.156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0.038</w:t>
                                  </w:r>
                                </w:p>
                              </w:tc>
                              <w:tc>
                                <w:tcPr>
                                  <w:tcW w:type="dxa" w:w="1125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0.551</w:t>
                                  </w:r>
                                </w:p>
                              </w:tc>
                              <w:tc>
                                <w:tcPr>
                                  <w:tcW w:type="dxa" w:w="114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0.021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0.464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80" w:hRule="atLeast"/>
                              </w:trPr>
                              <w:tc>
                                <w:tcPr>
                                  <w:tcW w:type="dxa" w:w="957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216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right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StO</w:t>
                                  </w:r>
                                  <w:r>
                                    <w:rPr>
                                      <w:rStyle w:val="Aucun"/>
                                      <w:vertAlign w:val="subscript"/>
                                      <w:rtl w:val="0"/>
                                      <w:lang w:val="fr-FR"/>
                                    </w:rPr>
                                    <w:t>2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 -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Reperfusion slope (%/sec)</w:t>
                                  </w:r>
                                </w:p>
                              </w:tc>
                              <w:tc>
                                <w:tcPr>
                                  <w:tcW w:type="dxa" w:w="115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1.990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0.449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1.672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0.585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1.843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0.525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2.030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0.318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1.868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0.397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1.986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0.478</w:t>
                                  </w:r>
                                </w:p>
                              </w:tc>
                              <w:tc>
                                <w:tcPr>
                                  <w:tcW w:type="dxa" w:w="1125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0.189</w:t>
                                  </w:r>
                                </w:p>
                              </w:tc>
                              <w:tc>
                                <w:tcPr>
                                  <w:tcW w:type="dxa" w:w="114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0.390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0.579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420" w:hRule="atLeast"/>
                              </w:trPr>
                              <w:tc>
                                <w:tcPr>
                                  <w:tcW w:type="dxa" w:w="957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3216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5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25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4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80" w:hRule="atLeast"/>
                              </w:trPr>
                              <w:tc>
                                <w:tcPr>
                                  <w:tcW w:type="dxa" w:w="957"/>
                                  <w:vMerge w:val="restart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 A"/>
                                    <w:jc w:val="right"/>
                                  </w:pPr>
                                  <w:r>
                                    <w:rPr>
                                      <w:rStyle w:val="Aucun"/>
                                      <w:b w:val="1"/>
                                      <w:bCs w:val="1"/>
                                      <w:rtl w:val="0"/>
                                      <w:lang w:val="en-US"/>
                                    </w:rPr>
                                    <w:t>FMD</w:t>
                                  </w:r>
                                </w:p>
                              </w:tc>
                              <w:tc>
                                <w:tcPr>
                                  <w:tcW w:type="dxa" w:w="3216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right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Baseline vascular diameter before occlusion (mm)</w:t>
                                  </w:r>
                                </w:p>
                              </w:tc>
                              <w:tc>
                                <w:tcPr>
                                  <w:tcW w:type="dxa" w:w="115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4.049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0.684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4.367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0.692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4.276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0.605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4.223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0.808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4.428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0.744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4.610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0.719</w:t>
                                  </w:r>
                                </w:p>
                              </w:tc>
                              <w:tc>
                                <w:tcPr>
                                  <w:tcW w:type="dxa" w:w="1125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0.528</w:t>
                                  </w:r>
                                </w:p>
                              </w:tc>
                              <w:tc>
                                <w:tcPr>
                                  <w:tcW w:type="dxa" w:w="114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0.002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0.803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80" w:hRule="atLeast"/>
                              </w:trPr>
                              <w:tc>
                                <w:tcPr>
                                  <w:tcW w:type="dxa" w:w="957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216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right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Post-ischaemic diameter increase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: FMD</w:t>
                                  </w:r>
                                  <w:r>
                                    <w:rPr>
                                      <w:rStyle w:val="Aucun"/>
                                      <w:vertAlign w:val="subscript"/>
                                      <w:rtl w:val="0"/>
                                      <w:lang w:val="fr-FR"/>
                                    </w:rPr>
                                    <w:t>max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 (%)</w:t>
                                  </w:r>
                                </w:p>
                              </w:tc>
                              <w:tc>
                                <w:tcPr>
                                  <w:tcW w:type="dxa" w:w="115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6.1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3.9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3.6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3.7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3.8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4.7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6.9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5.8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4.9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6.7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6.6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6.7</w:t>
                                  </w:r>
                                </w:p>
                              </w:tc>
                              <w:tc>
                                <w:tcPr>
                                  <w:tcW w:type="dxa" w:w="1125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0.240</w:t>
                                  </w:r>
                                </w:p>
                              </w:tc>
                              <w:tc>
                                <w:tcPr>
                                  <w:tcW w:type="dxa" w:w="114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0.382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0.123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80" w:hRule="atLeast"/>
                              </w:trPr>
                              <w:tc>
                                <w:tcPr>
                                  <w:tcW w:type="dxa" w:w="957"/>
                                  <w:vMerge w:val="continue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</w:tcPr>
                                <w:p/>
                              </w:tc>
                              <w:tc>
                                <w:tcPr>
                                  <w:tcW w:type="dxa" w:w="3216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right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AUC</w:t>
                                  </w:r>
                                  <w:r>
                                    <w:rPr>
                                      <w:rStyle w:val="Aucun"/>
                                      <w:vertAlign w:val="subscript"/>
                                      <w:rtl w:val="0"/>
                                      <w:lang w:val="fr-FR"/>
                                    </w:rPr>
                                    <w:t xml:space="preserve">ShearRate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until FMD</w:t>
                                  </w:r>
                                  <w:r>
                                    <w:rPr>
                                      <w:rStyle w:val="Aucun"/>
                                      <w:vertAlign w:val="subscript"/>
                                      <w:rtl w:val="0"/>
                                      <w:lang w:val="fr-FR"/>
                                    </w:rPr>
                                    <w:t xml:space="preserve">max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(arbitrary units)</w:t>
                                  </w:r>
                                </w:p>
                              </w:tc>
                              <w:tc>
                                <w:tcPr>
                                  <w:tcW w:type="dxa" w:w="115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21512.6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11143.0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21140.7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13084.5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16527.8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8734.7</w:t>
                                  </w:r>
                                </w:p>
                              </w:tc>
                              <w:tc>
                                <w:tcPr>
                                  <w:tcW w:type="dxa" w:w="1129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16270.9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8397.2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type="dxa" w:w="1161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18588.7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11874.1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16473.5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8865.4</w:t>
                                  </w:r>
                                </w:p>
                              </w:tc>
                              <w:tc>
                                <w:tcPr>
                                  <w:tcW w:type="dxa" w:w="1125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0.719</w:t>
                                  </w:r>
                                </w:p>
                              </w:tc>
                              <w:tc>
                                <w:tcPr>
                                  <w:tcW w:type="dxa" w:w="1143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0.226</w:t>
                                  </w:r>
                                </w:p>
                              </w:tc>
                              <w:tc>
                                <w:tcPr>
                                  <w:tcW w:type="dxa" w:w="1128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center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>0.377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385" w:hRule="atLeast"/>
                              </w:trPr>
                              <w:tc>
                                <w:tcPr>
                                  <w:tcW w:type="dxa" w:w="957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nil"/>
                                    <w:right w:val="single" w:color="ffffff" w:sz="8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86"/>
                                  <w:gridSpan w:val="10"/>
                                  <w:tcBorders>
                                    <w:top w:val="single" w:color="000000" w:sz="4" w:space="0" w:shadow="0" w:frame="0"/>
                                    <w:left w:val="single" w:color="ffffff" w:sz="8" w:space="0" w:shadow="0" w:frame="0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 A"/>
                                    <w:jc w:val="right"/>
                                  </w:pP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 Inside each group: *** T0 vs T1 and T0 vs T2 p&lt;0.001 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>;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** T1 vs T2 p&lt;0.02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 ; 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en-US"/>
                                    </w:rPr>
                                    <w:t xml:space="preserve">* T0 vs T1 p&lt;0.05 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 ;  </w:t>
                                  </w:r>
                                  <w:r>
                                    <w:rPr>
                                      <w:rStyle w:val="Aucun"/>
                                      <w:vertAlign w:val="superscript"/>
                                      <w:rtl w:val="0"/>
                                      <w:lang w:val="fr-FR"/>
                                    </w:rPr>
                                    <w:t>$</w:t>
                                  </w:r>
                                  <w:r>
                                    <w:rPr>
                                      <w:rStyle w:val="Aucun"/>
                                      <w:rtl w:val="0"/>
                                      <w:lang w:val="fr-FR"/>
                                    </w:rPr>
                                    <w:t xml:space="preserve"> T1 vs T2 p&lt;0.01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63.1pt;margin-top:32.0pt;width:716.9pt;height:506.8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14444" w:type="dxa"/>
                        <w:tblInd w:w="10" w:type="dxa"/>
                        <w:tblBorders>
                          <w:top w:val="single" w:color="ffffff" w:sz="8" w:space="0" w:shadow="0" w:frame="0"/>
                          <w:left w:val="single" w:color="ffffff" w:sz="8" w:space="0" w:shadow="0" w:frame="0"/>
                          <w:bottom w:val="single" w:color="ffffff" w:sz="8" w:space="0" w:shadow="0" w:frame="0"/>
                          <w:right w:val="single" w:color="ffffff" w:sz="8" w:space="0" w:shadow="0" w:frame="0"/>
                          <w:insideH w:val="single" w:color="ffffff" w:sz="8" w:space="0" w:shadow="0" w:frame="0"/>
                          <w:insideV w:val="single" w:color="ffffff" w:sz="8" w:space="0" w:shadow="0" w:frame="0"/>
                        </w:tblBorders>
                        <w:shd w:val="clear" w:color="auto" w:fill="ced7e7"/>
                        <w:tblLayout w:type="fixed"/>
                      </w:tblPr>
                      <w:tblGrid>
                        <w:gridCol w:w="957"/>
                        <w:gridCol w:w="3217"/>
                        <w:gridCol w:w="1159"/>
                        <w:gridCol w:w="1162"/>
                        <w:gridCol w:w="1130"/>
                        <w:gridCol w:w="1130"/>
                        <w:gridCol w:w="1162"/>
                        <w:gridCol w:w="1129"/>
                        <w:gridCol w:w="1125"/>
                        <w:gridCol w:w="1144"/>
                        <w:gridCol w:w="1129"/>
                      </w:tblGrid>
                      <w:tr>
                        <w:tblPrEx>
                          <w:shd w:val="clear" w:color="auto" w:fill="4f81bd"/>
                        </w:tblPrEx>
                        <w:trPr>
                          <w:trHeight w:val="915" w:hRule="atLeast"/>
                          <w:tblHeader/>
                        </w:trPr>
                        <w:tc>
                          <w:tcPr>
                            <w:tcW w:type="dxa" w:w="14444"/>
                            <w:gridSpan w:val="11"/>
                            <w:tcBorders>
                              <w:top w:val="nil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Table 3: Main results</w:t>
                            </w:r>
                            <w:r>
                              <w:rPr>
                                <w:rStyle w:val="Aucun"/>
                                <w:sz w:val="28"/>
                                <w:szCs w:val="28"/>
                                <w:lang w:val="en-US"/>
                              </w:rPr>
                              <w:br w:type="textWrapping"/>
                            </w: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Endothelial Glycocalyx (EG), NIRS-derived (NIRS) and FMD-derived (FMD) variables, before surgery (T0), 1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-</w:t>
                            </w: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3 h after arrival in PACU (T1) and 24 h after surgery (T2); data as Mean </w:t>
                            </w: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SD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; a</w:t>
                            </w: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nalysis by 2-way ANOVA for repeated measures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 a</w:t>
                            </w: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nd Tukey-Kramer multi comparison test.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43" w:hRule="atLeast"/>
                        </w:trPr>
                        <w:tc>
                          <w:tcPr>
                            <w:tcW w:type="dxa" w:w="957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3216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3451"/>
                            <w:gridSpan w:val="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PLACEBO GROUP</w:t>
                            </w:r>
                          </w:p>
                        </w:tc>
                        <w:tc>
                          <w:tcPr>
                            <w:tcW w:type="dxa" w:w="3420"/>
                            <w:gridSpan w:val="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LIDOCAINE GROUP</w:t>
                            </w:r>
                          </w:p>
                        </w:tc>
                        <w:tc>
                          <w:tcPr>
                            <w:tcW w:type="dxa" w:w="1125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4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1330" w:hRule="atLeast"/>
                        </w:trPr>
                        <w:tc>
                          <w:tcPr>
                            <w:tcW w:type="dxa" w:w="957"/>
                            <w:vMerge w:val="restart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Corps A"/>
                              <w:jc w:val="right"/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EG</w:t>
                            </w:r>
                          </w:p>
                        </w:tc>
                        <w:tc>
                          <w:tcPr>
                            <w:tcW w:type="dxa" w:w="3216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5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rtl w:val="0"/>
                                <w:lang w:val="fr-FR"/>
                              </w:rPr>
                              <w:t>T0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rtl w:val="0"/>
                                <w:lang w:val="fr-FR"/>
                              </w:rPr>
                              <w:t>T1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rtl w:val="0"/>
                                <w:lang w:val="fr-FR"/>
                              </w:rPr>
                              <w:t>T2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rtl w:val="0"/>
                                <w:lang w:val="fr-FR"/>
                              </w:rPr>
                              <w:t>T0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rtl w:val="0"/>
                                <w:lang w:val="fr-FR"/>
                              </w:rPr>
                              <w:t>T1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rtl w:val="0"/>
                                <w:lang w:val="fr-FR"/>
                              </w:rPr>
                              <w:t>T2</w:t>
                            </w:r>
                          </w:p>
                        </w:tc>
                        <w:tc>
                          <w:tcPr>
                            <w:tcW w:type="dxa" w:w="1125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P value for difference between groups</w:t>
                            </w:r>
                          </w:p>
                        </w:tc>
                        <w:tc>
                          <w:tcPr>
                            <w:tcW w:type="dxa" w:w="114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P value for difference between times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P value for interaction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80" w:hRule="atLeast"/>
                        </w:trPr>
                        <w:tc>
                          <w:tcPr>
                            <w:tcW w:type="dxa" w:w="957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216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right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Syndecan (pg/ml)</w:t>
                            </w:r>
                          </w:p>
                        </w:tc>
                        <w:tc>
                          <w:tcPr>
                            <w:tcW w:type="dxa" w:w="115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2896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2558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3452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2656***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3999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3453**</w:t>
                            </w:r>
                            <w:r>
                              <w:rPr>
                                <w:rStyle w:val="Aucun"/>
                                <w:vertAlign w:val="superscript"/>
                                <w:rtl w:val="0"/>
                                <w:lang w:val="fr-FR"/>
                              </w:rPr>
                              <w:t>$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2115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2007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2770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2898**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3169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2906***</w:t>
                            </w:r>
                            <w:r>
                              <w:rPr>
                                <w:rtl w:val="0"/>
                              </w:rPr>
                              <w:t xml:space="preserve"> </w:t>
                            </w:r>
                            <w:r>
                              <w:rPr>
                                <w:rStyle w:val="Aucun"/>
                                <w:vertAlign w:val="superscript"/>
                                <w:rtl w:val="0"/>
                                <w:lang w:val="fr-FR"/>
                              </w:rPr>
                              <w:t>$</w:t>
                            </w:r>
                          </w:p>
                        </w:tc>
                        <w:tc>
                          <w:tcPr>
                            <w:tcW w:type="dxa" w:w="1125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0.179</w:t>
                            </w:r>
                          </w:p>
                        </w:tc>
                        <w:tc>
                          <w:tcPr>
                            <w:tcW w:type="dxa" w:w="114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&lt;0.001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0.454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420" w:hRule="atLeast"/>
                        </w:trPr>
                        <w:tc>
                          <w:tcPr>
                            <w:tcW w:type="dxa" w:w="957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3216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5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25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4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30" w:hRule="atLeast"/>
                        </w:trPr>
                        <w:tc>
                          <w:tcPr>
                            <w:tcW w:type="dxa" w:w="957"/>
                            <w:vMerge w:val="restart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 A"/>
                              <w:jc w:val="right"/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NIRS</w:t>
                            </w:r>
                          </w:p>
                        </w:tc>
                        <w:tc>
                          <w:tcPr>
                            <w:tcW w:type="dxa" w:w="3216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right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StO</w:t>
                            </w:r>
                            <w:r>
                              <w:rPr>
                                <w:rStyle w:val="Aucun"/>
                                <w:vertAlign w:val="subscript"/>
                                <w:rtl w:val="0"/>
                                <w:lang w:val="fr-FR"/>
                              </w:rPr>
                              <w:t>2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 - Baseline (%)</w:t>
                            </w:r>
                          </w:p>
                        </w:tc>
                        <w:tc>
                          <w:tcPr>
                            <w:tcW w:type="dxa" w:w="115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69.2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3.1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70.7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7.5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66.4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5.1**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68.1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5.8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70.1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4.9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68.0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5.0**</w:t>
                            </w:r>
                          </w:p>
                        </w:tc>
                        <w:tc>
                          <w:tcPr>
                            <w:tcW w:type="dxa" w:w="1125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0.939</w:t>
                            </w:r>
                          </w:p>
                        </w:tc>
                        <w:tc>
                          <w:tcPr>
                            <w:tcW w:type="dxa" w:w="114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0.046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0.374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80" w:hRule="atLeast"/>
                        </w:trPr>
                        <w:tc>
                          <w:tcPr>
                            <w:tcW w:type="dxa" w:w="957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216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right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StO</w:t>
                            </w:r>
                            <w:r>
                              <w:rPr>
                                <w:rStyle w:val="Aucun"/>
                                <w:vertAlign w:val="subscript"/>
                                <w:rtl w:val="0"/>
                                <w:lang w:val="fr-FR"/>
                              </w:rPr>
                              <w:t>2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 - </w:t>
                            </w: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Ischemic slope (%/sec)</w:t>
                            </w:r>
                          </w:p>
                        </w:tc>
                        <w:tc>
                          <w:tcPr>
                            <w:tcW w:type="dxa" w:w="115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-0.165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0.049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-0.147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0.063*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-0.141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0.041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-0.163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0.042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-0.145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0.050*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-0.156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0.038</w:t>
                            </w:r>
                          </w:p>
                        </w:tc>
                        <w:tc>
                          <w:tcPr>
                            <w:tcW w:type="dxa" w:w="1125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0.551</w:t>
                            </w:r>
                          </w:p>
                        </w:tc>
                        <w:tc>
                          <w:tcPr>
                            <w:tcW w:type="dxa" w:w="114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0.021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0.464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80" w:hRule="atLeast"/>
                        </w:trPr>
                        <w:tc>
                          <w:tcPr>
                            <w:tcW w:type="dxa" w:w="957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216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right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StO</w:t>
                            </w:r>
                            <w:r>
                              <w:rPr>
                                <w:rStyle w:val="Aucun"/>
                                <w:vertAlign w:val="subscript"/>
                                <w:rtl w:val="0"/>
                                <w:lang w:val="fr-FR"/>
                              </w:rPr>
                              <w:t>2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 - </w:t>
                            </w: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Reperfusion slope (%/sec)</w:t>
                            </w:r>
                          </w:p>
                        </w:tc>
                        <w:tc>
                          <w:tcPr>
                            <w:tcW w:type="dxa" w:w="115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1.990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0.449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1.672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0.585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1.843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0.525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2.030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0.318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1.868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0.397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1.986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0.478</w:t>
                            </w:r>
                          </w:p>
                        </w:tc>
                        <w:tc>
                          <w:tcPr>
                            <w:tcW w:type="dxa" w:w="1125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0.189</w:t>
                            </w:r>
                          </w:p>
                        </w:tc>
                        <w:tc>
                          <w:tcPr>
                            <w:tcW w:type="dxa" w:w="114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0.390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0.579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420" w:hRule="atLeast"/>
                        </w:trPr>
                        <w:tc>
                          <w:tcPr>
                            <w:tcW w:type="dxa" w:w="957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3216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5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25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4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80" w:hRule="atLeast"/>
                        </w:trPr>
                        <w:tc>
                          <w:tcPr>
                            <w:tcW w:type="dxa" w:w="957"/>
                            <w:vMerge w:val="restart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 A"/>
                              <w:jc w:val="right"/>
                            </w:pPr>
                            <w:r>
                              <w:rPr>
                                <w:rStyle w:val="Aucun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FMD</w:t>
                            </w:r>
                          </w:p>
                        </w:tc>
                        <w:tc>
                          <w:tcPr>
                            <w:tcW w:type="dxa" w:w="3216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right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Baseline vascular diameter before occlusion (mm)</w:t>
                            </w:r>
                          </w:p>
                        </w:tc>
                        <w:tc>
                          <w:tcPr>
                            <w:tcW w:type="dxa" w:w="115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4.049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0.684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4.367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0.692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4.276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0.605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4.223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0.808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4.428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0.744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4.610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0.719</w:t>
                            </w:r>
                          </w:p>
                        </w:tc>
                        <w:tc>
                          <w:tcPr>
                            <w:tcW w:type="dxa" w:w="1125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0.528</w:t>
                            </w:r>
                          </w:p>
                        </w:tc>
                        <w:tc>
                          <w:tcPr>
                            <w:tcW w:type="dxa" w:w="114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0.002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0.803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80" w:hRule="atLeast"/>
                        </w:trPr>
                        <w:tc>
                          <w:tcPr>
                            <w:tcW w:type="dxa" w:w="957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216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right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Post-ischaemic diameter increase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: FMD</w:t>
                            </w:r>
                            <w:r>
                              <w:rPr>
                                <w:rStyle w:val="Aucun"/>
                                <w:vertAlign w:val="subscript"/>
                                <w:rtl w:val="0"/>
                                <w:lang w:val="fr-FR"/>
                              </w:rPr>
                              <w:t>max</w:t>
                            </w: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 (%)</w:t>
                            </w:r>
                          </w:p>
                        </w:tc>
                        <w:tc>
                          <w:tcPr>
                            <w:tcW w:type="dxa" w:w="115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6.1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3.9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3.6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3.7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3.8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4.7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6.9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5.8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4.9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6.7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6.6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6.7</w:t>
                            </w:r>
                          </w:p>
                        </w:tc>
                        <w:tc>
                          <w:tcPr>
                            <w:tcW w:type="dxa" w:w="1125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0.240</w:t>
                            </w:r>
                          </w:p>
                        </w:tc>
                        <w:tc>
                          <w:tcPr>
                            <w:tcW w:type="dxa" w:w="114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0.382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0.123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80" w:hRule="atLeast"/>
                        </w:trPr>
                        <w:tc>
                          <w:tcPr>
                            <w:tcW w:type="dxa" w:w="957"/>
                            <w:vMerge w:val="continue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</w:tcPr>
                          <w:p/>
                        </w:tc>
                        <w:tc>
                          <w:tcPr>
                            <w:tcW w:type="dxa" w:w="3216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right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AUC</w:t>
                            </w:r>
                            <w:r>
                              <w:rPr>
                                <w:rStyle w:val="Aucun"/>
                                <w:vertAlign w:val="subscript"/>
                                <w:rtl w:val="0"/>
                                <w:lang w:val="fr-FR"/>
                              </w:rPr>
                              <w:t xml:space="preserve">ShearRate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until FMD</w:t>
                            </w:r>
                            <w:r>
                              <w:rPr>
                                <w:rStyle w:val="Aucun"/>
                                <w:vertAlign w:val="subscript"/>
                                <w:rtl w:val="0"/>
                                <w:lang w:val="fr-FR"/>
                              </w:rPr>
                              <w:t xml:space="preserve">max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(arbitrary units)</w:t>
                            </w:r>
                          </w:p>
                        </w:tc>
                        <w:tc>
                          <w:tcPr>
                            <w:tcW w:type="dxa" w:w="115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21512.6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11143.0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21140.7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13084.5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16527.8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8734.7</w:t>
                            </w:r>
                          </w:p>
                        </w:tc>
                        <w:tc>
                          <w:tcPr>
                            <w:tcW w:type="dxa" w:w="1129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16270.9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8397.2</w:t>
                            </w: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type="dxa" w:w="1161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18588.7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11874.1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16473.5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±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8865.4</w:t>
                            </w:r>
                          </w:p>
                        </w:tc>
                        <w:tc>
                          <w:tcPr>
                            <w:tcW w:type="dxa" w:w="1125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0.719</w:t>
                            </w:r>
                          </w:p>
                        </w:tc>
                        <w:tc>
                          <w:tcPr>
                            <w:tcW w:type="dxa" w:w="1143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0.226</w:t>
                            </w:r>
                          </w:p>
                        </w:tc>
                        <w:tc>
                          <w:tcPr>
                            <w:tcW w:type="dxa" w:w="1128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>0.377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385" w:hRule="atLeast"/>
                        </w:trPr>
                        <w:tc>
                          <w:tcPr>
                            <w:tcW w:type="dxa" w:w="957"/>
                            <w:tcBorders>
                              <w:top w:val="single" w:color="000000" w:sz="4" w:space="0" w:shadow="0" w:frame="0"/>
                              <w:left w:val="nil"/>
                              <w:bottom w:val="nil"/>
                              <w:right w:val="single" w:color="ffffff" w:sz="8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86"/>
                            <w:gridSpan w:val="10"/>
                            <w:tcBorders>
                              <w:top w:val="single" w:color="000000" w:sz="4" w:space="0" w:shadow="0" w:frame="0"/>
                              <w:left w:val="single" w:color="ffffff" w:sz="8" w:space="0" w:shadow="0" w:frame="0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 A"/>
                              <w:jc w:val="right"/>
                            </w:pP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 Inside each group: *** T0 vs T1 and T0 vs T2 p&lt;0.001 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>;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   </w:t>
                            </w: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** T1 vs T2 p&lt;0.02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 ;  </w:t>
                            </w:r>
                            <w:r>
                              <w:rPr>
                                <w:rStyle w:val="Aucun"/>
                                <w:rtl w:val="0"/>
                                <w:lang w:val="en-US"/>
                              </w:rPr>
                              <w:t xml:space="preserve">* T0 vs T1 p&lt;0.05 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 ;  </w:t>
                            </w:r>
                            <w:r>
                              <w:rPr>
                                <w:rStyle w:val="Aucun"/>
                                <w:vertAlign w:val="superscript"/>
                                <w:rtl w:val="0"/>
                                <w:lang w:val="fr-FR"/>
                              </w:rPr>
                              <w:t>$</w:t>
                            </w:r>
                            <w:r>
                              <w:rPr>
                                <w:rStyle w:val="Aucun"/>
                                <w:rtl w:val="0"/>
                                <w:lang w:val="fr-FR"/>
                              </w:rPr>
                              <w:t xml:space="preserve"> T1 vs T2 p&lt;0.01</w:t>
                            </w:r>
                          </w:p>
                        </w:tc>
                      </w:tr>
                    </w:tbl>
                  </w:txbxContent>
                </v:textbox>
                <w10:wrap type="none" side="bothSides" anchorx="page" anchory="page"/>
              </v:shape>
            </w:pict>
          </mc:Fallback>
        </mc:AlternateContent>
      </w:r>
    </w:p>
    <w:p>
      <w:pPr>
        <w:pStyle w:val="Corps A"/>
      </w:pPr>
      <w:r>
        <w:rPr>
          <w:rStyle w:val="Aucun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862330</wp:posOffset>
                </wp:positionH>
                <wp:positionV relativeFrom="page">
                  <wp:posOffset>537208</wp:posOffset>
                </wp:positionV>
                <wp:extent cx="9252836" cy="5454650"/>
                <wp:effectExtent l="0" t="0" r="0" b="0"/>
                <wp:wrapNone/>
                <wp:docPr id="1073741826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52836" cy="54546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Corps A"/>
                            </w:pPr>
                            <w:r/>
                          </w:p>
                          <w:p>
                            <w:pPr>
                              <w:pStyle w:val="Normal.0"/>
                              <w:rPr>
                                <w:rStyle w:val="Aucun"/>
                              </w:rPr>
                            </w:pPr>
                            <w:r>
                              <w:rPr>
                                <w:rStyle w:val="Aucun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Corps A"/>
                              <w:jc w:val="center"/>
                              <w:rPr>
                                <w:rStyle w:val="Aucun"/>
                              </w:rPr>
                            </w:pPr>
                            <w:r>
                              <w:rPr>
                                <w:rStyle w:val="Aucun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Corps A"/>
                              <w:jc w:val="center"/>
                              <w:rPr>
                                <w:rStyle w:val="Aucun"/>
                              </w:rPr>
                            </w:pPr>
                            <w:r>
                              <w:rPr>
                                <w:rStyle w:val="Aucun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Normal.0"/>
                              <w:rPr>
                                <w:rStyle w:val="Aucun"/>
                              </w:rPr>
                            </w:pPr>
                            <w:r>
                              <w:rPr>
                                <w:rStyle w:val="Aucun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Corps A"/>
                              <w:jc w:val="center"/>
                              <w:rPr>
                                <w:rStyle w:val="Aucun"/>
                              </w:rPr>
                            </w:pPr>
                            <w:r>
                              <w:rPr>
                                <w:rStyle w:val="Aucun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Corps A"/>
                              <w:jc w:val="center"/>
                              <w:rPr>
                                <w:rStyle w:val="Aucun"/>
                              </w:rPr>
                            </w:pPr>
                            <w:r>
                              <w:rPr>
                                <w:rStyle w:val="Aucun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Corps A"/>
                              <w:jc w:val="center"/>
                              <w:rPr>
                                <w:rStyle w:val="Aucun"/>
                              </w:rPr>
                            </w:pPr>
                            <w:r>
                              <w:rPr>
                                <w:rStyle w:val="Aucun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Normal.0"/>
                              <w:rPr>
                                <w:rStyle w:val="Aucun"/>
                              </w:rPr>
                            </w:pPr>
                            <w:r>
                              <w:rPr>
                                <w:rStyle w:val="Aucun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Corps A"/>
                              <w:jc w:val="center"/>
                              <w:rPr>
                                <w:rStyle w:val="Aucun"/>
                              </w:rPr>
                            </w:pPr>
                            <w:r>
                              <w:rPr>
                                <w:rStyle w:val="Aucun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Corps A"/>
                              <w:jc w:val="center"/>
                              <w:rPr>
                                <w:rStyle w:val="Aucun"/>
                              </w:rPr>
                            </w:pPr>
                            <w:r>
                              <w:rPr>
                                <w:rStyle w:val="Aucun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  <w:p>
                            <w:pPr>
                              <w:pStyle w:val="Corps A"/>
                              <w:jc w:val="center"/>
                            </w:pPr>
                            <w:r>
                              <w:rPr>
                                <w:rStyle w:val="Aucun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67.9pt;margin-top:42.3pt;width:728.6pt;height:429.5pt;z-index:25165926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 A"/>
                      </w:pPr>
                      <w:r/>
                    </w:p>
                    <w:p>
                      <w:pPr>
                        <w:pStyle w:val="Normal.0"/>
                        <w:rPr>
                          <w:rStyle w:val="Aucun"/>
                        </w:rPr>
                      </w:pPr>
                      <w:r>
                        <w:rPr>
                          <w:rStyle w:val="Aucun"/>
                        </w:rPr>
                        <w:tab/>
                        <w:tab/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Corps A"/>
                        <w:jc w:val="center"/>
                        <w:rPr>
                          <w:rStyle w:val="Aucun"/>
                        </w:rPr>
                      </w:pPr>
                      <w:r>
                        <w:rPr>
                          <w:rStyle w:val="Aucun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Corps A"/>
                        <w:jc w:val="center"/>
                        <w:rPr>
                          <w:rStyle w:val="Aucun"/>
                        </w:rPr>
                      </w:pPr>
                      <w:r>
                        <w:rPr>
                          <w:rStyle w:val="Aucun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Normal.0"/>
                        <w:rPr>
                          <w:rStyle w:val="Aucun"/>
                        </w:rPr>
                      </w:pPr>
                      <w:r>
                        <w:rPr>
                          <w:rStyle w:val="Aucun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Corps A"/>
                        <w:jc w:val="center"/>
                        <w:rPr>
                          <w:rStyle w:val="Aucun"/>
                        </w:rPr>
                      </w:pPr>
                      <w:r>
                        <w:rPr>
                          <w:rStyle w:val="Aucun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Corps A"/>
                        <w:jc w:val="center"/>
                        <w:rPr>
                          <w:rStyle w:val="Aucun"/>
                        </w:rPr>
                      </w:pPr>
                      <w:r>
                        <w:rPr>
                          <w:rStyle w:val="Aucun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Corps A"/>
                        <w:jc w:val="center"/>
                        <w:rPr>
                          <w:rStyle w:val="Aucun"/>
                        </w:rPr>
                      </w:pPr>
                      <w:r>
                        <w:rPr>
                          <w:rStyle w:val="Aucun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Normal.0"/>
                        <w:rPr>
                          <w:rStyle w:val="Aucun"/>
                        </w:rPr>
                      </w:pPr>
                      <w:r>
                        <w:rPr>
                          <w:rStyle w:val="Aucun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Corps A"/>
                        <w:jc w:val="center"/>
                        <w:rPr>
                          <w:rStyle w:val="Aucun"/>
                        </w:rPr>
                      </w:pPr>
                      <w:r>
                        <w:rPr>
                          <w:rStyle w:val="Aucun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Corps A"/>
                        <w:jc w:val="center"/>
                        <w:rPr>
                          <w:rStyle w:val="Aucun"/>
                        </w:rPr>
                      </w:pPr>
                      <w:r>
                        <w:rPr>
                          <w:rStyle w:val="Aucun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  <w:p>
                      <w:pPr>
                        <w:pStyle w:val="Corps A"/>
                        <w:jc w:val="center"/>
                      </w:pPr>
                      <w:r>
                        <w:rPr>
                          <w:rStyle w:val="Aucun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</w:p>
    <w:sectPr>
      <w:headerReference w:type="default" r:id="rId4"/>
      <w:footerReference w:type="default" r:id="rId5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Baskervill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3400" cy="755650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693400" cy="75565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8" style="visibility:visible;position:absolute;margin-left:0.0pt;margin-top:0.0pt;width:842.0pt;height:595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Baskerville" w:cs="Arial Unicode MS" w:hAnsi="Baskervill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 A">
    <w:name w:val="Corps A"/>
    <w:next w:val="Corps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Baskerville" w:cs="Arial Unicode MS" w:hAnsi="Baskervill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