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A51473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SUPPLEMENTARY INFORMATION</w:t>
      </w:r>
    </w:p>
    <w:p w14:paraId="0C0E66CF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Supplemental Table S1.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1403"/>
        <w:gridCol w:w="1010"/>
        <w:gridCol w:w="1296"/>
        <w:gridCol w:w="2558"/>
        <w:gridCol w:w="1384"/>
        <w:gridCol w:w="636"/>
        <w:gridCol w:w="1283"/>
      </w:tblGrid>
      <w:tr w:rsidR="00964BD5" w:rsidRPr="000F158D" w14:paraId="7BBC7A91" w14:textId="77777777" w:rsidTr="006469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1F8ABD50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 probe</w:t>
            </w:r>
          </w:p>
        </w:tc>
        <w:tc>
          <w:tcPr>
            <w:tcW w:w="0" w:type="auto"/>
            <w:noWrap/>
            <w:vAlign w:val="center"/>
            <w:hideMark/>
          </w:tcPr>
          <w:p w14:paraId="288D5CB0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Chrom.</w:t>
            </w:r>
          </w:p>
        </w:tc>
        <w:tc>
          <w:tcPr>
            <w:tcW w:w="0" w:type="auto"/>
            <w:noWrap/>
            <w:vAlign w:val="center"/>
            <w:hideMark/>
          </w:tcPr>
          <w:p w14:paraId="52298F5F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Position</w:t>
            </w:r>
          </w:p>
        </w:tc>
        <w:tc>
          <w:tcPr>
            <w:tcW w:w="0" w:type="auto"/>
            <w:vAlign w:val="center"/>
          </w:tcPr>
          <w:p w14:paraId="1F6E1BA3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Gene</w:t>
            </w:r>
          </w:p>
        </w:tc>
        <w:tc>
          <w:tcPr>
            <w:tcW w:w="0" w:type="auto"/>
            <w:vAlign w:val="center"/>
          </w:tcPr>
          <w:p w14:paraId="5E26F3CF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 island</w:t>
            </w:r>
          </w:p>
        </w:tc>
        <w:tc>
          <w:tcPr>
            <w:tcW w:w="0" w:type="auto"/>
            <w:noWrap/>
            <w:vAlign w:val="center"/>
            <w:hideMark/>
          </w:tcPr>
          <w:p w14:paraId="176443DD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rho</w:t>
            </w:r>
          </w:p>
        </w:tc>
        <w:tc>
          <w:tcPr>
            <w:tcW w:w="0" w:type="auto"/>
            <w:noWrap/>
            <w:vAlign w:val="center"/>
            <w:hideMark/>
          </w:tcPr>
          <w:p w14:paraId="7C8C2BD4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Two-sided</w:t>
            </w:r>
          </w:p>
          <w:p w14:paraId="287A6D36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P-value</w:t>
            </w:r>
          </w:p>
        </w:tc>
      </w:tr>
      <w:tr w:rsidR="00964BD5" w:rsidRPr="000F158D" w14:paraId="7BE6C21D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B71799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cg16015712</w:t>
            </w:r>
          </w:p>
        </w:tc>
        <w:tc>
          <w:tcPr>
            <w:tcW w:w="0" w:type="auto"/>
            <w:noWrap/>
            <w:hideMark/>
          </w:tcPr>
          <w:p w14:paraId="7310F310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C49ACA3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53308597</w:t>
            </w:r>
          </w:p>
        </w:tc>
        <w:tc>
          <w:tcPr>
            <w:tcW w:w="0" w:type="auto"/>
          </w:tcPr>
          <w:p w14:paraId="6170E4EB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430B0761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1926DF5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0.66</w:t>
            </w:r>
          </w:p>
        </w:tc>
        <w:tc>
          <w:tcPr>
            <w:tcW w:w="0" w:type="auto"/>
            <w:noWrap/>
            <w:hideMark/>
          </w:tcPr>
          <w:p w14:paraId="0352006B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2.15E-84</w:t>
            </w:r>
          </w:p>
        </w:tc>
      </w:tr>
      <w:tr w:rsidR="00964BD5" w:rsidRPr="000F158D" w14:paraId="3C232E87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B1CA0C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cg06335143</w:t>
            </w:r>
          </w:p>
        </w:tc>
        <w:tc>
          <w:tcPr>
            <w:tcW w:w="0" w:type="auto"/>
            <w:noWrap/>
            <w:hideMark/>
          </w:tcPr>
          <w:p w14:paraId="65A1145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F96093F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53308654</w:t>
            </w:r>
          </w:p>
        </w:tc>
        <w:tc>
          <w:tcPr>
            <w:tcW w:w="0" w:type="auto"/>
          </w:tcPr>
          <w:p w14:paraId="69EDA634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5D0DFD85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7CC3AEF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0.55</w:t>
            </w:r>
          </w:p>
        </w:tc>
        <w:tc>
          <w:tcPr>
            <w:tcW w:w="0" w:type="auto"/>
            <w:noWrap/>
            <w:hideMark/>
          </w:tcPr>
          <w:p w14:paraId="7A1CC0F3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1.65E-52</w:t>
            </w:r>
          </w:p>
        </w:tc>
      </w:tr>
      <w:tr w:rsidR="00964BD5" w:rsidRPr="000F158D" w14:paraId="046B69DD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BCBB73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cg06784991</w:t>
            </w:r>
          </w:p>
        </w:tc>
        <w:tc>
          <w:tcPr>
            <w:tcW w:w="0" w:type="auto"/>
            <w:noWrap/>
            <w:hideMark/>
          </w:tcPr>
          <w:p w14:paraId="5F6FEC6A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3CD7CD7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53308768</w:t>
            </w:r>
          </w:p>
        </w:tc>
        <w:tc>
          <w:tcPr>
            <w:tcW w:w="0" w:type="auto"/>
          </w:tcPr>
          <w:p w14:paraId="5D3B383E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43E99131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7273E980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63D1D87F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2.16E-105</w:t>
            </w:r>
          </w:p>
        </w:tc>
      </w:tr>
      <w:tr w:rsidR="00964BD5" w:rsidRPr="000F158D" w14:paraId="045197CB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C90214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cg24466241</w:t>
            </w:r>
          </w:p>
        </w:tc>
        <w:tc>
          <w:tcPr>
            <w:tcW w:w="0" w:type="auto"/>
            <w:noWrap/>
            <w:hideMark/>
          </w:tcPr>
          <w:p w14:paraId="656174F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6D1B87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53308908</w:t>
            </w:r>
          </w:p>
        </w:tc>
        <w:tc>
          <w:tcPr>
            <w:tcW w:w="0" w:type="auto"/>
          </w:tcPr>
          <w:p w14:paraId="169EB40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ZYG11A</w:t>
            </w:r>
          </w:p>
        </w:tc>
        <w:tc>
          <w:tcPr>
            <w:tcW w:w="0" w:type="auto"/>
          </w:tcPr>
          <w:p w14:paraId="616D419D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112</w:t>
            </w:r>
          </w:p>
        </w:tc>
        <w:tc>
          <w:tcPr>
            <w:tcW w:w="0" w:type="auto"/>
            <w:noWrap/>
            <w:hideMark/>
          </w:tcPr>
          <w:p w14:paraId="377B126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077DE89E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1.09E-73</w:t>
            </w:r>
          </w:p>
        </w:tc>
      </w:tr>
      <w:tr w:rsidR="00964BD5" w:rsidRPr="000F158D" w14:paraId="3252B69A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390888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cg06639320</w:t>
            </w:r>
          </w:p>
        </w:tc>
        <w:tc>
          <w:tcPr>
            <w:tcW w:w="0" w:type="auto"/>
            <w:noWrap/>
            <w:hideMark/>
          </w:tcPr>
          <w:p w14:paraId="2C0935AE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85D19BE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106015739</w:t>
            </w:r>
          </w:p>
        </w:tc>
        <w:tc>
          <w:tcPr>
            <w:tcW w:w="0" w:type="auto"/>
          </w:tcPr>
          <w:p w14:paraId="26B17D7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022635CA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0EEA42C7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0.76</w:t>
            </w:r>
          </w:p>
        </w:tc>
        <w:tc>
          <w:tcPr>
            <w:tcW w:w="0" w:type="auto"/>
            <w:noWrap/>
            <w:hideMark/>
          </w:tcPr>
          <w:p w14:paraId="4C108F35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1.54E-123</w:t>
            </w:r>
          </w:p>
        </w:tc>
      </w:tr>
      <w:tr w:rsidR="00964BD5" w:rsidRPr="000F158D" w14:paraId="501987D4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33FD53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cg22454769</w:t>
            </w:r>
          </w:p>
        </w:tc>
        <w:tc>
          <w:tcPr>
            <w:tcW w:w="0" w:type="auto"/>
            <w:noWrap/>
            <w:hideMark/>
          </w:tcPr>
          <w:p w14:paraId="278A28A7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A465DCA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106015767</w:t>
            </w:r>
          </w:p>
        </w:tc>
        <w:tc>
          <w:tcPr>
            <w:tcW w:w="0" w:type="auto"/>
          </w:tcPr>
          <w:p w14:paraId="78890764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3BED6EA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1EBAE917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0.73</w:t>
            </w:r>
          </w:p>
        </w:tc>
        <w:tc>
          <w:tcPr>
            <w:tcW w:w="0" w:type="auto"/>
            <w:noWrap/>
            <w:hideMark/>
          </w:tcPr>
          <w:p w14:paraId="038CEAD4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1.28E-109</w:t>
            </w:r>
          </w:p>
        </w:tc>
      </w:tr>
      <w:tr w:rsidR="00964BD5" w:rsidRPr="000F158D" w14:paraId="64CFC8FD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7CAE6C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cg24079702</w:t>
            </w:r>
          </w:p>
        </w:tc>
        <w:tc>
          <w:tcPr>
            <w:tcW w:w="0" w:type="auto"/>
            <w:noWrap/>
            <w:hideMark/>
          </w:tcPr>
          <w:p w14:paraId="103C6058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748D43A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106015771</w:t>
            </w:r>
          </w:p>
        </w:tc>
        <w:tc>
          <w:tcPr>
            <w:tcW w:w="0" w:type="auto"/>
          </w:tcPr>
          <w:p w14:paraId="4002A11E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FHL2</w:t>
            </w:r>
          </w:p>
        </w:tc>
        <w:tc>
          <w:tcPr>
            <w:tcW w:w="0" w:type="auto"/>
          </w:tcPr>
          <w:p w14:paraId="3FEBD30A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81</w:t>
            </w:r>
          </w:p>
        </w:tc>
        <w:tc>
          <w:tcPr>
            <w:tcW w:w="0" w:type="auto"/>
            <w:noWrap/>
            <w:hideMark/>
          </w:tcPr>
          <w:p w14:paraId="550C09FD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49E80334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1.03E-104</w:t>
            </w:r>
          </w:p>
        </w:tc>
      </w:tr>
      <w:tr w:rsidR="00964BD5" w:rsidRPr="000F158D" w14:paraId="4A99E949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5E8FB8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cg16867657</w:t>
            </w:r>
          </w:p>
        </w:tc>
        <w:tc>
          <w:tcPr>
            <w:tcW w:w="0" w:type="auto"/>
            <w:noWrap/>
            <w:hideMark/>
          </w:tcPr>
          <w:p w14:paraId="50BC385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FCA7224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11044877</w:t>
            </w:r>
          </w:p>
        </w:tc>
        <w:tc>
          <w:tcPr>
            <w:tcW w:w="0" w:type="auto"/>
          </w:tcPr>
          <w:p w14:paraId="7489B7AD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62585790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722428E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0.86</w:t>
            </w:r>
          </w:p>
        </w:tc>
        <w:tc>
          <w:tcPr>
            <w:tcW w:w="0" w:type="auto"/>
            <w:noWrap/>
            <w:hideMark/>
          </w:tcPr>
          <w:p w14:paraId="7042B801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3.37E-196</w:t>
            </w:r>
          </w:p>
        </w:tc>
      </w:tr>
      <w:tr w:rsidR="00964BD5" w:rsidRPr="000F158D" w14:paraId="1B17F3F5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977728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cg24724428</w:t>
            </w:r>
          </w:p>
        </w:tc>
        <w:tc>
          <w:tcPr>
            <w:tcW w:w="0" w:type="auto"/>
            <w:noWrap/>
            <w:hideMark/>
          </w:tcPr>
          <w:p w14:paraId="06C2E0A6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D30ECBC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11044888</w:t>
            </w:r>
          </w:p>
        </w:tc>
        <w:tc>
          <w:tcPr>
            <w:tcW w:w="0" w:type="auto"/>
          </w:tcPr>
          <w:p w14:paraId="58F6DD7C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119BBB30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1E68CB73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0.77</w:t>
            </w:r>
          </w:p>
        </w:tc>
        <w:tc>
          <w:tcPr>
            <w:tcW w:w="0" w:type="auto"/>
            <w:noWrap/>
            <w:hideMark/>
          </w:tcPr>
          <w:p w14:paraId="3551B84B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6.43E-130</w:t>
            </w:r>
          </w:p>
        </w:tc>
      </w:tr>
      <w:tr w:rsidR="00964BD5" w:rsidRPr="000F158D" w14:paraId="5D2660D3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F6C843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cg21572722</w:t>
            </w:r>
          </w:p>
        </w:tc>
        <w:tc>
          <w:tcPr>
            <w:tcW w:w="0" w:type="auto"/>
            <w:noWrap/>
            <w:hideMark/>
          </w:tcPr>
          <w:p w14:paraId="166D660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7DF07435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11044894</w:t>
            </w:r>
          </w:p>
        </w:tc>
        <w:tc>
          <w:tcPr>
            <w:tcW w:w="0" w:type="auto"/>
          </w:tcPr>
          <w:p w14:paraId="0CA7142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</w:t>
            </w: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| </w:t>
            </w: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ELOVL2-AS1</w:t>
            </w:r>
          </w:p>
        </w:tc>
        <w:tc>
          <w:tcPr>
            <w:tcW w:w="0" w:type="auto"/>
          </w:tcPr>
          <w:p w14:paraId="00BCAD7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141</w:t>
            </w:r>
          </w:p>
        </w:tc>
        <w:tc>
          <w:tcPr>
            <w:tcW w:w="0" w:type="auto"/>
            <w:noWrap/>
            <w:hideMark/>
          </w:tcPr>
          <w:p w14:paraId="6157F99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070EC84A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4.14E-105</w:t>
            </w:r>
          </w:p>
        </w:tc>
      </w:tr>
      <w:tr w:rsidR="00964BD5" w:rsidRPr="000F158D" w14:paraId="14C84398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5D635C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cg14361627</w:t>
            </w:r>
          </w:p>
        </w:tc>
        <w:tc>
          <w:tcPr>
            <w:tcW w:w="0" w:type="auto"/>
            <w:noWrap/>
            <w:hideMark/>
          </w:tcPr>
          <w:p w14:paraId="2DB978B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F5807F3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130419116</w:t>
            </w:r>
          </w:p>
        </w:tc>
        <w:tc>
          <w:tcPr>
            <w:tcW w:w="0" w:type="auto"/>
          </w:tcPr>
          <w:p w14:paraId="2F35D377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3EFE3C1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3A534F16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290DE2F3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3.05E-70</w:t>
            </w:r>
          </w:p>
        </w:tc>
      </w:tr>
      <w:tr w:rsidR="00964BD5" w:rsidRPr="000F158D" w14:paraId="396F80DC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D5E45A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cg08097417</w:t>
            </w:r>
          </w:p>
        </w:tc>
        <w:tc>
          <w:tcPr>
            <w:tcW w:w="0" w:type="auto"/>
            <w:noWrap/>
            <w:hideMark/>
          </w:tcPr>
          <w:p w14:paraId="65A62B22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2D19A68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130419133</w:t>
            </w:r>
          </w:p>
        </w:tc>
        <w:tc>
          <w:tcPr>
            <w:tcW w:w="0" w:type="auto"/>
          </w:tcPr>
          <w:p w14:paraId="2E1D6691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38F499E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1AC0E280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0.61</w:t>
            </w:r>
          </w:p>
        </w:tc>
        <w:tc>
          <w:tcPr>
            <w:tcW w:w="0" w:type="auto"/>
            <w:noWrap/>
            <w:hideMark/>
          </w:tcPr>
          <w:p w14:paraId="74BE091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1.75E-67</w:t>
            </w:r>
          </w:p>
        </w:tc>
      </w:tr>
      <w:tr w:rsidR="00964BD5" w:rsidRPr="000F158D" w14:paraId="440D41DE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AF591C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cg09499629</w:t>
            </w:r>
          </w:p>
        </w:tc>
        <w:tc>
          <w:tcPr>
            <w:tcW w:w="0" w:type="auto"/>
            <w:noWrap/>
            <w:hideMark/>
          </w:tcPr>
          <w:p w14:paraId="32FA2AD7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424A3F44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130419136</w:t>
            </w:r>
          </w:p>
        </w:tc>
        <w:tc>
          <w:tcPr>
            <w:tcW w:w="0" w:type="auto"/>
          </w:tcPr>
          <w:p w14:paraId="3569E048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39CDF60F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2D65775D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0.48</w:t>
            </w:r>
          </w:p>
        </w:tc>
        <w:tc>
          <w:tcPr>
            <w:tcW w:w="0" w:type="auto"/>
            <w:noWrap/>
            <w:hideMark/>
          </w:tcPr>
          <w:p w14:paraId="28A1036D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1.09E-39</w:t>
            </w:r>
          </w:p>
        </w:tc>
      </w:tr>
      <w:tr w:rsidR="00964BD5" w:rsidRPr="000F158D" w14:paraId="1AE63916" w14:textId="77777777" w:rsidTr="0064691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A4B03F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cg07955995</w:t>
            </w:r>
          </w:p>
        </w:tc>
        <w:tc>
          <w:tcPr>
            <w:tcW w:w="0" w:type="auto"/>
            <w:noWrap/>
            <w:hideMark/>
          </w:tcPr>
          <w:p w14:paraId="080A4F7C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0E97FF6C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130419159</w:t>
            </w:r>
          </w:p>
        </w:tc>
        <w:tc>
          <w:tcPr>
            <w:tcW w:w="0" w:type="auto"/>
          </w:tcPr>
          <w:p w14:paraId="782E8EA0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2D227967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1E981FD7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0.63</w:t>
            </w:r>
          </w:p>
        </w:tc>
        <w:tc>
          <w:tcPr>
            <w:tcW w:w="0" w:type="auto"/>
            <w:noWrap/>
            <w:hideMark/>
          </w:tcPr>
          <w:p w14:paraId="4D0A3027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8.15E-73</w:t>
            </w:r>
          </w:p>
        </w:tc>
      </w:tr>
      <w:tr w:rsidR="00964BD5" w:rsidRPr="000F158D" w14:paraId="65F13148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28D092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cg22285878</w:t>
            </w:r>
          </w:p>
        </w:tc>
        <w:tc>
          <w:tcPr>
            <w:tcW w:w="0" w:type="auto"/>
            <w:noWrap/>
            <w:hideMark/>
          </w:tcPr>
          <w:p w14:paraId="71D620C4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3EB3F417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130419173</w:t>
            </w:r>
          </w:p>
        </w:tc>
        <w:tc>
          <w:tcPr>
            <w:tcW w:w="0" w:type="auto"/>
          </w:tcPr>
          <w:p w14:paraId="18A7FDFC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KLF14</w:t>
            </w:r>
          </w:p>
        </w:tc>
        <w:tc>
          <w:tcPr>
            <w:tcW w:w="0" w:type="auto"/>
          </w:tcPr>
          <w:p w14:paraId="7FC76809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CpG: 156</w:t>
            </w:r>
          </w:p>
        </w:tc>
        <w:tc>
          <w:tcPr>
            <w:tcW w:w="0" w:type="auto"/>
            <w:noWrap/>
            <w:hideMark/>
          </w:tcPr>
          <w:p w14:paraId="1FEF2A04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0.62</w:t>
            </w:r>
          </w:p>
        </w:tc>
        <w:tc>
          <w:tcPr>
            <w:tcW w:w="0" w:type="auto"/>
            <w:noWrap/>
            <w:hideMark/>
          </w:tcPr>
          <w:p w14:paraId="352BA1F6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1.40E-69</w:t>
            </w:r>
          </w:p>
        </w:tc>
      </w:tr>
    </w:tbl>
    <w:p w14:paraId="70FC8BF7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239289C1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br w:type="page"/>
      </w:r>
    </w:p>
    <w:p w14:paraId="47BB70E1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sectPr w:rsidR="00964BD5" w:rsidSect="005D18EF">
          <w:pgSz w:w="16838" w:h="11906" w:orient="landscape"/>
          <w:pgMar w:top="1411" w:right="1411" w:bottom="1411" w:left="1411" w:header="706" w:footer="706" w:gutter="0"/>
          <w:cols w:space="708"/>
          <w:docGrid w:linePitch="360"/>
        </w:sectPr>
      </w:pPr>
    </w:p>
    <w:p w14:paraId="7CE63151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Supplemental Table S2.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Distribution of age in the five randomly selected subgroups </w:t>
      </w:r>
    </w:p>
    <w:tbl>
      <w:tblPr>
        <w:tblStyle w:val="ListTable2-Accent1"/>
        <w:tblW w:w="0" w:type="auto"/>
        <w:tblLook w:val="04A0" w:firstRow="1" w:lastRow="0" w:firstColumn="1" w:lastColumn="0" w:noHBand="0" w:noVBand="1"/>
      </w:tblPr>
      <w:tblGrid>
        <w:gridCol w:w="1719"/>
        <w:gridCol w:w="1230"/>
        <w:gridCol w:w="1230"/>
        <w:gridCol w:w="1230"/>
        <w:gridCol w:w="1230"/>
        <w:gridCol w:w="1230"/>
      </w:tblGrid>
      <w:tr w:rsidR="00964BD5" w:rsidRPr="000F158D" w14:paraId="489A0E77" w14:textId="77777777" w:rsidTr="006469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5FED881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Align w:val="center"/>
            <w:hideMark/>
          </w:tcPr>
          <w:p w14:paraId="3CC48BE1" w14:textId="77777777" w:rsidR="00964BD5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5B37075C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1</w:t>
            </w:r>
          </w:p>
        </w:tc>
        <w:tc>
          <w:tcPr>
            <w:tcW w:w="0" w:type="auto"/>
            <w:vAlign w:val="center"/>
            <w:hideMark/>
          </w:tcPr>
          <w:p w14:paraId="69223F58" w14:textId="77777777" w:rsidR="00964BD5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61E4F486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2</w:t>
            </w:r>
          </w:p>
        </w:tc>
        <w:tc>
          <w:tcPr>
            <w:tcW w:w="0" w:type="auto"/>
            <w:vAlign w:val="center"/>
            <w:hideMark/>
          </w:tcPr>
          <w:p w14:paraId="2785A58D" w14:textId="77777777" w:rsidR="00964BD5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4D2CE924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3</w:t>
            </w:r>
          </w:p>
        </w:tc>
        <w:tc>
          <w:tcPr>
            <w:tcW w:w="0" w:type="auto"/>
            <w:vAlign w:val="center"/>
            <w:hideMark/>
          </w:tcPr>
          <w:p w14:paraId="4EF8D887" w14:textId="77777777" w:rsidR="00964BD5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3B9793B3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4</w:t>
            </w:r>
          </w:p>
        </w:tc>
        <w:tc>
          <w:tcPr>
            <w:tcW w:w="0" w:type="auto"/>
            <w:vAlign w:val="center"/>
            <w:hideMark/>
          </w:tcPr>
          <w:p w14:paraId="410A2001" w14:textId="77777777" w:rsidR="00964BD5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Bootstrap </w:t>
            </w:r>
          </w:p>
          <w:p w14:paraId="3C7AA85F" w14:textId="77777777" w:rsidR="00964BD5" w:rsidRPr="000F158D" w:rsidRDefault="00964BD5" w:rsidP="0064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group 5</w:t>
            </w:r>
          </w:p>
        </w:tc>
      </w:tr>
      <w:tr w:rsidR="00964BD5" w:rsidRPr="000F158D" w14:paraId="4BF73D17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929CFC8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vAlign w:val="center"/>
            <w:hideMark/>
          </w:tcPr>
          <w:p w14:paraId="341522B8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29E1B860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536AF1F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48D0BE29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0B1BFE4B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131</w:t>
            </w:r>
          </w:p>
        </w:tc>
      </w:tr>
      <w:tr w:rsidR="00964BD5" w:rsidRPr="000F158D" w14:paraId="48CF2C32" w14:textId="77777777" w:rsidTr="0064691F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66EF7DE2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Minim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al, age</w:t>
            </w:r>
          </w:p>
        </w:tc>
        <w:tc>
          <w:tcPr>
            <w:tcW w:w="0" w:type="auto"/>
            <w:vAlign w:val="center"/>
            <w:hideMark/>
          </w:tcPr>
          <w:p w14:paraId="0CBD41D6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53937673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5B33ED19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721BB152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2B6E7D71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</w:tr>
      <w:tr w:rsidR="00964BD5" w:rsidRPr="000F158D" w14:paraId="5EF3B4D8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EDF5354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Maxim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al, age</w:t>
            </w:r>
          </w:p>
        </w:tc>
        <w:tc>
          <w:tcPr>
            <w:tcW w:w="0" w:type="auto"/>
            <w:vAlign w:val="center"/>
            <w:hideMark/>
          </w:tcPr>
          <w:p w14:paraId="688C9D32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14:paraId="757785A4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14:paraId="054ED5CC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14:paraId="3C6CB845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14:paraId="31E5FBA5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93</w:t>
            </w:r>
          </w:p>
        </w:tc>
      </w:tr>
      <w:tr w:rsidR="00964BD5" w:rsidRPr="000F158D" w14:paraId="463FDC85" w14:textId="77777777" w:rsidTr="0064691F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66D9C62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Median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, age</w:t>
            </w:r>
          </w:p>
        </w:tc>
        <w:tc>
          <w:tcPr>
            <w:tcW w:w="0" w:type="auto"/>
            <w:vAlign w:val="center"/>
            <w:hideMark/>
          </w:tcPr>
          <w:p w14:paraId="7615343D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268203CB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64D8517E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14:paraId="59BB4B4E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0144C4D5" w14:textId="77777777" w:rsidR="00964BD5" w:rsidRPr="000F158D" w:rsidRDefault="00964BD5" w:rsidP="006469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64</w:t>
            </w:r>
          </w:p>
        </w:tc>
      </w:tr>
      <w:tr w:rsidR="00964BD5" w:rsidRPr="000F158D" w14:paraId="67C22E22" w14:textId="77777777" w:rsidTr="0064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AFBBC8D" w14:textId="77777777" w:rsidR="00964BD5" w:rsidRPr="000F158D" w:rsidRDefault="00964BD5" w:rsidP="0064691F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25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superscript"/>
                <w:lang w:val="en-US"/>
              </w:rPr>
              <w:t>th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 – 75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vertAlign w:val="superscript"/>
                <w:lang w:val="en-US"/>
              </w:rPr>
              <w:t>th</w:t>
            </w:r>
            <w:r w:rsidRPr="000F158D"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, IQR</w:t>
            </w:r>
          </w:p>
        </w:tc>
        <w:tc>
          <w:tcPr>
            <w:tcW w:w="0" w:type="auto"/>
            <w:vAlign w:val="center"/>
            <w:hideMark/>
          </w:tcPr>
          <w:p w14:paraId="467D312F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51–74</w:t>
            </w:r>
          </w:p>
        </w:tc>
        <w:tc>
          <w:tcPr>
            <w:tcW w:w="0" w:type="auto"/>
            <w:vAlign w:val="center"/>
            <w:hideMark/>
          </w:tcPr>
          <w:p w14:paraId="4BD4A83F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53–77</w:t>
            </w:r>
          </w:p>
        </w:tc>
        <w:tc>
          <w:tcPr>
            <w:tcW w:w="0" w:type="auto"/>
            <w:vAlign w:val="center"/>
            <w:hideMark/>
          </w:tcPr>
          <w:p w14:paraId="3847605D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58–75</w:t>
            </w:r>
          </w:p>
        </w:tc>
        <w:tc>
          <w:tcPr>
            <w:tcW w:w="0" w:type="auto"/>
            <w:vAlign w:val="center"/>
            <w:hideMark/>
          </w:tcPr>
          <w:p w14:paraId="2548A3B5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57–76</w:t>
            </w:r>
          </w:p>
        </w:tc>
        <w:tc>
          <w:tcPr>
            <w:tcW w:w="0" w:type="auto"/>
            <w:vAlign w:val="center"/>
            <w:hideMark/>
          </w:tcPr>
          <w:p w14:paraId="6EBD1B03" w14:textId="77777777" w:rsidR="00964BD5" w:rsidRPr="000F158D" w:rsidRDefault="00964BD5" w:rsidP="006469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0F15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53–73</w:t>
            </w:r>
          </w:p>
        </w:tc>
      </w:tr>
    </w:tbl>
    <w:p w14:paraId="1F70CBDC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N: number of subjects;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IQR: interquartile range.</w:t>
      </w:r>
    </w:p>
    <w:p w14:paraId="454973EA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p w14:paraId="2DF0AC4E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p w14:paraId="050EED14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sectPr w:rsidR="00964BD5" w:rsidSect="00A74BF5">
          <w:pgSz w:w="11906" w:h="16838"/>
          <w:pgMar w:top="1411" w:right="1411" w:bottom="1411" w:left="1411" w:header="706" w:footer="706" w:gutter="0"/>
          <w:cols w:space="708"/>
          <w:docGrid w:linePitch="360"/>
        </w:sectPr>
      </w:pPr>
    </w:p>
    <w:p w14:paraId="28A9C958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SUPPLEMENTAL FIGURES</w:t>
      </w:r>
    </w:p>
    <w:p w14:paraId="149E0DD6" w14:textId="77777777" w:rsidR="00964BD5" w:rsidRDefault="00964BD5" w:rsidP="00964B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Figure S1.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Conceptual representation of the </w:t>
      </w:r>
      <w:r w:rsidRPr="000F158D">
        <w:rPr>
          <w:rFonts w:ascii="Times New Roman" w:hAnsi="Times New Roman"/>
          <w:bCs/>
          <w:sz w:val="24"/>
          <w:szCs w:val="24"/>
          <w:lang w:val="en-US"/>
        </w:rPr>
        <w:t xml:space="preserve">smoothing method for </w:t>
      </w:r>
      <w:r w:rsidRPr="000F158D">
        <w:rPr>
          <w:rFonts w:ascii="Times New Roman" w:hAnsi="Times New Roman"/>
          <w:sz w:val="24"/>
          <w:szCs w:val="24"/>
          <w:lang w:val="en-US"/>
        </w:rPr>
        <w:t>calculating</w:t>
      </w:r>
      <w:r w:rsidRPr="000F158D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and visualizing data from epigenome-wide association studies. The </w:t>
      </w:r>
      <w:r w:rsidRPr="000F158D">
        <w:rPr>
          <w:rFonts w:ascii="Times New Roman" w:hAnsi="Times New Roman"/>
          <w:sz w:val="24"/>
          <w:szCs w:val="24"/>
          <w:lang w:val="en-US"/>
        </w:rPr>
        <w:t>smoothing method relies on the DNA co-methylation pattern, which is the correlation between adjacent CpG sites. The smoothing method consists of the conversion of the nominal –Log10(</w:t>
      </w:r>
      <w:r w:rsidRPr="000F158D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F158D">
        <w:rPr>
          <w:rFonts w:ascii="Times New Roman" w:hAnsi="Times New Roman"/>
          <w:sz w:val="24"/>
          <w:szCs w:val="24"/>
          <w:lang w:val="en-US"/>
        </w:rPr>
        <w:t xml:space="preserve">-value) obtained for each CpG probe at the genome-wide level to smoothed </w:t>
      </w:r>
      <w:r w:rsidRPr="000F158D">
        <w:rPr>
          <w:rFonts w:ascii="Times New Roman" w:hAnsi="Times New Roman"/>
          <w:i/>
          <w:sz w:val="24"/>
          <w:szCs w:val="24"/>
          <w:lang w:val="en-US"/>
        </w:rPr>
        <w:t>P</w:t>
      </w:r>
      <w:r w:rsidRPr="000F158D">
        <w:rPr>
          <w:rFonts w:ascii="Times New Roman" w:hAnsi="Times New Roman"/>
          <w:sz w:val="24"/>
          <w:szCs w:val="24"/>
          <w:lang w:val="en-US"/>
        </w:rPr>
        <w:t>-values (Smoothed[</w:t>
      </w:r>
      <w:r w:rsidRPr="000F158D">
        <w:rPr>
          <w:rFonts w:ascii="Times New Roman" w:hAnsi="Times New Roman"/>
          <w:i/>
          <w:iCs/>
          <w:sz w:val="24"/>
          <w:szCs w:val="24"/>
          <w:lang w:val="en-US"/>
        </w:rPr>
        <w:t>P</w:t>
      </w:r>
      <w:r w:rsidRPr="000F158D">
        <w:rPr>
          <w:rFonts w:ascii="Times New Roman" w:hAnsi="Times New Roman"/>
          <w:i/>
          <w:iCs/>
          <w:sz w:val="24"/>
          <w:szCs w:val="24"/>
          <w:vertAlign w:val="subscript"/>
          <w:lang w:val="en-US"/>
        </w:rPr>
        <w:t>k,w</w:t>
      </w:r>
      <w:r w:rsidRPr="000F158D">
        <w:rPr>
          <w:rFonts w:ascii="Times New Roman" w:hAnsi="Times New Roman"/>
          <w:sz w:val="24"/>
          <w:szCs w:val="24"/>
          <w:lang w:val="en-US"/>
        </w:rPr>
        <w:t xml:space="preserve">]) using a pre-specified window width value </w:t>
      </w:r>
      <w:r>
        <w:rPr>
          <w:rFonts w:ascii="Times New Roman" w:hAnsi="Times New Roman"/>
          <w:sz w:val="24"/>
          <w:szCs w:val="24"/>
          <w:lang w:val="en-US"/>
        </w:rPr>
        <w:t>(</w:t>
      </w:r>
      <w:r w:rsidRPr="000F158D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  <w:lang w:val="en-US"/>
        </w:rPr>
        <w:t>)</w:t>
      </w:r>
      <w:r w:rsidRPr="000F158D">
        <w:rPr>
          <w:rFonts w:ascii="Times New Roman" w:hAnsi="Times New Roman"/>
          <w:sz w:val="24"/>
          <w:szCs w:val="24"/>
          <w:lang w:val="en-US"/>
        </w:rPr>
        <w:t>.</w:t>
      </w:r>
      <w:r w:rsidRPr="000F158D">
        <w:rPr>
          <w:lang w:val="en-US"/>
        </w:rPr>
        <w:t xml:space="preserve"> </w:t>
      </w:r>
      <w:r w:rsidRPr="000F158D">
        <w:rPr>
          <w:rFonts w:ascii="Times New Roman" w:hAnsi="Times New Roman"/>
          <w:sz w:val="24"/>
          <w:szCs w:val="24"/>
          <w:lang w:val="en-US"/>
        </w:rPr>
        <w:t>A detailed description of the smoothing method and the corresponding statistical formula are reported in Online Methods.</w:t>
      </w:r>
    </w:p>
    <w:p w14:paraId="0E858E8E" w14:textId="77777777" w:rsidR="00964BD5" w:rsidRDefault="00964BD5" w:rsidP="00964B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34BA9FD3" w14:textId="77777777" w:rsidR="00964BD5" w:rsidRDefault="00964BD5" w:rsidP="00964BD5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2</w:t>
      </w:r>
      <w:r w:rsidRPr="000F158D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Epi-Manhattan plot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s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reporting sensitivity analys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es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on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five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randomly selected subsample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representing </w:t>
      </w:r>
      <w:r w:rsidRPr="000F158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20% of the total population. Panels (A) and (B) report the </w:t>
      </w:r>
      <w:r w:rsidRPr="000F158D">
        <w:rPr>
          <w:rFonts w:ascii="Times New Roman" w:hAnsi="Times New Roman" w:cs="Times New Roman"/>
          <w:sz w:val="24"/>
          <w:szCs w:val="24"/>
          <w:lang w:val="en-US"/>
        </w:rPr>
        <w:t>epi-Manhattan plot using untransformed –Log10(</w:t>
      </w:r>
      <w:r w:rsidRPr="000F158D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0F158D">
        <w:rPr>
          <w:rFonts w:ascii="Times New Roman" w:hAnsi="Times New Roman" w:cs="Times New Roman"/>
          <w:sz w:val="24"/>
          <w:szCs w:val="24"/>
          <w:lang w:val="en-US"/>
        </w:rPr>
        <w:t>-values) and after applying a smoothing transformation at the genome-wide level using a window width of 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the bootstrap group #1. The eight following panels report the sensitivity analyses corresponding to </w:t>
      </w:r>
      <w:r w:rsidRPr="001F50DD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bootstrap groups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#2 (C, D), #3 (E, F), #4 (G, H), and #5 (I, J).</w:t>
      </w:r>
    </w:p>
    <w:p w14:paraId="76922B01" w14:textId="77777777" w:rsidR="00964BD5" w:rsidRPr="000F158D" w:rsidRDefault="00964BD5" w:rsidP="00964BD5">
      <w:pPr>
        <w:spacing w:after="0" w:line="480" w:lineRule="auto"/>
        <w:rPr>
          <w:rFonts w:ascii="Times New Roman" w:hAnsi="Times New Roman"/>
          <w:sz w:val="24"/>
          <w:szCs w:val="24"/>
          <w:lang w:val="en-US"/>
        </w:rPr>
      </w:pPr>
    </w:p>
    <w:p w14:paraId="6088BEE5" w14:textId="77777777" w:rsidR="00964BD5" w:rsidRPr="000F158D" w:rsidRDefault="00964BD5" w:rsidP="00964BD5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  <w:r w:rsidRPr="00B4113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Figure S3</w:t>
      </w:r>
      <w:r w:rsidRPr="00C11CA8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. </w:t>
      </w:r>
      <w:r w:rsidRPr="00F63F33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Density distribution of CpG probes according to their </w:t>
      </w:r>
      <w:r w:rsidRPr="000F158D">
        <w:rPr>
          <w:rFonts w:ascii="Times New Roman" w:hAnsi="Times New Roman" w:cs="Times New Roman"/>
          <w:sz w:val="24"/>
          <w:szCs w:val="24"/>
          <w:lang w:val="en-US"/>
        </w:rPr>
        <w:t>untransformed –Log10(</w:t>
      </w:r>
      <w:r w:rsidRPr="000F158D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0F158D">
        <w:rPr>
          <w:rFonts w:ascii="Times New Roman" w:hAnsi="Times New Roman" w:cs="Times New Roman"/>
          <w:sz w:val="24"/>
          <w:szCs w:val="24"/>
          <w:lang w:val="en-US"/>
        </w:rPr>
        <w:t>-values)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r w:rsidRPr="000F158D">
        <w:rPr>
          <w:rFonts w:ascii="Times New Roman" w:hAnsi="Times New Roman" w:cs="Times New Roman"/>
          <w:sz w:val="24"/>
          <w:szCs w:val="24"/>
          <w:lang w:val="en-US"/>
        </w:rPr>
        <w:t>and aft</w:t>
      </w:r>
      <w:r w:rsidRPr="00B41139">
        <w:rPr>
          <w:rFonts w:ascii="Times New Roman" w:hAnsi="Times New Roman" w:cs="Times New Roman"/>
          <w:sz w:val="24"/>
          <w:szCs w:val="24"/>
          <w:lang w:val="en-US"/>
        </w:rPr>
        <w:t xml:space="preserve">er applying a smoothing </w:t>
      </w:r>
      <w:r w:rsidRPr="00C11CA8">
        <w:rPr>
          <w:rFonts w:ascii="Times New Roman" w:hAnsi="Times New Roman" w:cs="Times New Roman"/>
          <w:sz w:val="24"/>
          <w:szCs w:val="24"/>
          <w:lang w:val="en-US"/>
        </w:rPr>
        <w:t xml:space="preserve">transformation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B41139">
        <w:rPr>
          <w:rFonts w:ascii="Times New Roman" w:hAnsi="Times New Roman" w:cs="Times New Roman"/>
          <w:sz w:val="24"/>
          <w:szCs w:val="24"/>
          <w:lang w:val="en-US"/>
        </w:rPr>
        <w:t>–Log10(</w:t>
      </w:r>
      <w:r w:rsidRPr="00C11CA8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11CA8">
        <w:rPr>
          <w:rFonts w:ascii="Times New Roman" w:hAnsi="Times New Roman" w:cs="Times New Roman"/>
          <w:sz w:val="24"/>
          <w:szCs w:val="24"/>
          <w:lang w:val="en-US"/>
        </w:rPr>
        <w:t>-values)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(data reported from the EWAS in Example  #1)</w:t>
      </w:r>
      <w:r w:rsidRPr="00B4113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Panel </w:t>
      </w:r>
      <w:r w:rsidRPr="00B41139">
        <w:rPr>
          <w:rFonts w:ascii="Times New Roman" w:hAnsi="Times New Roman" w:cs="Times New Roman"/>
          <w:sz w:val="24"/>
          <w:szCs w:val="24"/>
          <w:lang w:val="en-US"/>
        </w:rPr>
        <w:t>(A)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reports the CpG probes with a </w:t>
      </w:r>
      <w:r w:rsidRPr="00B41139">
        <w:rPr>
          <w:rFonts w:ascii="Times New Roman" w:hAnsi="Times New Roman" w:cs="Times New Roman"/>
          <w:sz w:val="24"/>
          <w:szCs w:val="24"/>
          <w:lang w:val="en-US"/>
        </w:rPr>
        <w:t>–Log10(</w:t>
      </w:r>
      <w:r w:rsidRPr="00B4113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11CA8">
        <w:rPr>
          <w:rFonts w:ascii="Times New Roman" w:hAnsi="Times New Roman" w:cs="Times New Roman"/>
          <w:sz w:val="24"/>
          <w:szCs w:val="24"/>
          <w:lang w:val="en-US"/>
        </w:rPr>
        <w:t>-value)</w:t>
      </w:r>
      <w:r w:rsidRPr="00F63F3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rang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ing between 0 and 100; Panel (B) reports CpG probes with a 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–Log10(</w:t>
      </w:r>
      <w:r w:rsidRPr="0070300D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-value)</w:t>
      </w:r>
      <w:r w:rsidRPr="0070300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rang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ing between 100 310. In panel (B), the CpG probes with high untransformed 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–Log10(</w:t>
      </w:r>
      <w:r w:rsidRPr="0070300D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-values)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exhibit a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high risk of false-positive association. After applying the smoothing transformation, the number of CpG probes with smoothed 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–Log10(</w:t>
      </w:r>
      <w:r w:rsidRPr="0070300D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70300D">
        <w:rPr>
          <w:rFonts w:ascii="Times New Roman" w:hAnsi="Times New Roman" w:cs="Times New Roman"/>
          <w:sz w:val="24"/>
          <w:szCs w:val="24"/>
          <w:lang w:val="en-US"/>
        </w:rPr>
        <w:t>-values)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&gt;100 (width = 1, 2, or 3) is dramatically decreased.</w:t>
      </w:r>
    </w:p>
    <w:p w14:paraId="5E17E82E" w14:textId="77777777" w:rsidR="00755780" w:rsidRDefault="00755780"/>
    <w:sectPr w:rsidR="00755780" w:rsidSect="00A74BF5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BD5"/>
    <w:rsid w:val="00755780"/>
    <w:rsid w:val="0096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EE4D6"/>
  <w15:chartTrackingRefBased/>
  <w15:docId w15:val="{5306D289-317D-4275-96AE-A3315A40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BD5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-Accent1">
    <w:name w:val="List Table 2 Accent 1"/>
    <w:basedOn w:val="TableNormal"/>
    <w:uiPriority w:val="47"/>
    <w:rsid w:val="00964BD5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461</Words>
  <Characters>2634</Characters>
  <Application>Microsoft Office Word</Application>
  <DocSecurity>0</DocSecurity>
  <Lines>21</Lines>
  <Paragraphs>6</Paragraphs>
  <ScaleCrop>false</ScaleCrop>
  <Company>Springer Nature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2022-10-11T07:01:00Z</dcterms:created>
  <dcterms:modified xsi:type="dcterms:W3CDTF">2022-10-11T07:02:00Z</dcterms:modified>
</cp:coreProperties>
</file>