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1DA79E" w14:textId="77777777" w:rsidR="003F5466" w:rsidRPr="00A61F7A" w:rsidRDefault="003F5466" w:rsidP="003F5466">
      <w:pPr>
        <w:rPr>
          <w:rFonts w:ascii="Times New Roman" w:hAnsi="Times New Roman" w:cs="Times New Roman"/>
          <w:b/>
          <w:bCs/>
          <w:sz w:val="32"/>
          <w:szCs w:val="24"/>
        </w:rPr>
      </w:pPr>
      <w:r w:rsidRPr="00A61F7A">
        <w:rPr>
          <w:rFonts w:ascii="Times New Roman" w:hAnsi="Times New Roman" w:cs="Times New Roman"/>
          <w:b/>
          <w:bCs/>
          <w:sz w:val="32"/>
          <w:szCs w:val="24"/>
        </w:rPr>
        <w:t>Supplementary Material</w:t>
      </w:r>
    </w:p>
    <w:p w14:paraId="3EB43DA1" w14:textId="77777777" w:rsidR="003F5466" w:rsidRPr="007A3E8C" w:rsidRDefault="003F5466" w:rsidP="003F546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A3E8C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7A3E8C">
        <w:rPr>
          <w:rFonts w:ascii="Times New Roman" w:hAnsi="Times New Roman" w:cs="Times New Roman"/>
          <w:b/>
          <w:bCs/>
          <w:sz w:val="24"/>
          <w:szCs w:val="24"/>
        </w:rPr>
        <w:t>1. Strains used in this study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809"/>
        <w:gridCol w:w="2425"/>
      </w:tblGrid>
      <w:tr w:rsidR="003F5466" w:rsidRPr="007A3E8C" w14:paraId="5F47BD96" w14:textId="77777777" w:rsidTr="006C3EA9">
        <w:tc>
          <w:tcPr>
            <w:tcW w:w="3116" w:type="dxa"/>
          </w:tcPr>
          <w:p w14:paraId="23AD0C2D" w14:textId="77777777" w:rsidR="003F5466" w:rsidRPr="007A3E8C" w:rsidRDefault="003F5466" w:rsidP="006C3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E8C">
              <w:rPr>
                <w:rFonts w:ascii="Times New Roman" w:hAnsi="Times New Roman" w:cs="Times New Roman"/>
                <w:sz w:val="24"/>
                <w:szCs w:val="24"/>
              </w:rPr>
              <w:t>Strain name</w:t>
            </w:r>
          </w:p>
        </w:tc>
        <w:tc>
          <w:tcPr>
            <w:tcW w:w="3809" w:type="dxa"/>
          </w:tcPr>
          <w:p w14:paraId="40B8E726" w14:textId="77777777" w:rsidR="003F5466" w:rsidRPr="007A3E8C" w:rsidRDefault="003F5466" w:rsidP="006C3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E8C">
              <w:rPr>
                <w:rFonts w:ascii="Times New Roman" w:hAnsi="Times New Roman" w:cs="Times New Roman"/>
                <w:sz w:val="24"/>
                <w:szCs w:val="24"/>
              </w:rPr>
              <w:t>Genome type</w:t>
            </w:r>
          </w:p>
        </w:tc>
        <w:tc>
          <w:tcPr>
            <w:tcW w:w="2425" w:type="dxa"/>
          </w:tcPr>
          <w:p w14:paraId="10887D9E" w14:textId="77777777" w:rsidR="003F5466" w:rsidRPr="007A3E8C" w:rsidRDefault="003F5466" w:rsidP="006C3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E8C">
              <w:rPr>
                <w:rFonts w:ascii="Times New Roman" w:hAnsi="Times New Roman" w:cs="Times New Roman"/>
                <w:sz w:val="24"/>
                <w:szCs w:val="24"/>
              </w:rPr>
              <w:t>Reference</w:t>
            </w:r>
          </w:p>
        </w:tc>
      </w:tr>
      <w:tr w:rsidR="003F5466" w:rsidRPr="007A3E8C" w14:paraId="391F460F" w14:textId="77777777" w:rsidTr="006C3EA9">
        <w:tc>
          <w:tcPr>
            <w:tcW w:w="3116" w:type="dxa"/>
          </w:tcPr>
          <w:p w14:paraId="5E40FD41" w14:textId="77777777" w:rsidR="003F5466" w:rsidRPr="007A3E8C" w:rsidRDefault="003F5466" w:rsidP="006C3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E8C">
              <w:rPr>
                <w:rFonts w:ascii="Times New Roman" w:hAnsi="Times New Roman" w:cs="Times New Roman"/>
                <w:sz w:val="24"/>
                <w:szCs w:val="24"/>
              </w:rPr>
              <w:t xml:space="preserve">Engineered </w:t>
            </w:r>
            <w:proofErr w:type="spellStart"/>
            <w:r w:rsidRPr="007A3E8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Yarrowia</w:t>
            </w:r>
            <w:proofErr w:type="spellEnd"/>
            <w:r w:rsidRPr="007A3E8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7A3E8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lipolytica</w:t>
            </w:r>
            <w:proofErr w:type="spellEnd"/>
          </w:p>
        </w:tc>
        <w:tc>
          <w:tcPr>
            <w:tcW w:w="3809" w:type="dxa"/>
          </w:tcPr>
          <w:p w14:paraId="7E4097AD" w14:textId="77777777" w:rsidR="003F5466" w:rsidRPr="00E0720D" w:rsidRDefault="003F5466" w:rsidP="006C3EA9">
            <w:pPr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 w:rsidRPr="00E0720D">
              <w:rPr>
                <w:rStyle w:val="fontstyle01"/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Y. </w:t>
            </w:r>
            <w:proofErr w:type="spellStart"/>
            <w:r w:rsidRPr="00E0720D">
              <w:rPr>
                <w:rStyle w:val="fontstyle01"/>
                <w:rFonts w:ascii="Times New Roman" w:hAnsi="Times New Roman" w:cs="Times New Roman"/>
                <w:sz w:val="24"/>
                <w:szCs w:val="24"/>
                <w:lang w:val="es-ES"/>
              </w:rPr>
              <w:t>lipolytica</w:t>
            </w:r>
            <w:proofErr w:type="spellEnd"/>
            <w:r w:rsidRPr="00E0720D">
              <w:rPr>
                <w:rStyle w:val="fontstyle01"/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</w:t>
            </w:r>
            <w:r w:rsidRPr="00E0720D">
              <w:rPr>
                <w:rStyle w:val="fontstyle21"/>
                <w:rFonts w:ascii="Times New Roman" w:hAnsi="Times New Roman" w:cs="Times New Roman"/>
                <w:sz w:val="24"/>
                <w:szCs w:val="24"/>
                <w:lang w:val="es-ES"/>
              </w:rPr>
              <w:t>CLIB138</w:t>
            </w:r>
            <w:r w:rsidRPr="00E0720D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</w:t>
            </w:r>
            <w:r w:rsidRPr="00E0720D">
              <w:rPr>
                <w:rFonts w:ascii="Times New Roman" w:hAnsi="Times New Roman" w:cs="Times New Roman"/>
                <w:color w:val="000000"/>
                <w:sz w:val="24"/>
                <w:szCs w:val="24"/>
                <w:lang w:val="es-ES"/>
              </w:rPr>
              <w:t>YALrDNA-URA3-TEF-carB-carRP</w:t>
            </w:r>
          </w:p>
        </w:tc>
        <w:tc>
          <w:tcPr>
            <w:tcW w:w="2425" w:type="dxa"/>
          </w:tcPr>
          <w:p w14:paraId="0F07CBBA" w14:textId="2953798F" w:rsidR="003F5466" w:rsidRPr="007A3E8C" w:rsidRDefault="003F5466" w:rsidP="006C3EA9">
            <w:pPr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 w:rsidRPr="007A3E8C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fldChar w:fldCharType="begin">
                <w:fldData xml:space="preserve">PEVuZE5vdGU+PENpdGU+PEF1dGhvcj5DemFqa2E8L0F1dGhvcj48WWVhcj4yMDE4PC9ZZWFyPjxS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</w:fld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  <w:lang w:val="es-ES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  <w:sz w:val="24"/>
                <w:szCs w:val="24"/>
                <w:lang w:val="es-ES"/>
              </w:rPr>
              <w:fldChar w:fldCharType="begin">
                <w:fldData xml:space="preserve">PEVuZE5vdGU+PENpdGU+PEF1dGhvcj5DemFqa2E8L0F1dGhvcj48WWVhcj4yMDE4PC9ZZWFyPjxS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</w:fld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  <w:lang w:val="es-ES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  <w:sz w:val="24"/>
                <w:szCs w:val="24"/>
                <w:lang w:val="es-ES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val="es-ES"/>
              </w:rPr>
              <w:fldChar w:fldCharType="end"/>
            </w:r>
            <w:r w:rsidRPr="007A3E8C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fldChar w:fldCharType="separate"/>
            </w:r>
            <w:r w:rsidRPr="003F5466">
              <w:rPr>
                <w:rFonts w:ascii="Times New Roman" w:hAnsi="Times New Roman" w:cs="Times New Roman"/>
                <w:noProof/>
                <w:sz w:val="24"/>
                <w:szCs w:val="24"/>
                <w:vertAlign w:val="superscript"/>
                <w:lang w:val="es-ES"/>
              </w:rPr>
              <w:t>1</w:t>
            </w:r>
            <w:r w:rsidRPr="007A3E8C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fldChar w:fldCharType="end"/>
            </w:r>
          </w:p>
        </w:tc>
      </w:tr>
      <w:tr w:rsidR="003F5466" w:rsidRPr="007A3E8C" w14:paraId="1FE56354" w14:textId="77777777" w:rsidTr="006C3EA9">
        <w:tc>
          <w:tcPr>
            <w:tcW w:w="3116" w:type="dxa"/>
          </w:tcPr>
          <w:p w14:paraId="7FCF7CB8" w14:textId="77777777" w:rsidR="003F5466" w:rsidRPr="007A3E8C" w:rsidRDefault="003F5466" w:rsidP="006C3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E8C">
              <w:rPr>
                <w:rFonts w:ascii="Times New Roman" w:hAnsi="Times New Roman" w:cs="Times New Roman"/>
                <w:sz w:val="24"/>
                <w:szCs w:val="24"/>
              </w:rPr>
              <w:t>JBEI-137184a (TEAM-1120)</w:t>
            </w:r>
          </w:p>
        </w:tc>
        <w:tc>
          <w:tcPr>
            <w:tcW w:w="3809" w:type="dxa"/>
          </w:tcPr>
          <w:p w14:paraId="55F0A5CA" w14:textId="77777777" w:rsidR="003F5466" w:rsidRPr="007A3E8C" w:rsidRDefault="003F5466" w:rsidP="006C3EA9">
            <w:pPr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 w:rsidRPr="007A3E8C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KT2440 </w:t>
            </w:r>
            <w:r w:rsidRPr="007A3E8C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s-ES"/>
              </w:rPr>
              <w:t>Pseudomonas putida</w:t>
            </w:r>
            <w:r w:rsidRPr="007A3E8C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_</w:t>
            </w:r>
            <w:proofErr w:type="gramStart"/>
            <w:r w:rsidRPr="007A3E8C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5402::</w:t>
            </w:r>
            <w:proofErr w:type="spellStart"/>
            <w:proofErr w:type="gramEnd"/>
            <w:r w:rsidRPr="007A3E8C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arap-Sc.bpsA,Bc.sfp</w:t>
            </w:r>
            <w:proofErr w:type="spellEnd"/>
          </w:p>
        </w:tc>
        <w:tc>
          <w:tcPr>
            <w:tcW w:w="2425" w:type="dxa"/>
          </w:tcPr>
          <w:p w14:paraId="0C151578" w14:textId="2872BAE8" w:rsidR="003F5466" w:rsidRPr="007A3E8C" w:rsidRDefault="003F5466" w:rsidP="006C3EA9">
            <w:pPr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 w:rsidRPr="007A3E8C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fldChar w:fldCharType="begin"/>
            </w:r>
            <w:r>
              <w:rPr>
                <w:rFonts w:ascii="Times New Roman" w:hAnsi="Times New Roman" w:cs="Times New Roman"/>
                <w:sz w:val="24"/>
                <w:szCs w:val="24"/>
                <w:lang w:val="es-ES"/>
              </w:rPr>
              <w:instrText xml:space="preserve"> ADDIN EN.CITE &lt;EndNote&gt;&lt;Cite&gt;&lt;Author&gt;Banerjee&lt;/Author&gt;&lt;Year&gt;2020&lt;/Year&gt;&lt;RecNum&gt;22&lt;/RecNum&gt;&lt;DisplayText&gt;&lt;style face="superscript"&gt;2&lt;/style&gt;&lt;/DisplayText&gt;&lt;record&gt;&lt;rec-number&gt;22&lt;/rec-number&gt;&lt;foreign-keys&gt;&lt;key app="EN" db-id="0xwwrfd942savpefddnpwaa4rzave9rxv0x2" timestamp="1653035410"&gt;22&lt;/key&gt;&lt;/foreign-keys&gt;&lt;ref-type name="Journal Article"&gt;17&lt;/ref-type&gt;&lt;contributors&gt;&lt;authors&gt;&lt;author&gt;Banerjee, Deepanwita&lt;/author&gt;&lt;author&gt;Eng, Thomas&lt;/author&gt;&lt;author&gt;Lau, Andrew K.&lt;/author&gt;&lt;author&gt;Sasaki, Yusuke&lt;/author&gt;&lt;author&gt;Wang, Brenda&lt;/author&gt;&lt;author&gt;Chen, Yan&lt;/author&gt;&lt;author&gt;Prahl, Jan-Philip&lt;/author&gt;&lt;author&gt;Singan, Vasanth R.&lt;/author&gt;&lt;author&gt;Herbert, Robin A.&lt;/author&gt;&lt;author&gt;Liu, Yuzhong&lt;/author&gt;&lt;author&gt;Tanjore, Deepti&lt;/author&gt;&lt;author&gt;Petzold, Christopher J.&lt;/author&gt;&lt;author&gt;Keasling, Jay D.&lt;/author&gt;&lt;author&gt;Mukhopadhyay, Aindrila&lt;/author&gt;&lt;/authors&gt;&lt;/contributors&gt;&lt;titles&gt;&lt;title&gt;Genome-scale metabolic rewiring improves titers rates and yields of the non-native product indigoidine at scale&lt;/title&gt;&lt;secondary-title&gt;Nature Communications&lt;/secondary-title&gt;&lt;/titles&gt;&lt;periodical&gt;&lt;full-title&gt;Nature Communications&lt;/full-title&gt;&lt;/periodical&gt;&lt;pages&gt;5385&lt;/pages&gt;&lt;volume&gt;11&lt;/volume&gt;&lt;number&gt;1&lt;/number&gt;&lt;dates&gt;&lt;year&gt;2020&lt;/year&gt;&lt;pub-dates&gt;&lt;date&gt;2020/10/23&lt;/date&gt;&lt;/pub-dates&gt;&lt;/dates&gt;&lt;isbn&gt;2041-1723&lt;/isbn&gt;&lt;urls&gt;&lt;related-urls&gt;&lt;url&gt;https://doi.org/10.1038/s41467-020-19171-4&lt;/url&gt;&lt;/related-urls&gt;&lt;/urls&gt;&lt;electronic-resource-num&gt;10.1038/s41467-020-19171-4&lt;/electronic-resource-num&gt;&lt;/record&gt;&lt;/Cite&gt;&lt;/EndNote&gt;</w:instrText>
            </w:r>
            <w:r w:rsidRPr="007A3E8C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fldChar w:fldCharType="separate"/>
            </w:r>
            <w:r w:rsidRPr="003F5466">
              <w:rPr>
                <w:rFonts w:ascii="Times New Roman" w:hAnsi="Times New Roman" w:cs="Times New Roman"/>
                <w:noProof/>
                <w:sz w:val="24"/>
                <w:szCs w:val="24"/>
                <w:vertAlign w:val="superscript"/>
                <w:lang w:val="es-ES"/>
              </w:rPr>
              <w:t>2</w:t>
            </w:r>
            <w:r w:rsidRPr="007A3E8C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fldChar w:fldCharType="end"/>
            </w:r>
          </w:p>
        </w:tc>
      </w:tr>
      <w:tr w:rsidR="003F5466" w:rsidRPr="007A3E8C" w14:paraId="507A214D" w14:textId="77777777" w:rsidTr="006C3EA9">
        <w:tc>
          <w:tcPr>
            <w:tcW w:w="3116" w:type="dxa"/>
          </w:tcPr>
          <w:p w14:paraId="3E2052F9" w14:textId="77777777" w:rsidR="003F5466" w:rsidRPr="007A3E8C" w:rsidRDefault="003F5466" w:rsidP="006C3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E8C">
              <w:rPr>
                <w:rFonts w:ascii="Times New Roman" w:hAnsi="Times New Roman" w:cs="Times New Roman"/>
                <w:sz w:val="24"/>
                <w:szCs w:val="24"/>
              </w:rPr>
              <w:t>2973-cscB</w:t>
            </w:r>
          </w:p>
        </w:tc>
        <w:tc>
          <w:tcPr>
            <w:tcW w:w="3809" w:type="dxa"/>
          </w:tcPr>
          <w:p w14:paraId="791C02E7" w14:textId="77777777" w:rsidR="003F5466" w:rsidRPr="007A3E8C" w:rsidRDefault="003F5466" w:rsidP="006C3EA9">
            <w:pPr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proofErr w:type="spellStart"/>
            <w:r w:rsidRPr="007A3E8C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s-ES"/>
              </w:rPr>
              <w:t>Synechococcus</w:t>
            </w:r>
            <w:proofErr w:type="spellEnd"/>
            <w:r w:rsidRPr="007A3E8C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7A3E8C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s-ES"/>
              </w:rPr>
              <w:t>elongatus</w:t>
            </w:r>
            <w:proofErr w:type="spellEnd"/>
            <w:r w:rsidRPr="007A3E8C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2973 NS</w:t>
            </w:r>
            <w:proofErr w:type="gramStart"/>
            <w:r w:rsidRPr="007A3E8C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3::</w:t>
            </w:r>
            <w:proofErr w:type="gramEnd"/>
            <w:r w:rsidRPr="007A3E8C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P</w:t>
            </w:r>
            <w:r w:rsidRPr="007A3E8C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s-ES"/>
              </w:rPr>
              <w:t>lacUV5</w:t>
            </w:r>
            <w:r w:rsidRPr="007A3E8C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-cscB</w:t>
            </w:r>
          </w:p>
        </w:tc>
        <w:tc>
          <w:tcPr>
            <w:tcW w:w="2425" w:type="dxa"/>
          </w:tcPr>
          <w:p w14:paraId="42A86010" w14:textId="3B1BD549" w:rsidR="003F5466" w:rsidRPr="007A3E8C" w:rsidRDefault="003F5466" w:rsidP="006C3EA9">
            <w:pPr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 w:rsidRPr="007A3E8C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fldChar w:fldCharType="begin"/>
            </w:r>
            <w:r>
              <w:rPr>
                <w:rFonts w:ascii="Times New Roman" w:hAnsi="Times New Roman" w:cs="Times New Roman"/>
                <w:sz w:val="24"/>
                <w:szCs w:val="24"/>
                <w:lang w:val="es-ES"/>
              </w:rPr>
              <w:instrText xml:space="preserve"> ADDIN EN.CITE &lt;EndNote&gt;&lt;Cite&gt;&lt;Author&gt;Lin&lt;/Author&gt;&lt;Year&gt;2020&lt;/Year&gt;&lt;RecNum&gt;2&lt;/RecNum&gt;&lt;DisplayText&gt;&lt;style face="superscript"&gt;3&lt;/style&gt;&lt;/DisplayText&gt;&lt;record&gt;&lt;rec-number&gt;2&lt;/rec-number&gt;&lt;foreign-keys&gt;&lt;key app="EN" db-id="0xwwrfd942savpefddnpwaa4rzave9rxv0x2" timestamp="1652984234"&gt;2&lt;/key&gt;&lt;/foreign-keys&gt;&lt;ref-type name="Journal Article"&gt;17&lt;/ref-type&gt;&lt;contributors&gt;&lt;authors&gt;&lt;author&gt;Lin, P. C.&lt;/author&gt;&lt;author&gt;Zhang, F.&lt;/author&gt;&lt;author&gt;Pakrasi, H. B.&lt;/author&gt;&lt;/authors&gt;&lt;/contributors&gt;&lt;auth-address&gt;Department of Energy, Environmental &amp;amp; Chemical Engineering, Washington University, St. Louis, MO, 63130, USA.&amp;#xD;Department of Biology, Washington University, St. Louis, MO, 63130, USA. Pakrasi@wustl.edu.&lt;/auth-address&gt;&lt;titles&gt;&lt;title&gt;Enhanced production of sucrose in the fast-growing cyanobacterium Synechococcus elongatus UTEX 2973&lt;/title&gt;&lt;secondary-title&gt;Sci Rep&lt;/secondary-title&gt;&lt;/titles&gt;&lt;periodical&gt;&lt;full-title&gt;Sci Rep&lt;/full-title&gt;&lt;/periodical&gt;&lt;pages&gt;390&lt;/pages&gt;&lt;volume&gt;10&lt;/volume&gt;&lt;number&gt;1&lt;/number&gt;&lt;edition&gt;20200115&lt;/edition&gt;&lt;keywords&gt;&lt;keyword&gt;Bacterial Proteins/*metabolism&lt;/keyword&gt;&lt;keyword&gt;*Biosynthetic Pathways&lt;/keyword&gt;&lt;keyword&gt;Glucosyltransferases/*metabolism&lt;/keyword&gt;&lt;keyword&gt;*Metabolic Engineering&lt;/keyword&gt;&lt;keyword&gt;Sucrose/*metabolism&lt;/keyword&gt;&lt;keyword&gt;Synechococcus/growth &amp;amp; development/*metabolism&lt;/keyword&gt;&lt;/keywords&gt;&lt;dates&gt;&lt;year&gt;2020&lt;/year&gt;&lt;pub-dates&gt;&lt;date&gt;Jan 15&lt;/date&gt;&lt;/pub-dates&gt;&lt;/dates&gt;&lt;isbn&gt;2045-2322 (Electronic)&amp;#xD;2045-2322 (Linking)&lt;/isbn&gt;&lt;accession-num&gt;31942010&lt;/accession-num&gt;&lt;urls&gt;&lt;related-urls&gt;&lt;url&gt;https://www.ncbi.nlm.nih.gov/pubmed/31942010&lt;/url&gt;&lt;/related-urls&gt;&lt;/urls&gt;&lt;custom2&gt;PMC6962321&lt;/custom2&gt;&lt;electronic-resource-num&gt;10.1038/s41598-019-57319-5&lt;/electronic-resource-num&gt;&lt;remote-database-name&gt;Medline&lt;/remote-database-name&gt;&lt;remote-database-provider&gt;NLM&lt;/remote-database-provider&gt;&lt;/record&gt;&lt;/Cite&gt;&lt;/EndNote&gt;</w:instrText>
            </w:r>
            <w:r w:rsidRPr="007A3E8C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fldChar w:fldCharType="separate"/>
            </w:r>
            <w:r w:rsidRPr="003F5466">
              <w:rPr>
                <w:rFonts w:ascii="Times New Roman" w:hAnsi="Times New Roman" w:cs="Times New Roman"/>
                <w:noProof/>
                <w:sz w:val="24"/>
                <w:szCs w:val="24"/>
                <w:vertAlign w:val="superscript"/>
                <w:lang w:val="es-ES"/>
              </w:rPr>
              <w:t>3</w:t>
            </w:r>
            <w:r w:rsidRPr="007A3E8C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fldChar w:fldCharType="end"/>
            </w:r>
          </w:p>
        </w:tc>
      </w:tr>
    </w:tbl>
    <w:p w14:paraId="785C587E" w14:textId="77777777" w:rsidR="003F5466" w:rsidRDefault="003F5466" w:rsidP="003F546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9BBCB98" w14:textId="77777777" w:rsidR="003F5466" w:rsidRPr="000F2563" w:rsidRDefault="003F5466" w:rsidP="003F5466">
      <w:pPr>
        <w:rPr>
          <w:rFonts w:ascii="Times New Roman" w:hAnsi="Times New Roman" w:cs="Times New Roman"/>
          <w:sz w:val="24"/>
          <w:szCs w:val="24"/>
        </w:rPr>
      </w:pPr>
      <w:r w:rsidRPr="00A707BF">
        <w:rPr>
          <w:rFonts w:ascii="Times New Roman" w:hAnsi="Times New Roman" w:cs="Times New Roman"/>
          <w:b/>
          <w:bCs/>
          <w:noProof/>
          <w:sz w:val="24"/>
          <w:szCs w:val="24"/>
          <w:lang w:eastAsia="en-US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E4FA33A" wp14:editId="3035E2A7">
                <wp:simplePos x="0" y="0"/>
                <wp:positionH relativeFrom="column">
                  <wp:posOffset>2984500</wp:posOffset>
                </wp:positionH>
                <wp:positionV relativeFrom="paragraph">
                  <wp:posOffset>276225</wp:posOffset>
                </wp:positionV>
                <wp:extent cx="444500" cy="1404620"/>
                <wp:effectExtent l="0" t="0" r="0" b="0"/>
                <wp:wrapSquare wrapText="bothSides"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5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980EEC" w14:textId="77777777" w:rsidR="003F5466" w:rsidRDefault="003F5466" w:rsidP="003F5466">
                            <w:r>
                              <w:t>B.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E4FA33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35pt;margin-top:21.75pt;width:35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" stroked="f">
                <v:textbox style="mso-fit-shape-to-text:t">
                  <w:txbxContent>
                    <w:p w14:paraId="0F980EEC" w14:textId="77777777" w:rsidR="003F5466" w:rsidRDefault="003F5466" w:rsidP="003F5466">
                      <w:r>
                        <w:t>B.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A707BF">
        <w:rPr>
          <w:rFonts w:ascii="Times New Roman" w:hAnsi="Times New Roman" w:cs="Times New Roman"/>
          <w:b/>
          <w:bCs/>
          <w:noProof/>
          <w:sz w:val="24"/>
          <w:szCs w:val="24"/>
          <w:lang w:eastAsia="en-U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E4500CE" wp14:editId="583C9409">
                <wp:simplePos x="0" y="0"/>
                <wp:positionH relativeFrom="column">
                  <wp:posOffset>-31750</wp:posOffset>
                </wp:positionH>
                <wp:positionV relativeFrom="paragraph">
                  <wp:posOffset>276225</wp:posOffset>
                </wp:positionV>
                <wp:extent cx="444500" cy="1404620"/>
                <wp:effectExtent l="0" t="0" r="0" b="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5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E37099" w14:textId="77777777" w:rsidR="003F5466" w:rsidRDefault="003F5466" w:rsidP="003F5466">
                            <w:r>
                              <w:t>A.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E4500CE" id="_x0000_s1027" type="#_x0000_t202" style="position:absolute;margin-left:-2.5pt;margin-top:21.75pt;width:3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" stroked="f">
                <v:textbox style="mso-fit-shape-to-text:t">
                  <w:txbxContent>
                    <w:p w14:paraId="13E37099" w14:textId="77777777" w:rsidR="003F5466" w:rsidRDefault="003F5466" w:rsidP="003F5466">
                      <w:r>
                        <w:t>A.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en-US"/>
        </w:rPr>
        <w:drawing>
          <wp:anchor distT="0" distB="0" distL="114300" distR="114300" simplePos="0" relativeHeight="251655168" behindDoc="0" locked="0" layoutInCell="1" allowOverlap="1" wp14:anchorId="2707F5C3" wp14:editId="776C012B">
            <wp:simplePos x="0" y="0"/>
            <wp:positionH relativeFrom="margin">
              <wp:align>left</wp:align>
            </wp:positionH>
            <wp:positionV relativeFrom="paragraph">
              <wp:posOffset>354330</wp:posOffset>
            </wp:positionV>
            <wp:extent cx="3028950" cy="2641600"/>
            <wp:effectExtent l="0" t="0" r="0" b="6350"/>
            <wp:wrapTopAndBottom/>
            <wp:docPr id="7" name="Chart 7">
              <a:extLst xmlns:a="http://schemas.openxmlformats.org/drawingml/2006/main">
                <a:ext uri="{FF2B5EF4-FFF2-40B4-BE49-F238E27FC236}">
                  <a16:creationId xmlns:a16="http://schemas.microsoft.com/office/drawing/2014/main" id="{B218B5BF-7903-DD6A-C1DC-42525BD74CC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noProof/>
          <w:lang w:eastAsia="en-US"/>
        </w:rPr>
        <w:drawing>
          <wp:anchor distT="0" distB="0" distL="114300" distR="114300" simplePos="0" relativeHeight="251657216" behindDoc="0" locked="0" layoutInCell="1" allowOverlap="1" wp14:anchorId="0575CBD5" wp14:editId="13194B93">
            <wp:simplePos x="0" y="0"/>
            <wp:positionH relativeFrom="column">
              <wp:posOffset>3168650</wp:posOffset>
            </wp:positionH>
            <wp:positionV relativeFrom="paragraph">
              <wp:posOffset>352425</wp:posOffset>
            </wp:positionV>
            <wp:extent cx="2946400" cy="2644775"/>
            <wp:effectExtent l="0" t="0" r="6350" b="3175"/>
            <wp:wrapTopAndBottom/>
            <wp:docPr id="13" name="Chart 13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  <wp14:sizeRelH relativeFrom="margin">
              <wp14:pctWidth>0</wp14:pctWidth>
            </wp14:sizeRelH>
          </wp:anchor>
        </w:drawing>
      </w:r>
      <w:r w:rsidRPr="000F2563">
        <w:rPr>
          <w:rFonts w:ascii="Times New Roman" w:hAnsi="Times New Roman" w:cs="Times New Roman"/>
          <w:b/>
          <w:bCs/>
          <w:sz w:val="24"/>
          <w:szCs w:val="24"/>
        </w:rPr>
        <w:t>Supplementary Figure 1.</w:t>
      </w:r>
      <w:r w:rsidRPr="000F2563">
        <w:rPr>
          <w:rFonts w:ascii="Times New Roman" w:hAnsi="Times New Roman" w:cs="Times New Roman"/>
          <w:sz w:val="24"/>
          <w:szCs w:val="24"/>
        </w:rPr>
        <w:t xml:space="preserve"> Standard curves of β-carotene (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0F2563">
        <w:rPr>
          <w:rFonts w:ascii="Times New Roman" w:hAnsi="Times New Roman" w:cs="Times New Roman"/>
          <w:sz w:val="24"/>
          <w:szCs w:val="24"/>
        </w:rPr>
        <w:t xml:space="preserve">) and </w:t>
      </w:r>
      <w:proofErr w:type="spellStart"/>
      <w:r w:rsidRPr="000F2563">
        <w:rPr>
          <w:rFonts w:ascii="Times New Roman" w:hAnsi="Times New Roman" w:cs="Times New Roman"/>
          <w:sz w:val="24"/>
          <w:szCs w:val="24"/>
        </w:rPr>
        <w:t>indigoidine</w:t>
      </w:r>
      <w:proofErr w:type="spellEnd"/>
      <w:r w:rsidRPr="000F2563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B</w:t>
      </w:r>
      <w:r w:rsidRPr="000F2563">
        <w:rPr>
          <w:rFonts w:ascii="Times New Roman" w:hAnsi="Times New Roman" w:cs="Times New Roman"/>
          <w:sz w:val="24"/>
          <w:szCs w:val="24"/>
        </w:rPr>
        <w:t>) built in-house.</w:t>
      </w:r>
    </w:p>
    <w:p w14:paraId="047E3667" w14:textId="77777777" w:rsidR="003F5466" w:rsidRDefault="003F5466" w:rsidP="003F5466">
      <w:pPr>
        <w:pStyle w:val="EndNoteBibliography"/>
        <w:spacing w:after="0"/>
        <w:ind w:left="720" w:hanging="720"/>
      </w:pPr>
    </w:p>
    <w:p w14:paraId="78F9B906" w14:textId="77777777" w:rsidR="003F5466" w:rsidRDefault="003F5466" w:rsidP="003F5466">
      <w:pPr>
        <w:pStyle w:val="EndNoteBibliography"/>
        <w:spacing w:after="0"/>
        <w:ind w:left="720" w:hanging="720"/>
      </w:pPr>
    </w:p>
    <w:p w14:paraId="5C5A48A2" w14:textId="77777777" w:rsidR="003F5466" w:rsidRDefault="003F5466"/>
    <w:p w14:paraId="5F3A3FC5" w14:textId="4B5AE435" w:rsidR="003F5466" w:rsidRPr="003F5466" w:rsidRDefault="003F5466">
      <w:pPr>
        <w:rPr>
          <w:rFonts w:ascii="Times New Roman" w:hAnsi="Times New Roman" w:cs="Times New Roman"/>
          <w:b/>
          <w:bCs/>
          <w:sz w:val="32"/>
          <w:szCs w:val="24"/>
        </w:rPr>
      </w:pPr>
      <w:r w:rsidRPr="003F5466">
        <w:rPr>
          <w:rFonts w:ascii="Times New Roman" w:hAnsi="Times New Roman" w:cs="Times New Roman"/>
          <w:b/>
          <w:bCs/>
          <w:sz w:val="32"/>
          <w:szCs w:val="24"/>
        </w:rPr>
        <w:t>Supplementary Material References</w:t>
      </w:r>
    </w:p>
    <w:p w14:paraId="38553059" w14:textId="77777777" w:rsidR="003F5466" w:rsidRPr="003F5466" w:rsidRDefault="003F5466" w:rsidP="003F5466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>
        <w:fldChar w:fldCharType="begin"/>
      </w:r>
      <w:r>
        <w:instrText xml:space="preserve"> ADDIN EN.REFLIST </w:instrText>
      </w:r>
      <w:r>
        <w:fldChar w:fldCharType="separate"/>
      </w:r>
      <w:r w:rsidRPr="003F5466">
        <w:rPr>
          <w:rFonts w:ascii="Times New Roman" w:hAnsi="Times New Roman" w:cs="Times New Roman"/>
        </w:rPr>
        <w:t>1.</w:t>
      </w:r>
      <w:r w:rsidRPr="003F5466">
        <w:rPr>
          <w:rFonts w:ascii="Times New Roman" w:hAnsi="Times New Roman" w:cs="Times New Roman"/>
        </w:rPr>
        <w:tab/>
        <w:t xml:space="preserve">Czajka, J.J. et al. Engineering the oleaginous yeast Yarrowia lipolytica to produce the aroma compound beta-ionone. </w:t>
      </w:r>
      <w:r w:rsidRPr="003F5466">
        <w:rPr>
          <w:rFonts w:ascii="Times New Roman" w:hAnsi="Times New Roman" w:cs="Times New Roman"/>
          <w:i/>
        </w:rPr>
        <w:t>Microb Cell Fact</w:t>
      </w:r>
      <w:r w:rsidRPr="003F5466">
        <w:rPr>
          <w:rFonts w:ascii="Times New Roman" w:hAnsi="Times New Roman" w:cs="Times New Roman"/>
        </w:rPr>
        <w:t xml:space="preserve"> </w:t>
      </w:r>
      <w:r w:rsidRPr="003F5466">
        <w:rPr>
          <w:rFonts w:ascii="Times New Roman" w:hAnsi="Times New Roman" w:cs="Times New Roman"/>
          <w:b/>
        </w:rPr>
        <w:t>17</w:t>
      </w:r>
      <w:r w:rsidRPr="003F5466">
        <w:rPr>
          <w:rFonts w:ascii="Times New Roman" w:hAnsi="Times New Roman" w:cs="Times New Roman"/>
        </w:rPr>
        <w:t>, 136 (2018).</w:t>
      </w:r>
    </w:p>
    <w:p w14:paraId="365CB0B6" w14:textId="77777777" w:rsidR="003F5466" w:rsidRPr="003F5466" w:rsidRDefault="003F5466" w:rsidP="003F5466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3F5466">
        <w:rPr>
          <w:rFonts w:ascii="Times New Roman" w:hAnsi="Times New Roman" w:cs="Times New Roman"/>
        </w:rPr>
        <w:t>2.</w:t>
      </w:r>
      <w:r w:rsidRPr="003F5466">
        <w:rPr>
          <w:rFonts w:ascii="Times New Roman" w:hAnsi="Times New Roman" w:cs="Times New Roman"/>
        </w:rPr>
        <w:tab/>
        <w:t xml:space="preserve">Banerjee, D. et al. Genome-scale metabolic rewiring improves titers rates and yields of the non-native product indigoidine at scale. </w:t>
      </w:r>
      <w:r w:rsidRPr="003F5466">
        <w:rPr>
          <w:rFonts w:ascii="Times New Roman" w:hAnsi="Times New Roman" w:cs="Times New Roman"/>
          <w:i/>
        </w:rPr>
        <w:t>Nature Communications</w:t>
      </w:r>
      <w:r w:rsidRPr="003F5466">
        <w:rPr>
          <w:rFonts w:ascii="Times New Roman" w:hAnsi="Times New Roman" w:cs="Times New Roman"/>
        </w:rPr>
        <w:t xml:space="preserve"> </w:t>
      </w:r>
      <w:r w:rsidRPr="003F5466">
        <w:rPr>
          <w:rFonts w:ascii="Times New Roman" w:hAnsi="Times New Roman" w:cs="Times New Roman"/>
          <w:b/>
        </w:rPr>
        <w:t>11</w:t>
      </w:r>
      <w:r w:rsidRPr="003F5466">
        <w:rPr>
          <w:rFonts w:ascii="Times New Roman" w:hAnsi="Times New Roman" w:cs="Times New Roman"/>
        </w:rPr>
        <w:t>, 5385 (2020).</w:t>
      </w:r>
    </w:p>
    <w:p w14:paraId="57E19506" w14:textId="77777777" w:rsidR="003F5466" w:rsidRPr="003F5466" w:rsidRDefault="003F5466" w:rsidP="003F5466">
      <w:pPr>
        <w:pStyle w:val="EndNoteBibliography"/>
        <w:ind w:left="720" w:hanging="720"/>
        <w:rPr>
          <w:rFonts w:ascii="Times New Roman" w:hAnsi="Times New Roman" w:cs="Times New Roman"/>
        </w:rPr>
      </w:pPr>
      <w:r w:rsidRPr="003F5466">
        <w:rPr>
          <w:rFonts w:ascii="Times New Roman" w:hAnsi="Times New Roman" w:cs="Times New Roman"/>
        </w:rPr>
        <w:t>3.</w:t>
      </w:r>
      <w:r w:rsidRPr="003F5466">
        <w:rPr>
          <w:rFonts w:ascii="Times New Roman" w:hAnsi="Times New Roman" w:cs="Times New Roman"/>
        </w:rPr>
        <w:tab/>
        <w:t xml:space="preserve">Lin, P.C., Zhang, F. &amp; Pakrasi, H.B. Enhanced production of sucrose in the fast-growing cyanobacterium Synechococcus elongatus UTEX 2973. </w:t>
      </w:r>
      <w:r w:rsidRPr="003F5466">
        <w:rPr>
          <w:rFonts w:ascii="Times New Roman" w:hAnsi="Times New Roman" w:cs="Times New Roman"/>
          <w:i/>
        </w:rPr>
        <w:t>Sci Rep</w:t>
      </w:r>
      <w:r w:rsidRPr="003F5466">
        <w:rPr>
          <w:rFonts w:ascii="Times New Roman" w:hAnsi="Times New Roman" w:cs="Times New Roman"/>
        </w:rPr>
        <w:t xml:space="preserve"> </w:t>
      </w:r>
      <w:r w:rsidRPr="003F5466">
        <w:rPr>
          <w:rFonts w:ascii="Times New Roman" w:hAnsi="Times New Roman" w:cs="Times New Roman"/>
          <w:b/>
        </w:rPr>
        <w:t>10</w:t>
      </w:r>
      <w:r w:rsidRPr="003F5466">
        <w:rPr>
          <w:rFonts w:ascii="Times New Roman" w:hAnsi="Times New Roman" w:cs="Times New Roman"/>
        </w:rPr>
        <w:t>, 390 (2020).</w:t>
      </w:r>
    </w:p>
    <w:p w14:paraId="0D101525" w14:textId="1CF40146" w:rsidR="0081471F" w:rsidRDefault="003F5466">
      <w:r>
        <w:fldChar w:fldCharType="end"/>
      </w:r>
    </w:p>
    <w:sectPr w:rsidR="0081471F" w:rsidSect="00DF36C4">
      <w:footerReference w:type="default" r:id="rId6"/>
      <w:pgSz w:w="12240" w:h="15840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-Bold2">
    <w:altName w:val="Corbel"/>
    <w:panose1 w:val="00000000000000000000"/>
    <w:charset w:val="00"/>
    <w:family w:val="roman"/>
    <w:notTrueType/>
    <w:pitch w:val="default"/>
  </w:font>
  <w:font w:name="MinionPro-It">
    <w:altName w:val="Cambria"/>
    <w:panose1 w:val="00000000000000000000"/>
    <w:charset w:val="00"/>
    <w:family w:val="roman"/>
    <w:notTrueType/>
    <w:pitch w:val="default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8967741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4C750BC9" w14:textId="77777777" w:rsidR="00F41E04" w:rsidRPr="00BF77FE" w:rsidRDefault="002331D9">
        <w:pPr>
          <w:pStyle w:val="Footer"/>
          <w:jc w:val="center"/>
          <w:rPr>
            <w:rFonts w:ascii="Times New Roman" w:hAnsi="Times New Roman" w:cs="Times New Roman"/>
          </w:rPr>
        </w:pPr>
        <w:r w:rsidRPr="00BF77FE">
          <w:rPr>
            <w:rFonts w:ascii="Times New Roman" w:hAnsi="Times New Roman" w:cs="Times New Roman"/>
          </w:rPr>
          <w:fldChar w:fldCharType="begin"/>
        </w:r>
        <w:r w:rsidRPr="00BF77FE">
          <w:rPr>
            <w:rFonts w:ascii="Times New Roman" w:hAnsi="Times New Roman" w:cs="Times New Roman"/>
          </w:rPr>
          <w:instrText xml:space="preserve"> PAGE   \* MERGEFORMAT </w:instrText>
        </w:r>
        <w:r w:rsidRPr="00BF77FE"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noProof/>
          </w:rPr>
          <w:t>16</w:t>
        </w:r>
        <w:r w:rsidRPr="00BF77FE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151FF80" w14:textId="77777777" w:rsidR="00F41E04" w:rsidRDefault="002331D9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ature Biotechnology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0xwwrfd942savpefddnpwaa4rzave9rxv0x2&quot;&gt;My EndNote Library&lt;record-ids&gt;&lt;item&gt;2&lt;/item&gt;&lt;item&gt;22&lt;/item&gt;&lt;item&gt;108&lt;/item&gt;&lt;/record-ids&gt;&lt;/item&gt;&lt;/Libraries&gt;"/>
  </w:docVars>
  <w:rsids>
    <w:rsidRoot w:val="003F5466"/>
    <w:rsid w:val="00244FC0"/>
    <w:rsid w:val="003A6B3E"/>
    <w:rsid w:val="003F5466"/>
    <w:rsid w:val="0081471F"/>
    <w:rsid w:val="00F84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711FB3"/>
  <w15:chartTrackingRefBased/>
  <w15:docId w15:val="{C7C9A9F7-587A-4248-B5B3-A50EB5E1FE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5466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">
    <w:name w:val="EndNote Bibliography"/>
    <w:basedOn w:val="Normal"/>
    <w:link w:val="EndNoteBibliographyChar"/>
    <w:rsid w:val="003F5466"/>
    <w:pPr>
      <w:spacing w:line="240" w:lineRule="auto"/>
      <w:jc w:val="both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3F5466"/>
    <w:rPr>
      <w:rFonts w:ascii="Calibri" w:hAnsi="Calibri" w:cs="Calibri"/>
      <w:noProof/>
    </w:rPr>
  </w:style>
  <w:style w:type="character" w:customStyle="1" w:styleId="fontstyle01">
    <w:name w:val="fontstyle01"/>
    <w:basedOn w:val="DefaultParagraphFont"/>
    <w:rsid w:val="003F5466"/>
    <w:rPr>
      <w:rFonts w:ascii="Corbel-Bold2" w:hAnsi="Corbel-Bold2" w:hint="default"/>
      <w:b/>
      <w:bCs/>
      <w:i w:val="0"/>
      <w:iCs w:val="0"/>
      <w:color w:val="000000"/>
      <w:sz w:val="20"/>
      <w:szCs w:val="20"/>
    </w:rPr>
  </w:style>
  <w:style w:type="character" w:customStyle="1" w:styleId="fontstyle21">
    <w:name w:val="fontstyle21"/>
    <w:basedOn w:val="DefaultParagraphFont"/>
    <w:rsid w:val="003F5466"/>
    <w:rPr>
      <w:rFonts w:ascii="MinionPro-It" w:hAnsi="MinionPro-It" w:hint="default"/>
      <w:b w:val="0"/>
      <w:bCs w:val="0"/>
      <w:i/>
      <w:iCs/>
      <w:color w:val="000000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3F54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F5466"/>
  </w:style>
  <w:style w:type="table" w:styleId="TableGrid">
    <w:name w:val="Table Grid"/>
    <w:basedOn w:val="TableNormal"/>
    <w:uiPriority w:val="39"/>
    <w:rsid w:val="003F54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3F5466"/>
  </w:style>
  <w:style w:type="paragraph" w:customStyle="1" w:styleId="EndNoteBibliographyTitle">
    <w:name w:val="EndNote Bibliography Title"/>
    <w:basedOn w:val="Normal"/>
    <w:link w:val="EndNoteBibliographyTitleChar"/>
    <w:rsid w:val="003F5466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3F5466"/>
    <w:rPr>
      <w:rFonts w:ascii="Calibri" w:hAnsi="Calibri" w:cs="Calibri"/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chart" Target="charts/chart2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zhaor\Dropbox\WUSTL\Research\Hydrogel\RawData\20220708_betaCaroteneStdCurve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zhaor\Dropbox\WUSTL\Research\Hydrogel\RawData\20220709_IndigoidineStdCurve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scatterChart>
        <c:scatterStyle val="lineMarker"/>
        <c:varyColors val="0"/>
        <c:ser>
          <c:idx val="0"/>
          <c:order val="0"/>
          <c:spPr>
            <a:ln w="28575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trendline>
            <c:spPr>
              <a:ln w="9525" cap="rnd">
                <a:noFill/>
                <a:prstDash val="solid"/>
              </a:ln>
              <a:effectLst/>
            </c:spPr>
            <c:trendlineType val="linear"/>
            <c:dispRSqr val="1"/>
            <c:dispEq val="1"/>
            <c:trendlineLbl>
              <c:layout>
                <c:manualLayout>
                  <c:x val="8.3428250713943775E-4"/>
                  <c:y val="1.0805193821926105E-2"/>
                </c:manualLayout>
              </c:layout>
              <c:numFmt formatCode="General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1400" b="0" i="0" u="none" strike="noStrike" kern="1200" baseline="0">
                      <a:solidFill>
                        <a:sysClr val="windowText" lastClr="000000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en-US"/>
                </a:p>
              </c:txPr>
            </c:trendlineLbl>
          </c:trendline>
          <c:trendline>
            <c:spPr>
              <a:ln w="6350" cap="rnd">
                <a:solidFill>
                  <a:schemeClr val="tx1"/>
                </a:solidFill>
                <a:prstDash val="solid"/>
              </a:ln>
              <a:effectLst/>
            </c:spPr>
            <c:trendlineType val="linear"/>
            <c:dispRSqr val="0"/>
            <c:dispEq val="0"/>
          </c:trendline>
          <c:xVal>
            <c:numRef>
              <c:f>Sheet2!$D$34:$D$42</c:f>
              <c:numCache>
                <c:formatCode>General</c:formatCode>
                <c:ptCount val="9"/>
                <c:pt idx="0">
                  <c:v>3.752700001001358</c:v>
                </c:pt>
                <c:pt idx="1">
                  <c:v>2.6018999218940735</c:v>
                </c:pt>
                <c:pt idx="2">
                  <c:v>1.7345999479293823</c:v>
                </c:pt>
                <c:pt idx="3">
                  <c:v>1.0247999802231789</c:v>
                </c:pt>
                <c:pt idx="4">
                  <c:v>0.57959995418787003</c:v>
                </c:pt>
                <c:pt idx="5">
                  <c:v>0.3212999626994133</c:v>
                </c:pt>
                <c:pt idx="6">
                  <c:v>0.16589999198913574</c:v>
                </c:pt>
                <c:pt idx="7">
                  <c:v>0.11759995669126511</c:v>
                </c:pt>
                <c:pt idx="8">
                  <c:v>5.5999979376792908E-2</c:v>
                </c:pt>
              </c:numCache>
            </c:numRef>
          </c:xVal>
          <c:yVal>
            <c:numRef>
              <c:f>Sheet2!$E$34:$E$42</c:f>
              <c:numCache>
                <c:formatCode>General</c:formatCode>
                <c:ptCount val="9"/>
                <c:pt idx="0">
                  <c:v>0.10500000000000001</c:v>
                </c:pt>
                <c:pt idx="1">
                  <c:v>7.8750000000000014E-2</c:v>
                </c:pt>
                <c:pt idx="2">
                  <c:v>5.2500000000000005E-2</c:v>
                </c:pt>
                <c:pt idx="3">
                  <c:v>2.6250000000000002E-2</c:v>
                </c:pt>
                <c:pt idx="4">
                  <c:v>1.3125000000000001E-2</c:v>
                </c:pt>
                <c:pt idx="5">
                  <c:v>6.5625000000000006E-3</c:v>
                </c:pt>
                <c:pt idx="6">
                  <c:v>3.2812500000000003E-3</c:v>
                </c:pt>
                <c:pt idx="7">
                  <c:v>1.6406250000000002E-3</c:v>
                </c:pt>
                <c:pt idx="8">
                  <c:v>7.8125000000000004E-4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2-1521-42B7-BDF9-B6215346CF8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002676799"/>
        <c:axId val="1002674719"/>
      </c:scatterChart>
      <c:valAx>
        <c:axId val="1002676799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4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/>
                  <a:t>Abs @ 456nm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400" b="0" i="0" u="none" strike="noStrike" kern="1200" baseline="0">
                  <a:solidFill>
                    <a:sysClr val="windowText" lastClr="000000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4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1002674719"/>
        <c:crosses val="autoZero"/>
        <c:crossBetween val="midCat"/>
      </c:valAx>
      <c:valAx>
        <c:axId val="1002674719"/>
        <c:scaling>
          <c:orientation val="minMax"/>
          <c:min val="0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4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 b="0"/>
                  <a:t>β-carotene (g/L)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400" b="0" i="0" u="none" strike="noStrike" kern="1200" baseline="0">
                  <a:solidFill>
                    <a:sysClr val="windowText" lastClr="000000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4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1002676799"/>
        <c:crosses val="autoZero"/>
        <c:crossBetween val="midCat"/>
      </c:valAx>
      <c:spPr>
        <a:noFill/>
        <a:ln>
          <a:solidFill>
            <a:sysClr val="windowText" lastClr="000000"/>
          </a:solidFill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400">
          <a:solidFill>
            <a:sysClr val="windowText" lastClr="000000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scatterChart>
        <c:scatterStyle val="lineMarker"/>
        <c:varyColors val="0"/>
        <c:ser>
          <c:idx val="0"/>
          <c:order val="0"/>
          <c:spPr>
            <a:ln w="28575">
              <a:noFill/>
            </a:ln>
          </c:spPr>
          <c:trendline>
            <c:trendlineType val="linear"/>
            <c:dispRSqr val="1"/>
            <c:dispEq val="1"/>
            <c:trendlineLbl>
              <c:numFmt formatCode="General" sourceLinked="0"/>
            </c:trendlineLbl>
          </c:trendline>
          <c:xVal>
            <c:numRef>
              <c:f>Sheet3!$D$27:$D$32</c:f>
              <c:numCache>
                <c:formatCode>General</c:formatCode>
                <c:ptCount val="6"/>
                <c:pt idx="0">
                  <c:v>3.5611000321805477</c:v>
                </c:pt>
                <c:pt idx="1">
                  <c:v>1.8029999993741512</c:v>
                </c:pt>
                <c:pt idx="2">
                  <c:v>0.90520003065466881</c:v>
                </c:pt>
                <c:pt idx="3">
                  <c:v>0.43760001286864281</c:v>
                </c:pt>
                <c:pt idx="4">
                  <c:v>0.21670001372694969</c:v>
                </c:pt>
                <c:pt idx="5">
                  <c:v>0.10579999908804893</c:v>
                </c:pt>
              </c:numCache>
            </c:numRef>
          </c:xVal>
          <c:yVal>
            <c:numRef>
              <c:f>Sheet3!$E$27:$E$32</c:f>
              <c:numCache>
                <c:formatCode>General</c:formatCode>
                <c:ptCount val="6"/>
                <c:pt idx="0">
                  <c:v>0.2</c:v>
                </c:pt>
                <c:pt idx="1">
                  <c:v>0.1</c:v>
                </c:pt>
                <c:pt idx="2">
                  <c:v>0.05</c:v>
                </c:pt>
                <c:pt idx="3">
                  <c:v>2.5000000000000001E-2</c:v>
                </c:pt>
                <c:pt idx="4">
                  <c:v>1.2500000000000001E-2</c:v>
                </c:pt>
                <c:pt idx="5">
                  <c:v>6.2500000000000003E-3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5A4E-4CBA-A279-FD0B023CE1A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72219648"/>
        <c:axId val="72217344"/>
      </c:scatterChart>
      <c:valAx>
        <c:axId val="72219648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 b="0"/>
                </a:pPr>
                <a:r>
                  <a:rPr lang="en-US" b="0"/>
                  <a:t>Abs @612nm</a:t>
                </a:r>
              </a:p>
            </c:rich>
          </c:tx>
          <c:overlay val="0"/>
        </c:title>
        <c:numFmt formatCode="General" sourceLinked="1"/>
        <c:majorTickMark val="in"/>
        <c:minorTickMark val="none"/>
        <c:tickLblPos val="nextTo"/>
        <c:spPr>
          <a:ln/>
        </c:spPr>
        <c:crossAx val="72217344"/>
        <c:crosses val="autoZero"/>
        <c:crossBetween val="midCat"/>
      </c:valAx>
      <c:valAx>
        <c:axId val="72217344"/>
        <c:scaling>
          <c:orientation val="minMax"/>
        </c:scaling>
        <c:delete val="0"/>
        <c:axPos val="l"/>
        <c:title>
          <c:tx>
            <c:rich>
              <a:bodyPr/>
              <a:lstStyle/>
              <a:p>
                <a:pPr>
                  <a:defRPr b="0"/>
                </a:pPr>
                <a:r>
                  <a:rPr lang="en-US" b="0"/>
                  <a:t>indigoidine g/L</a:t>
                </a:r>
              </a:p>
            </c:rich>
          </c:tx>
          <c:overlay val="0"/>
        </c:title>
        <c:numFmt formatCode="General" sourceLinked="1"/>
        <c:majorTickMark val="in"/>
        <c:minorTickMark val="none"/>
        <c:tickLblPos val="nextTo"/>
        <c:spPr>
          <a:ln/>
        </c:spPr>
        <c:crossAx val="72219648"/>
        <c:crosses val="autoZero"/>
        <c:crossBetween val="midCat"/>
      </c:valAx>
      <c:spPr>
        <a:ln>
          <a:solidFill>
            <a:sysClr val="windowText" lastClr="000000"/>
          </a:solidFill>
        </a:ln>
      </c:spPr>
    </c:plotArea>
    <c:plotVisOnly val="1"/>
    <c:dispBlanksAs val="gap"/>
    <c:showDLblsOverMax val="0"/>
  </c:chart>
  <c:spPr>
    <a:ln>
      <a:noFill/>
    </a:ln>
  </c:spPr>
  <c:txPr>
    <a:bodyPr/>
    <a:lstStyle/>
    <a:p>
      <a:pPr>
        <a:defRPr sz="1400"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1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648</Words>
  <Characters>3697</Characters>
  <Application>Microsoft Office Word</Application>
  <DocSecurity>0</DocSecurity>
  <Lines>30</Lines>
  <Paragraphs>8</Paragraphs>
  <ScaleCrop>false</ScaleCrop>
  <Company/>
  <LinksUpToDate>false</LinksUpToDate>
  <CharactersWithSpaces>4337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Runyu Zhao</dc:creator>
  <cp:keywords/>
  <dc:description/>
  <cp:lastModifiedBy>Runyu Zhao</cp:lastModifiedBy>
  <cp:revision>2</cp:revision>
  <dcterms:created xsi:type="dcterms:W3CDTF">2022-09-23T13:35:00Z</dcterms:created>
  <dcterms:modified xsi:type="dcterms:W3CDTF">2022-09-23T13:35:00Z</dcterms:modified>
</cp:coreProperties>
</file>