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0E5" w:rsidRDefault="00D36343">
      <w:r>
        <w:rPr>
          <w:noProof/>
          <w:sz w:val="16"/>
          <w:szCs w:val="16"/>
        </w:rPr>
        <w:drawing>
          <wp:inline distT="0" distB="0" distL="0" distR="0" wp14:anchorId="151C5BB2" wp14:editId="7BF68504">
            <wp:extent cx="4323300" cy="2520566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3300" cy="252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343" w:rsidRDefault="00D36343"/>
    <w:p w:rsidR="00D36343" w:rsidRPr="00C378C2" w:rsidRDefault="00D36343" w:rsidP="00D36343">
      <w:pPr>
        <w:pStyle w:val="Caption"/>
        <w:jc w:val="both"/>
        <w:rPr>
          <w:rFonts w:ascii="Arial" w:hAnsi="Arial" w:cs="Arial"/>
          <w:i w:val="0"/>
          <w:iCs w:val="0"/>
          <w:color w:val="auto"/>
        </w:rPr>
      </w:pPr>
      <w:bookmarkStart w:id="0" w:name="_Ref97047472"/>
      <w:r w:rsidRPr="007B5480">
        <w:rPr>
          <w:rFonts w:ascii="Arial" w:hAnsi="Arial" w:cs="Arial"/>
          <w:i w:val="0"/>
          <w:iCs w:val="0"/>
          <w:color w:val="auto"/>
        </w:rPr>
        <w:t xml:space="preserve">Scheme </w:t>
      </w:r>
      <w:r w:rsidRPr="007B5480">
        <w:rPr>
          <w:rFonts w:ascii="Arial" w:hAnsi="Arial" w:cs="Arial"/>
          <w:i w:val="0"/>
          <w:iCs w:val="0"/>
          <w:color w:val="auto"/>
        </w:rPr>
        <w:fldChar w:fldCharType="begin"/>
      </w:r>
      <w:r w:rsidRPr="007B5480">
        <w:rPr>
          <w:rFonts w:ascii="Arial" w:hAnsi="Arial" w:cs="Arial"/>
          <w:i w:val="0"/>
          <w:iCs w:val="0"/>
          <w:color w:val="auto"/>
        </w:rPr>
        <w:instrText xml:space="preserve"> SEQ Scheme \* ARABIC </w:instrText>
      </w:r>
      <w:r w:rsidRPr="007B5480">
        <w:rPr>
          <w:rFonts w:ascii="Arial" w:hAnsi="Arial" w:cs="Arial"/>
          <w:i w:val="0"/>
          <w:iCs w:val="0"/>
          <w:color w:val="auto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</w:rPr>
        <w:t>1</w:t>
      </w:r>
      <w:r w:rsidRPr="007B5480">
        <w:rPr>
          <w:rFonts w:ascii="Arial" w:hAnsi="Arial" w:cs="Arial"/>
          <w:i w:val="0"/>
          <w:iCs w:val="0"/>
          <w:color w:val="auto"/>
        </w:rPr>
        <w:fldChar w:fldCharType="end"/>
      </w:r>
      <w:bookmarkEnd w:id="0"/>
      <w:r>
        <w:rPr>
          <w:rFonts w:ascii="Arial" w:hAnsi="Arial" w:cs="Arial"/>
          <w:i w:val="0"/>
          <w:iCs w:val="0"/>
          <w:color w:val="auto"/>
        </w:rPr>
        <w:t>.</w:t>
      </w:r>
      <w:r w:rsidRPr="007B5480">
        <w:rPr>
          <w:rFonts w:ascii="Arial" w:hAnsi="Arial" w:cs="Arial"/>
          <w:i w:val="0"/>
          <w:iCs w:val="0"/>
          <w:color w:val="auto"/>
        </w:rPr>
        <w:t xml:space="preserve"> </w:t>
      </w:r>
      <w:r>
        <w:rPr>
          <w:rFonts w:ascii="Arial" w:hAnsi="Arial" w:cs="Arial"/>
          <w:i w:val="0"/>
          <w:iCs w:val="0"/>
          <w:color w:val="auto"/>
        </w:rPr>
        <w:t xml:space="preserve">Schematic illustration of the formation of the </w:t>
      </w:r>
      <w:r w:rsidRPr="004038A9">
        <w:rPr>
          <w:rFonts w:ascii="Arial" w:hAnsi="Arial" w:cs="Arial"/>
          <w:i w:val="0"/>
          <w:iCs w:val="0"/>
          <w:color w:val="auto"/>
        </w:rPr>
        <w:t>2-cyano-2-propyl radical</w:t>
      </w:r>
      <w:r>
        <w:rPr>
          <w:rFonts w:ascii="Arial" w:hAnsi="Arial" w:cs="Arial"/>
          <w:i w:val="0"/>
          <w:iCs w:val="0"/>
          <w:color w:val="auto"/>
        </w:rPr>
        <w:t xml:space="preserve"> (CP</w:t>
      </w:r>
      <w:r w:rsidRPr="00A11AA1">
        <w:rPr>
          <w:rFonts w:ascii="Arial" w:hAnsi="Arial" w:cs="Arial"/>
          <w:color w:val="auto"/>
          <w:sz w:val="22"/>
          <w:szCs w:val="22"/>
          <w:vertAlign w:val="superscript"/>
        </w:rPr>
        <w:t>●</w:t>
      </w:r>
      <w:r>
        <w:rPr>
          <w:rFonts w:ascii="Arial" w:hAnsi="Arial" w:cs="Arial"/>
          <w:i w:val="0"/>
          <w:iCs w:val="0"/>
          <w:color w:val="auto"/>
        </w:rPr>
        <w:t>) and subsequent trapping by reaction with N-tert-butyl-</w:t>
      </w:r>
      <w:r w:rsidRPr="00820E69">
        <w:rPr>
          <w:rFonts w:ascii="Symbol" w:hAnsi="Symbol" w:cs="Arial"/>
          <w:i w:val="0"/>
          <w:iCs w:val="0"/>
          <w:color w:val="auto"/>
        </w:rPr>
        <w:t></w:t>
      </w:r>
      <w:r>
        <w:rPr>
          <w:rFonts w:ascii="Arial" w:hAnsi="Arial" w:cs="Arial"/>
          <w:i w:val="0"/>
          <w:iCs w:val="0"/>
          <w:color w:val="auto"/>
        </w:rPr>
        <w:t>-phenylnitrone (abbreviated to PBN) following thermal decomposition of AIBN. The spin trapping reaction generates a persistent aminoxyl radical adduct (labelled PBN</w:t>
      </w:r>
      <w:r w:rsidRPr="00A11AA1">
        <w:rPr>
          <w:rFonts w:ascii="Arial" w:hAnsi="Arial" w:cs="Arial"/>
          <w:color w:val="auto"/>
          <w:sz w:val="22"/>
          <w:szCs w:val="22"/>
          <w:vertAlign w:val="superscript"/>
        </w:rPr>
        <w:t>●</w:t>
      </w:r>
      <w:r>
        <w:rPr>
          <w:rFonts w:ascii="Arial" w:hAnsi="Arial" w:cs="Arial"/>
          <w:i w:val="0"/>
          <w:iCs w:val="0"/>
          <w:color w:val="auto"/>
        </w:rPr>
        <w:t>-CP) that can be detected by CW-EPR spectroscopy. The highlighted atoms in the PBN</w:t>
      </w:r>
      <w:r w:rsidRPr="00554C29">
        <w:rPr>
          <w:rFonts w:ascii="Arial" w:hAnsi="Arial" w:cs="Arial"/>
          <w:i w:val="0"/>
          <w:iCs w:val="0"/>
          <w:color w:val="auto"/>
          <w:sz w:val="22"/>
          <w:szCs w:val="22"/>
          <w:vertAlign w:val="superscript"/>
        </w:rPr>
        <w:t>●</w:t>
      </w:r>
      <w:r>
        <w:rPr>
          <w:rFonts w:ascii="Arial" w:hAnsi="Arial" w:cs="Arial"/>
          <w:i w:val="0"/>
          <w:iCs w:val="0"/>
          <w:color w:val="auto"/>
        </w:rPr>
        <w:t>-CP adduct relate to the spin active nuclei that the unpaired electron will couple to and hence observe in the CW-EPR spectrum.</w:t>
      </w:r>
    </w:p>
    <w:p w:rsidR="00D36343" w:rsidRDefault="00D36343"/>
    <w:p w:rsidR="00D36343" w:rsidRDefault="00D36343">
      <w:r>
        <w:rPr>
          <w:noProof/>
        </w:rPr>
        <w:drawing>
          <wp:inline distT="0" distB="0" distL="0" distR="0" wp14:anchorId="6CD46002" wp14:editId="2A74175A">
            <wp:extent cx="3727247" cy="1868844"/>
            <wp:effectExtent l="0" t="0" r="698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247" cy="186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343" w:rsidRDefault="00D36343"/>
    <w:p w:rsidR="00D36343" w:rsidRDefault="00D36343" w:rsidP="00D36343">
      <w:pPr>
        <w:pStyle w:val="Caption"/>
        <w:rPr>
          <w:rFonts w:ascii="Arial" w:hAnsi="Arial" w:cs="Arial"/>
          <w:i w:val="0"/>
          <w:iCs w:val="0"/>
          <w:color w:val="auto"/>
        </w:rPr>
      </w:pPr>
      <w:r w:rsidRPr="00222A35">
        <w:rPr>
          <w:rFonts w:ascii="Arial" w:hAnsi="Arial" w:cs="Arial"/>
          <w:i w:val="0"/>
          <w:iCs w:val="0"/>
          <w:color w:val="auto"/>
        </w:rPr>
        <w:t xml:space="preserve">Scheme </w:t>
      </w:r>
      <w:r w:rsidRPr="00222A35">
        <w:rPr>
          <w:rFonts w:ascii="Arial" w:hAnsi="Arial" w:cs="Arial"/>
          <w:i w:val="0"/>
          <w:iCs w:val="0"/>
          <w:color w:val="auto"/>
        </w:rPr>
        <w:fldChar w:fldCharType="begin"/>
      </w:r>
      <w:r w:rsidRPr="00222A35">
        <w:rPr>
          <w:rFonts w:ascii="Arial" w:hAnsi="Arial" w:cs="Arial"/>
          <w:i w:val="0"/>
          <w:iCs w:val="0"/>
          <w:color w:val="auto"/>
        </w:rPr>
        <w:instrText xml:space="preserve"> SEQ Scheme \* ARABIC </w:instrText>
      </w:r>
      <w:r w:rsidRPr="00222A35">
        <w:rPr>
          <w:rFonts w:ascii="Arial" w:hAnsi="Arial" w:cs="Arial"/>
          <w:i w:val="0"/>
          <w:iCs w:val="0"/>
          <w:color w:val="auto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</w:rPr>
        <w:t>2</w:t>
      </w:r>
      <w:r w:rsidRPr="00222A35">
        <w:rPr>
          <w:rFonts w:ascii="Arial" w:hAnsi="Arial" w:cs="Arial"/>
          <w:i w:val="0"/>
          <w:iCs w:val="0"/>
          <w:color w:val="auto"/>
        </w:rPr>
        <w:fldChar w:fldCharType="end"/>
      </w:r>
      <w:r>
        <w:rPr>
          <w:rFonts w:ascii="Arial" w:hAnsi="Arial" w:cs="Arial"/>
          <w:i w:val="0"/>
          <w:iCs w:val="0"/>
          <w:color w:val="auto"/>
        </w:rPr>
        <w:t>.</w:t>
      </w:r>
      <w:r w:rsidRPr="00222A35">
        <w:rPr>
          <w:rFonts w:ascii="Arial" w:hAnsi="Arial" w:cs="Arial"/>
          <w:i w:val="0"/>
          <w:iCs w:val="0"/>
          <w:color w:val="auto"/>
        </w:rPr>
        <w:t xml:space="preserve"> </w:t>
      </w:r>
      <w:r>
        <w:rPr>
          <w:rFonts w:ascii="Arial" w:hAnsi="Arial" w:cs="Arial"/>
          <w:i w:val="0"/>
          <w:iCs w:val="0"/>
          <w:color w:val="auto"/>
        </w:rPr>
        <w:t>Schematic illustration showing the f</w:t>
      </w:r>
      <w:r w:rsidRPr="00222A35">
        <w:rPr>
          <w:rFonts w:ascii="Arial" w:hAnsi="Arial" w:cs="Arial"/>
          <w:i w:val="0"/>
          <w:iCs w:val="0"/>
          <w:color w:val="auto"/>
        </w:rPr>
        <w:t xml:space="preserve">ormation of the 2-cyano-2-propoxyl </w:t>
      </w:r>
      <w:r>
        <w:rPr>
          <w:rFonts w:ascii="Arial" w:hAnsi="Arial" w:cs="Arial"/>
          <w:i w:val="0"/>
          <w:iCs w:val="0"/>
          <w:color w:val="auto"/>
        </w:rPr>
        <w:t>(CPO</w:t>
      </w:r>
      <w:r w:rsidRPr="006F7158">
        <w:rPr>
          <w:rFonts w:ascii="Arial" w:hAnsi="Arial" w:cs="Arial"/>
          <w:i w:val="0"/>
          <w:iCs w:val="0"/>
          <w:color w:val="auto"/>
          <w:sz w:val="22"/>
          <w:szCs w:val="22"/>
          <w:vertAlign w:val="superscript"/>
        </w:rPr>
        <w:t>●</w:t>
      </w:r>
      <w:r>
        <w:rPr>
          <w:rFonts w:ascii="Arial" w:hAnsi="Arial" w:cs="Arial"/>
          <w:i w:val="0"/>
          <w:iCs w:val="0"/>
          <w:color w:val="auto"/>
        </w:rPr>
        <w:t xml:space="preserve">) </w:t>
      </w:r>
      <w:r w:rsidRPr="00222A35">
        <w:rPr>
          <w:rFonts w:ascii="Arial" w:hAnsi="Arial" w:cs="Arial"/>
          <w:i w:val="0"/>
          <w:iCs w:val="0"/>
          <w:color w:val="auto"/>
        </w:rPr>
        <w:t>radical</w:t>
      </w:r>
      <w:r>
        <w:rPr>
          <w:rFonts w:ascii="Arial" w:hAnsi="Arial" w:cs="Arial"/>
          <w:i w:val="0"/>
          <w:iCs w:val="0"/>
          <w:color w:val="auto"/>
        </w:rPr>
        <w:t>.</w:t>
      </w:r>
    </w:p>
    <w:p w:rsidR="00D36343" w:rsidRDefault="00D36343"/>
    <w:p w:rsidR="00D36343" w:rsidRDefault="00D36343">
      <w:r>
        <w:rPr>
          <w:noProof/>
        </w:rPr>
        <w:lastRenderedPageBreak/>
        <w:drawing>
          <wp:inline distT="0" distB="0" distL="0" distR="0" wp14:anchorId="12A56474" wp14:editId="6E0B6CB0">
            <wp:extent cx="5731361" cy="3221354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361" cy="322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343" w:rsidRDefault="00D36343"/>
    <w:p w:rsidR="00D36343" w:rsidRDefault="00D36343" w:rsidP="00D36343">
      <w:pPr>
        <w:pStyle w:val="Caption"/>
        <w:jc w:val="both"/>
        <w:rPr>
          <w:rFonts w:ascii="Arial" w:hAnsi="Arial" w:cs="Arial"/>
          <w:i w:val="0"/>
          <w:iCs w:val="0"/>
          <w:color w:val="auto"/>
        </w:rPr>
      </w:pPr>
      <w:r w:rsidRPr="00377B6A">
        <w:rPr>
          <w:rFonts w:ascii="Arial" w:hAnsi="Arial" w:cs="Arial"/>
          <w:i w:val="0"/>
          <w:iCs w:val="0"/>
          <w:color w:val="auto"/>
        </w:rPr>
        <w:t xml:space="preserve">Scheme </w:t>
      </w:r>
      <w:r w:rsidRPr="00377B6A">
        <w:rPr>
          <w:rFonts w:ascii="Arial" w:hAnsi="Arial" w:cs="Arial"/>
          <w:i w:val="0"/>
          <w:iCs w:val="0"/>
          <w:color w:val="auto"/>
        </w:rPr>
        <w:fldChar w:fldCharType="begin"/>
      </w:r>
      <w:r w:rsidRPr="00377B6A">
        <w:rPr>
          <w:rFonts w:ascii="Arial" w:hAnsi="Arial" w:cs="Arial"/>
          <w:i w:val="0"/>
          <w:iCs w:val="0"/>
          <w:color w:val="auto"/>
        </w:rPr>
        <w:instrText xml:space="preserve"> SEQ Scheme \* ARABIC </w:instrText>
      </w:r>
      <w:r w:rsidRPr="00377B6A">
        <w:rPr>
          <w:rFonts w:ascii="Arial" w:hAnsi="Arial" w:cs="Arial"/>
          <w:i w:val="0"/>
          <w:iCs w:val="0"/>
          <w:color w:val="auto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</w:rPr>
        <w:t>3</w:t>
      </w:r>
      <w:r w:rsidRPr="00377B6A">
        <w:rPr>
          <w:rFonts w:ascii="Arial" w:hAnsi="Arial" w:cs="Arial"/>
          <w:i w:val="0"/>
          <w:iCs w:val="0"/>
          <w:color w:val="auto"/>
        </w:rPr>
        <w:fldChar w:fldCharType="end"/>
      </w:r>
      <w:r>
        <w:rPr>
          <w:rFonts w:ascii="Arial" w:hAnsi="Arial" w:cs="Arial"/>
          <w:i w:val="0"/>
          <w:iCs w:val="0"/>
          <w:color w:val="auto"/>
        </w:rPr>
        <w:t>.</w:t>
      </w:r>
      <w:r w:rsidRPr="00377B6A">
        <w:rPr>
          <w:rFonts w:ascii="Arial" w:hAnsi="Arial" w:cs="Arial"/>
          <w:i w:val="0"/>
          <w:iCs w:val="0"/>
          <w:color w:val="auto"/>
        </w:rPr>
        <w:t xml:space="preserve"> Formation of the diamagnetic mixed alkoxyamine.</w:t>
      </w:r>
    </w:p>
    <w:p w:rsidR="00D36343" w:rsidRDefault="00D36343"/>
    <w:p w:rsidR="00D36343" w:rsidRDefault="00D36343">
      <w:r>
        <w:rPr>
          <w:noProof/>
        </w:rPr>
        <w:drawing>
          <wp:inline distT="0" distB="0" distL="0" distR="0" wp14:anchorId="40E964B6" wp14:editId="54C97707">
            <wp:extent cx="5731306" cy="2306320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306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343" w:rsidRDefault="00D36343"/>
    <w:p w:rsidR="00D36343" w:rsidRDefault="00D36343" w:rsidP="00D36343">
      <w:pPr>
        <w:pStyle w:val="Caption"/>
        <w:jc w:val="both"/>
        <w:rPr>
          <w:rFonts w:ascii="Arial" w:hAnsi="Arial" w:cs="Arial"/>
          <w:i w:val="0"/>
          <w:iCs w:val="0"/>
          <w:color w:val="auto"/>
        </w:rPr>
      </w:pPr>
      <w:r w:rsidRPr="001E7975">
        <w:rPr>
          <w:rFonts w:ascii="Arial" w:hAnsi="Arial" w:cs="Arial"/>
          <w:i w:val="0"/>
          <w:iCs w:val="0"/>
          <w:color w:val="auto"/>
        </w:rPr>
        <w:t xml:space="preserve">Scheme </w:t>
      </w:r>
      <w:r w:rsidRPr="001E7975">
        <w:rPr>
          <w:rFonts w:ascii="Arial" w:hAnsi="Arial" w:cs="Arial"/>
          <w:i w:val="0"/>
          <w:iCs w:val="0"/>
          <w:color w:val="auto"/>
        </w:rPr>
        <w:fldChar w:fldCharType="begin"/>
      </w:r>
      <w:r w:rsidRPr="001E7975">
        <w:rPr>
          <w:rFonts w:ascii="Arial" w:hAnsi="Arial" w:cs="Arial"/>
          <w:i w:val="0"/>
          <w:iCs w:val="0"/>
          <w:color w:val="auto"/>
        </w:rPr>
        <w:instrText xml:space="preserve"> SEQ Scheme \* ARABIC </w:instrText>
      </w:r>
      <w:r w:rsidRPr="001E7975">
        <w:rPr>
          <w:rFonts w:ascii="Arial" w:hAnsi="Arial" w:cs="Arial"/>
          <w:i w:val="0"/>
          <w:iCs w:val="0"/>
          <w:color w:val="auto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</w:rPr>
        <w:t>4</w:t>
      </w:r>
      <w:r w:rsidRPr="001E7975">
        <w:rPr>
          <w:rFonts w:ascii="Arial" w:hAnsi="Arial" w:cs="Arial"/>
          <w:i w:val="0"/>
          <w:iCs w:val="0"/>
          <w:color w:val="auto"/>
        </w:rPr>
        <w:fldChar w:fldCharType="end"/>
      </w:r>
      <w:r>
        <w:rPr>
          <w:rFonts w:ascii="Arial" w:hAnsi="Arial" w:cs="Arial"/>
          <w:i w:val="0"/>
          <w:iCs w:val="0"/>
          <w:color w:val="auto"/>
        </w:rPr>
        <w:t>.</w:t>
      </w:r>
      <w:r w:rsidRPr="001E7975">
        <w:rPr>
          <w:rFonts w:ascii="Arial" w:hAnsi="Arial" w:cs="Arial"/>
          <w:i w:val="0"/>
          <w:iCs w:val="0"/>
          <w:color w:val="auto"/>
        </w:rPr>
        <w:t xml:space="preserve"> Decomposition of DMPO</w:t>
      </w:r>
      <w:r w:rsidRPr="001E7975">
        <w:rPr>
          <w:rFonts w:ascii="Arial" w:hAnsi="Arial" w:cs="Arial"/>
          <w:i w:val="0"/>
          <w:iCs w:val="0"/>
          <w:color w:val="auto"/>
          <w:vertAlign w:val="superscript"/>
        </w:rPr>
        <w:t>●</w:t>
      </w:r>
      <w:r w:rsidRPr="001E7975">
        <w:rPr>
          <w:rFonts w:ascii="Arial" w:hAnsi="Arial" w:cs="Arial"/>
          <w:i w:val="0"/>
          <w:iCs w:val="0"/>
          <w:color w:val="auto"/>
        </w:rPr>
        <w:t xml:space="preserve">-CPO into </w:t>
      </w:r>
      <w:r>
        <w:rPr>
          <w:rFonts w:ascii="Arial" w:hAnsi="Arial" w:cs="Arial"/>
          <w:i w:val="0"/>
          <w:iCs w:val="0"/>
          <w:color w:val="auto"/>
        </w:rPr>
        <w:t>MNPE</w:t>
      </w:r>
      <w:r w:rsidRPr="001E7975">
        <w:rPr>
          <w:rFonts w:ascii="Arial" w:hAnsi="Arial" w:cs="Arial"/>
          <w:i w:val="0"/>
          <w:iCs w:val="0"/>
          <w:color w:val="auto"/>
        </w:rPr>
        <w:t>. Adapted from Ref.</w:t>
      </w:r>
      <w:r>
        <w:rPr>
          <w:rFonts w:ascii="Arial" w:hAnsi="Arial" w:cs="Arial"/>
          <w:i w:val="0"/>
          <w:iCs w:val="0"/>
          <w:color w:val="auto"/>
        </w:rPr>
        <w:fldChar w:fldCharType="begin" w:fldLock="1"/>
      </w:r>
      <w:r>
        <w:rPr>
          <w:rFonts w:ascii="Arial" w:hAnsi="Arial" w:cs="Arial"/>
          <w:i w:val="0"/>
          <w:iCs w:val="0"/>
          <w:color w:val="auto"/>
        </w:rPr>
        <w:instrText>ADDIN CSL_CITATION {"citationItems":[{"id":"ITEM-1","itemData":{"author":[{"dropping-particle":"","family":"Finkelstein","given":"E","non-dropping-particle":"","parse-names":false,"suffix":""},{"dropping-particle":"","family":"Rosen","given":"G. M","non-dropping-particle":"","parse-names":false,"suffix":""},{"dropping-particle":"","family":"Rauckman","given":"E. J","non-dropping-particle":"","parse-names":false,"suffix":""}],"container-title":"Mol. Pharmacol.","id":"ITEM-1","issued":{"date-parts":[["1982"]]},"page":"262-265","title":"Production of Hydroxyl Radical by Decomposition of Superoxide Spin-Trapped Adducts","type":"article-journal","volume":"21"},"uris":["http://www.mendeley.com/documents/?uuid=0feda2ed-87fa-488d-bf85-0ca0059272df"]}],"mendeley":{"formattedCitation":"[30]","plainTextFormattedCitation":"[30]","previouslyFormattedCitation":"[29]"},"properties":{"noteIndex":0},"schema":"https://github.com/citation-style-language/schema/raw/master/csl-citation.json"}</w:instrText>
      </w:r>
      <w:r>
        <w:rPr>
          <w:rFonts w:ascii="Arial" w:hAnsi="Arial" w:cs="Arial"/>
          <w:i w:val="0"/>
          <w:iCs w:val="0"/>
          <w:color w:val="auto"/>
        </w:rPr>
        <w:fldChar w:fldCharType="separate"/>
      </w:r>
      <w:r w:rsidRPr="007C45E6">
        <w:rPr>
          <w:rFonts w:ascii="Arial" w:hAnsi="Arial" w:cs="Arial"/>
          <w:i w:val="0"/>
          <w:iCs w:val="0"/>
          <w:noProof/>
          <w:color w:val="auto"/>
        </w:rPr>
        <w:t>[30]</w:t>
      </w:r>
      <w:r>
        <w:rPr>
          <w:rFonts w:ascii="Arial" w:hAnsi="Arial" w:cs="Arial"/>
          <w:i w:val="0"/>
          <w:iCs w:val="0"/>
          <w:color w:val="auto"/>
        </w:rPr>
        <w:fldChar w:fldCharType="end"/>
      </w:r>
      <w:r>
        <w:rPr>
          <w:rFonts w:ascii="Arial" w:hAnsi="Arial" w:cs="Arial"/>
          <w:i w:val="0"/>
          <w:iCs w:val="0"/>
          <w:color w:val="auto"/>
        </w:rPr>
        <w:t xml:space="preserve"> </w:t>
      </w:r>
      <w:r w:rsidRPr="007B0679">
        <w:rPr>
          <w:rFonts w:ascii="Arial" w:hAnsi="Arial" w:cs="Arial"/>
          <w:i w:val="0"/>
          <w:iCs w:val="0"/>
          <w:color w:val="auto"/>
        </w:rPr>
        <w:t>MNPE represents the secondary indirect ST formed in the degradation of DMPO</w:t>
      </w:r>
      <w:r w:rsidRPr="007B0679">
        <w:rPr>
          <w:rFonts w:ascii="Arial" w:hAnsi="Arial" w:cs="Arial"/>
          <w:color w:val="auto"/>
          <w:sz w:val="22"/>
          <w:szCs w:val="22"/>
          <w:vertAlign w:val="superscript"/>
        </w:rPr>
        <w:t>●</w:t>
      </w:r>
      <w:r w:rsidRPr="007B0679">
        <w:rPr>
          <w:rFonts w:ascii="Arial" w:hAnsi="Arial" w:cs="Arial"/>
          <w:i w:val="0"/>
          <w:iCs w:val="0"/>
          <w:color w:val="auto"/>
        </w:rPr>
        <w:t>-CPO.</w:t>
      </w:r>
    </w:p>
    <w:p w:rsidR="00D36343" w:rsidRDefault="00D36343">
      <w:bookmarkStart w:id="1" w:name="_GoBack"/>
      <w:bookmarkEnd w:id="1"/>
    </w:p>
    <w:sectPr w:rsidR="00D36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343"/>
    <w:rsid w:val="008A3324"/>
    <w:rsid w:val="00996CDB"/>
    <w:rsid w:val="00BA546E"/>
    <w:rsid w:val="00D3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7D425"/>
  <w15:chartTrackingRefBased/>
  <w15:docId w15:val="{657912B7-F693-4142-BBFD-932842DD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36343"/>
    <w:pPr>
      <w:spacing w:after="200" w:line="240" w:lineRule="auto"/>
    </w:pPr>
    <w:rPr>
      <w:rFonts w:ascii="Calibri" w:hAnsi="Calibri" w:cs="Times New Roman"/>
      <w:i/>
      <w:iCs/>
      <w:color w:val="44546A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2022-09-28T09:00:00Z</dcterms:created>
  <dcterms:modified xsi:type="dcterms:W3CDTF">2022-09-28T09:02:00Z</dcterms:modified>
</cp:coreProperties>
</file>