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7357AA" w14:textId="02A3E054" w:rsidR="00A11298" w:rsidRPr="003112C8" w:rsidRDefault="00A11298" w:rsidP="00A11298">
      <w:pPr>
        <w:jc w:val="center"/>
        <w:rPr>
          <w:rFonts w:ascii="Arial" w:hAnsi="Arial" w:cs="Arial"/>
          <w:b/>
          <w:bCs/>
          <w:sz w:val="22"/>
          <w:szCs w:val="22"/>
          <w:lang w:val="en-US"/>
        </w:rPr>
      </w:pPr>
      <w:bookmarkStart w:id="0" w:name="_Hlk109140936"/>
      <w:bookmarkEnd w:id="0"/>
      <w:r w:rsidRPr="003112C8">
        <w:rPr>
          <w:rFonts w:ascii="Arial" w:hAnsi="Arial" w:cs="Arial"/>
          <w:b/>
          <w:bCs/>
          <w:sz w:val="22"/>
          <w:szCs w:val="22"/>
          <w:lang w:val="en-US"/>
        </w:rPr>
        <w:t xml:space="preserve">An in-situ study of the thermal decomposition of AIBN </w:t>
      </w:r>
      <w:r>
        <w:rPr>
          <w:rFonts w:ascii="Arial" w:hAnsi="Arial" w:cs="Arial"/>
          <w:b/>
          <w:bCs/>
          <w:sz w:val="22"/>
          <w:szCs w:val="22"/>
          <w:lang w:val="en-US"/>
        </w:rPr>
        <w:t xml:space="preserve">radical chemistry </w:t>
      </w:r>
      <w:r w:rsidRPr="003112C8">
        <w:rPr>
          <w:rFonts w:ascii="Arial" w:hAnsi="Arial" w:cs="Arial"/>
          <w:b/>
          <w:bCs/>
          <w:sz w:val="22"/>
          <w:szCs w:val="22"/>
          <w:lang w:val="en-US"/>
        </w:rPr>
        <w:t>using a dual mode EPR resonator</w:t>
      </w:r>
      <w:r>
        <w:rPr>
          <w:rFonts w:ascii="Arial" w:hAnsi="Arial" w:cs="Arial"/>
          <w:b/>
          <w:bCs/>
          <w:sz w:val="22"/>
          <w:szCs w:val="22"/>
          <w:lang w:val="en-US"/>
        </w:rPr>
        <w:t>.</w:t>
      </w:r>
    </w:p>
    <w:p w14:paraId="619F99D4" w14:textId="77777777" w:rsidR="00A11298" w:rsidRDefault="00A11298" w:rsidP="00A11298">
      <w:pPr>
        <w:jc w:val="center"/>
        <w:rPr>
          <w:rFonts w:ascii="Arial" w:hAnsi="Arial" w:cs="Arial"/>
          <w:sz w:val="22"/>
          <w:szCs w:val="22"/>
          <w:lang w:val="en-US"/>
        </w:rPr>
      </w:pPr>
    </w:p>
    <w:p w14:paraId="1DF6D20D" w14:textId="63E19F0D" w:rsidR="00A11298" w:rsidRPr="00AA224A" w:rsidRDefault="00A11298" w:rsidP="00A11298">
      <w:pPr>
        <w:jc w:val="center"/>
        <w:rPr>
          <w:rFonts w:ascii="Arial" w:hAnsi="Arial" w:cs="Arial"/>
          <w:b/>
          <w:bCs/>
          <w:sz w:val="22"/>
          <w:szCs w:val="22"/>
          <w:u w:val="single"/>
          <w:lang w:val="en-US"/>
        </w:rPr>
      </w:pPr>
      <w:r>
        <w:rPr>
          <w:rFonts w:ascii="Arial" w:hAnsi="Arial" w:cs="Arial"/>
          <w:sz w:val="22"/>
          <w:szCs w:val="22"/>
          <w:lang w:val="en-US"/>
        </w:rPr>
        <w:t>G</w:t>
      </w:r>
      <w:r w:rsidRPr="007A14E4">
        <w:rPr>
          <w:rFonts w:ascii="Arial" w:hAnsi="Arial" w:cs="Arial"/>
          <w:sz w:val="22"/>
          <w:szCs w:val="22"/>
          <w:lang w:val="en-US"/>
        </w:rPr>
        <w:t>iuseppina Magri</w:t>
      </w:r>
      <w:r>
        <w:rPr>
          <w:rFonts w:ascii="Arial" w:hAnsi="Arial" w:cs="Arial"/>
          <w:sz w:val="22"/>
          <w:szCs w:val="22"/>
          <w:lang w:val="en-US"/>
        </w:rPr>
        <w:t>*</w:t>
      </w:r>
      <w:r w:rsidRPr="007A14E4">
        <w:rPr>
          <w:rFonts w:ascii="Arial" w:hAnsi="Arial" w:cs="Arial"/>
          <w:sz w:val="22"/>
          <w:szCs w:val="22"/>
          <w:lang w:val="en-US"/>
        </w:rPr>
        <w:t xml:space="preserve">, Michael Barter, </w:t>
      </w:r>
      <w:r>
        <w:rPr>
          <w:rFonts w:ascii="Arial" w:hAnsi="Arial" w:cs="Arial"/>
          <w:sz w:val="22"/>
          <w:szCs w:val="22"/>
          <w:lang w:val="en-US"/>
        </w:rPr>
        <w:t xml:space="preserve">Jack Fletcher-Charles, </w:t>
      </w:r>
      <w:r w:rsidRPr="007A14E4">
        <w:rPr>
          <w:rFonts w:ascii="Arial" w:hAnsi="Arial" w:cs="Arial"/>
          <w:sz w:val="22"/>
          <w:szCs w:val="22"/>
          <w:lang w:val="en-US"/>
        </w:rPr>
        <w:t xml:space="preserve">Heungjae Choi, Daniel </w:t>
      </w:r>
      <w:proofErr w:type="spellStart"/>
      <w:r w:rsidRPr="007A14E4">
        <w:rPr>
          <w:rFonts w:ascii="Arial" w:hAnsi="Arial" w:cs="Arial"/>
          <w:sz w:val="22"/>
          <w:szCs w:val="22"/>
          <w:lang w:val="en-US"/>
        </w:rPr>
        <w:t>Slocombe</w:t>
      </w:r>
      <w:proofErr w:type="spellEnd"/>
      <w:r w:rsidRPr="007A14E4">
        <w:rPr>
          <w:rFonts w:ascii="Arial" w:hAnsi="Arial" w:cs="Arial"/>
          <w:sz w:val="22"/>
          <w:szCs w:val="22"/>
          <w:lang w:val="en-US"/>
        </w:rPr>
        <w:t xml:space="preserve">, </w:t>
      </w:r>
      <w:r>
        <w:rPr>
          <w:rFonts w:ascii="Arial" w:hAnsi="Arial" w:cs="Arial"/>
          <w:sz w:val="22"/>
          <w:szCs w:val="22"/>
          <w:lang w:val="en-US"/>
        </w:rPr>
        <w:t xml:space="preserve">Emma Richards, Andrea </w:t>
      </w:r>
      <w:proofErr w:type="spellStart"/>
      <w:r>
        <w:rPr>
          <w:rFonts w:ascii="Arial" w:hAnsi="Arial" w:cs="Arial"/>
          <w:sz w:val="22"/>
          <w:szCs w:val="22"/>
          <w:lang w:val="en-US"/>
        </w:rPr>
        <w:t>Folli</w:t>
      </w:r>
      <w:proofErr w:type="spellEnd"/>
      <w:r>
        <w:rPr>
          <w:rFonts w:ascii="Arial" w:hAnsi="Arial" w:cs="Arial"/>
          <w:sz w:val="22"/>
          <w:szCs w:val="22"/>
          <w:lang w:val="en-US"/>
        </w:rPr>
        <w:t xml:space="preserve">*, </w:t>
      </w:r>
      <w:r w:rsidRPr="007A14E4">
        <w:rPr>
          <w:rFonts w:ascii="Arial" w:hAnsi="Arial" w:cs="Arial"/>
          <w:sz w:val="22"/>
          <w:szCs w:val="22"/>
          <w:lang w:val="en-US"/>
        </w:rPr>
        <w:t>Adrian Porch, Damien M. Murphy</w:t>
      </w:r>
      <w:r>
        <w:rPr>
          <w:rFonts w:ascii="Arial" w:hAnsi="Arial" w:cs="Arial"/>
          <w:sz w:val="22"/>
          <w:szCs w:val="22"/>
          <w:lang w:val="en-US"/>
        </w:rPr>
        <w:t>*</w:t>
      </w:r>
    </w:p>
    <w:p w14:paraId="560E6E22" w14:textId="77777777" w:rsidR="00A11298" w:rsidRDefault="00A11298" w:rsidP="00215C64">
      <w:pPr>
        <w:pStyle w:val="Caption"/>
        <w:keepNext/>
        <w:jc w:val="center"/>
        <w:rPr>
          <w:rFonts w:ascii="Arial" w:hAnsi="Arial" w:cs="Arial"/>
          <w:b/>
          <w:bCs/>
          <w:i w:val="0"/>
          <w:iCs w:val="0"/>
          <w:color w:val="auto"/>
          <w:sz w:val="28"/>
          <w:szCs w:val="28"/>
        </w:rPr>
      </w:pPr>
    </w:p>
    <w:p w14:paraId="38116AA0" w14:textId="6D17A055" w:rsidR="00A11298" w:rsidRDefault="00A11298" w:rsidP="00215C64">
      <w:pPr>
        <w:pStyle w:val="Caption"/>
        <w:keepNext/>
        <w:jc w:val="center"/>
        <w:rPr>
          <w:rFonts w:ascii="Arial" w:hAnsi="Arial" w:cs="Arial"/>
          <w:b/>
          <w:bCs/>
          <w:i w:val="0"/>
          <w:iCs w:val="0"/>
          <w:color w:val="auto"/>
          <w:sz w:val="28"/>
          <w:szCs w:val="28"/>
        </w:rPr>
      </w:pPr>
      <w:r>
        <w:rPr>
          <w:rFonts w:ascii="Arial" w:hAnsi="Arial" w:cs="Arial"/>
          <w:b/>
          <w:bCs/>
          <w:i w:val="0"/>
          <w:iCs w:val="0"/>
          <w:color w:val="auto"/>
          <w:sz w:val="28"/>
          <w:szCs w:val="28"/>
        </w:rPr>
        <w:t>Supporting Information</w:t>
      </w:r>
    </w:p>
    <w:p w14:paraId="5E217ABB" w14:textId="77777777" w:rsidR="00E831DB" w:rsidRPr="00E831DB" w:rsidRDefault="00E831DB" w:rsidP="00E831DB"/>
    <w:p w14:paraId="55D7EC87" w14:textId="5412B988" w:rsidR="00E831DB" w:rsidRPr="00A11298" w:rsidRDefault="00A11298" w:rsidP="00E831DB">
      <w:pPr>
        <w:rPr>
          <w:rFonts w:ascii="Arial" w:hAnsi="Arial" w:cs="Arial"/>
          <w:sz w:val="22"/>
          <w:szCs w:val="22"/>
        </w:rPr>
      </w:pPr>
      <w:r w:rsidRPr="00A11298">
        <w:rPr>
          <w:rFonts w:ascii="Arial" w:hAnsi="Arial" w:cs="Arial"/>
          <w:sz w:val="22"/>
          <w:szCs w:val="22"/>
        </w:rPr>
        <w:t>S</w:t>
      </w:r>
      <w:r w:rsidR="00E831DB" w:rsidRPr="00A11298">
        <w:rPr>
          <w:rFonts w:ascii="Arial" w:hAnsi="Arial" w:cs="Arial"/>
          <w:sz w:val="22"/>
          <w:szCs w:val="22"/>
        </w:rPr>
        <w:t>ignal evolution of DMPO</w:t>
      </w:r>
      <w:r w:rsidR="00E831DB" w:rsidRPr="00A11298">
        <w:rPr>
          <w:rFonts w:ascii="Arial" w:hAnsi="Arial" w:cs="Arial"/>
          <w:sz w:val="22"/>
          <w:szCs w:val="22"/>
          <w:vertAlign w:val="superscript"/>
          <w:lang w:val="en-US"/>
        </w:rPr>
        <w:sym w:font="Symbol" w:char="F0B7"/>
      </w:r>
      <w:r w:rsidR="00E831DB" w:rsidRPr="00A11298">
        <w:rPr>
          <w:rFonts w:ascii="Arial" w:hAnsi="Arial" w:cs="Arial"/>
          <w:sz w:val="22"/>
          <w:szCs w:val="22"/>
        </w:rPr>
        <w:t>-CPO over time</w:t>
      </w:r>
      <w:r w:rsidR="00E831DB" w:rsidRPr="00A11298">
        <w:rPr>
          <w:rFonts w:ascii="Arial" w:hAnsi="Arial" w:cs="Arial"/>
          <w:sz w:val="22"/>
          <w:szCs w:val="22"/>
        </w:rPr>
        <w:tab/>
      </w:r>
      <w:r w:rsidR="00E831DB" w:rsidRPr="00A11298">
        <w:rPr>
          <w:rFonts w:ascii="Arial" w:hAnsi="Arial" w:cs="Arial"/>
          <w:sz w:val="22"/>
          <w:szCs w:val="22"/>
        </w:rPr>
        <w:tab/>
      </w:r>
      <w:r w:rsidR="00E831DB" w:rsidRPr="00A11298">
        <w:rPr>
          <w:rFonts w:ascii="Arial" w:hAnsi="Arial" w:cs="Arial"/>
          <w:sz w:val="22"/>
          <w:szCs w:val="22"/>
        </w:rPr>
        <w:tab/>
      </w:r>
      <w:r w:rsidR="00E831DB" w:rsidRPr="00A11298">
        <w:rPr>
          <w:rFonts w:ascii="Arial" w:hAnsi="Arial" w:cs="Arial"/>
          <w:sz w:val="22"/>
          <w:szCs w:val="22"/>
        </w:rPr>
        <w:tab/>
      </w:r>
      <w:r w:rsidR="00E831DB" w:rsidRPr="00A11298">
        <w:rPr>
          <w:rFonts w:ascii="Arial" w:hAnsi="Arial" w:cs="Arial"/>
          <w:sz w:val="22"/>
          <w:szCs w:val="22"/>
        </w:rPr>
        <w:tab/>
        <w:t xml:space="preserve">Page </w:t>
      </w:r>
      <w:r w:rsidR="00D05598" w:rsidRPr="00A11298">
        <w:rPr>
          <w:rFonts w:ascii="Arial" w:hAnsi="Arial" w:cs="Arial"/>
          <w:sz w:val="22"/>
          <w:szCs w:val="22"/>
        </w:rPr>
        <w:t>1</w:t>
      </w:r>
    </w:p>
    <w:p w14:paraId="2184CF25" w14:textId="696F281A" w:rsidR="00E831DB" w:rsidRPr="00A11298" w:rsidRDefault="00A11298" w:rsidP="00E831DB">
      <w:pPr>
        <w:rPr>
          <w:rFonts w:ascii="Arial" w:hAnsi="Arial" w:cs="Arial"/>
          <w:sz w:val="22"/>
          <w:szCs w:val="22"/>
          <w:lang w:val="en-US"/>
        </w:rPr>
      </w:pPr>
      <w:r>
        <w:rPr>
          <w:rFonts w:ascii="Arial" w:hAnsi="Arial" w:cs="Arial"/>
          <w:sz w:val="22"/>
          <w:szCs w:val="22"/>
          <w:lang w:val="en-US"/>
        </w:rPr>
        <w:t>Gas</w:t>
      </w:r>
      <w:r w:rsidR="00E831DB" w:rsidRPr="00A11298">
        <w:rPr>
          <w:rFonts w:ascii="Arial" w:hAnsi="Arial" w:cs="Arial"/>
          <w:sz w:val="22"/>
          <w:szCs w:val="22"/>
          <w:lang w:val="en-US"/>
        </w:rPr>
        <w:t xml:space="preserve"> flow </w:t>
      </w:r>
      <w:r>
        <w:rPr>
          <w:rFonts w:ascii="Arial" w:hAnsi="Arial" w:cs="Arial"/>
          <w:sz w:val="22"/>
          <w:szCs w:val="22"/>
          <w:lang w:val="en-US"/>
        </w:rPr>
        <w:t xml:space="preserve">under </w:t>
      </w:r>
      <w:r w:rsidR="00E831DB" w:rsidRPr="00A11298">
        <w:rPr>
          <w:rFonts w:ascii="Arial" w:hAnsi="Arial" w:cs="Arial"/>
          <w:sz w:val="22"/>
          <w:szCs w:val="22"/>
          <w:lang w:val="en-US"/>
        </w:rPr>
        <w:t>conventional</w:t>
      </w:r>
      <w:r>
        <w:rPr>
          <w:rFonts w:ascii="Arial" w:hAnsi="Arial" w:cs="Arial"/>
          <w:sz w:val="22"/>
          <w:szCs w:val="22"/>
          <w:lang w:val="en-US"/>
        </w:rPr>
        <w:t xml:space="preserve"> </w:t>
      </w:r>
      <w:r w:rsidR="00E831DB" w:rsidRPr="00A11298">
        <w:rPr>
          <w:rFonts w:ascii="Arial" w:hAnsi="Arial" w:cs="Arial"/>
          <w:sz w:val="22"/>
          <w:szCs w:val="22"/>
          <w:lang w:val="en-US"/>
        </w:rPr>
        <w:t>heating</w:t>
      </w:r>
      <w:r>
        <w:rPr>
          <w:rFonts w:ascii="Arial" w:hAnsi="Arial" w:cs="Arial"/>
          <w:sz w:val="22"/>
          <w:szCs w:val="22"/>
          <w:lang w:val="en-US"/>
        </w:rPr>
        <w:t xml:space="preserve"> conditions</w:t>
      </w:r>
      <w:r>
        <w:rPr>
          <w:rFonts w:ascii="Arial" w:hAnsi="Arial" w:cs="Arial"/>
          <w:sz w:val="22"/>
          <w:szCs w:val="22"/>
          <w:lang w:val="en-US"/>
        </w:rPr>
        <w:tab/>
      </w:r>
      <w:r w:rsidR="00E831DB" w:rsidRPr="00A11298">
        <w:rPr>
          <w:rFonts w:ascii="Arial" w:hAnsi="Arial" w:cs="Arial"/>
          <w:sz w:val="22"/>
          <w:szCs w:val="22"/>
          <w:lang w:val="en-US"/>
        </w:rPr>
        <w:tab/>
      </w:r>
      <w:r w:rsidR="00E831DB" w:rsidRPr="00A11298">
        <w:rPr>
          <w:rFonts w:ascii="Arial" w:hAnsi="Arial" w:cs="Arial"/>
          <w:sz w:val="22"/>
          <w:szCs w:val="22"/>
          <w:lang w:val="en-US"/>
        </w:rPr>
        <w:tab/>
      </w:r>
      <w:r w:rsidR="00E831DB" w:rsidRPr="00A11298">
        <w:rPr>
          <w:rFonts w:ascii="Arial" w:hAnsi="Arial" w:cs="Arial"/>
          <w:sz w:val="22"/>
          <w:szCs w:val="22"/>
          <w:lang w:val="en-US"/>
        </w:rPr>
        <w:tab/>
        <w:t xml:space="preserve">Page </w:t>
      </w:r>
      <w:r w:rsidR="00D05598" w:rsidRPr="00A11298">
        <w:rPr>
          <w:rFonts w:ascii="Arial" w:hAnsi="Arial" w:cs="Arial"/>
          <w:sz w:val="22"/>
          <w:szCs w:val="22"/>
          <w:lang w:val="en-US"/>
        </w:rPr>
        <w:t>2</w:t>
      </w:r>
    </w:p>
    <w:p w14:paraId="6097332B" w14:textId="1A36F6C0" w:rsidR="00A41F91" w:rsidRPr="00A11298" w:rsidRDefault="00E831DB">
      <w:pPr>
        <w:rPr>
          <w:rFonts w:ascii="Arial" w:hAnsi="Arial" w:cs="Arial"/>
          <w:sz w:val="22"/>
          <w:szCs w:val="22"/>
        </w:rPr>
      </w:pPr>
      <w:r w:rsidRPr="00A11298">
        <w:rPr>
          <w:rFonts w:ascii="Arial" w:hAnsi="Arial" w:cs="Arial"/>
          <w:sz w:val="22"/>
          <w:szCs w:val="22"/>
        </w:rPr>
        <w:t>Multifrequency dielectric measurements</w:t>
      </w:r>
      <w:r w:rsidRPr="00A11298">
        <w:rPr>
          <w:rFonts w:ascii="Arial" w:hAnsi="Arial" w:cs="Arial"/>
          <w:sz w:val="22"/>
          <w:szCs w:val="22"/>
        </w:rPr>
        <w:tab/>
      </w:r>
      <w:r w:rsidRPr="00A11298">
        <w:rPr>
          <w:rFonts w:ascii="Arial" w:hAnsi="Arial" w:cs="Arial"/>
          <w:sz w:val="22"/>
          <w:szCs w:val="22"/>
        </w:rPr>
        <w:tab/>
      </w:r>
      <w:r w:rsidRPr="00A11298">
        <w:rPr>
          <w:rFonts w:ascii="Arial" w:hAnsi="Arial" w:cs="Arial"/>
          <w:sz w:val="22"/>
          <w:szCs w:val="22"/>
        </w:rPr>
        <w:tab/>
      </w:r>
      <w:r w:rsidRPr="00A11298">
        <w:rPr>
          <w:rFonts w:ascii="Arial" w:hAnsi="Arial" w:cs="Arial"/>
          <w:sz w:val="22"/>
          <w:szCs w:val="22"/>
        </w:rPr>
        <w:tab/>
      </w:r>
      <w:r w:rsidRPr="00A11298">
        <w:rPr>
          <w:rFonts w:ascii="Arial" w:hAnsi="Arial" w:cs="Arial"/>
          <w:sz w:val="22"/>
          <w:szCs w:val="22"/>
        </w:rPr>
        <w:tab/>
        <w:t xml:space="preserve">Page </w:t>
      </w:r>
      <w:r w:rsidR="00D05598" w:rsidRPr="00A11298">
        <w:rPr>
          <w:rFonts w:ascii="Arial" w:hAnsi="Arial" w:cs="Arial"/>
          <w:sz w:val="22"/>
          <w:szCs w:val="22"/>
        </w:rPr>
        <w:t>3</w:t>
      </w:r>
    </w:p>
    <w:p w14:paraId="78AD8DAE" w14:textId="352138DC" w:rsidR="00215C64" w:rsidRPr="00A11298" w:rsidRDefault="00215C64">
      <w:pPr>
        <w:rPr>
          <w:sz w:val="22"/>
          <w:szCs w:val="22"/>
          <w:lang w:val="en-US"/>
        </w:rPr>
      </w:pPr>
    </w:p>
    <w:p w14:paraId="568F1215" w14:textId="49B59861" w:rsidR="00215C64" w:rsidRDefault="00215C64">
      <w:pPr>
        <w:rPr>
          <w:lang w:val="en-US"/>
        </w:rPr>
      </w:pPr>
    </w:p>
    <w:p w14:paraId="56A39887" w14:textId="5D1F6455" w:rsidR="00215C64" w:rsidRDefault="00215C64">
      <w:pPr>
        <w:rPr>
          <w:lang w:val="en-US"/>
        </w:rPr>
      </w:pPr>
    </w:p>
    <w:p w14:paraId="1859034C" w14:textId="29E03C19" w:rsidR="00215C64" w:rsidRDefault="00215C64">
      <w:pPr>
        <w:rPr>
          <w:lang w:val="en-US"/>
        </w:rPr>
      </w:pPr>
    </w:p>
    <w:p w14:paraId="1A6E5B7C" w14:textId="16B853B4" w:rsidR="00215C64" w:rsidRDefault="00215C64">
      <w:pPr>
        <w:rPr>
          <w:lang w:val="en-US"/>
        </w:rPr>
      </w:pPr>
    </w:p>
    <w:p w14:paraId="386FE7F3" w14:textId="38221AA9" w:rsidR="00215C64" w:rsidRDefault="00215C64">
      <w:pPr>
        <w:rPr>
          <w:lang w:val="en-US"/>
        </w:rPr>
      </w:pPr>
    </w:p>
    <w:p w14:paraId="0F65A6E1" w14:textId="49BFC547" w:rsidR="00215C64" w:rsidRDefault="00215C64">
      <w:pPr>
        <w:rPr>
          <w:lang w:val="en-US"/>
        </w:rPr>
      </w:pPr>
    </w:p>
    <w:p w14:paraId="5D000FD4" w14:textId="77777777" w:rsidR="00215C64" w:rsidRDefault="00215C64">
      <w:pPr>
        <w:rPr>
          <w:lang w:val="en-US"/>
        </w:rPr>
      </w:pPr>
    </w:p>
    <w:p w14:paraId="354F1803" w14:textId="3658F652" w:rsidR="00215C64" w:rsidRDefault="00215C64">
      <w:pPr>
        <w:rPr>
          <w:lang w:val="en-US"/>
        </w:rPr>
      </w:pPr>
    </w:p>
    <w:p w14:paraId="0DEE695B" w14:textId="0E4C7911" w:rsidR="00215C64" w:rsidRDefault="00215C64">
      <w:pPr>
        <w:rPr>
          <w:lang w:val="en-US"/>
        </w:rPr>
      </w:pPr>
    </w:p>
    <w:p w14:paraId="26CD2CB6" w14:textId="2A792636" w:rsidR="00215C64" w:rsidRDefault="00215C64">
      <w:pPr>
        <w:rPr>
          <w:lang w:val="en-US"/>
        </w:rPr>
      </w:pPr>
    </w:p>
    <w:p w14:paraId="04BBA024" w14:textId="2CFB333C" w:rsidR="00141D9D" w:rsidRDefault="00141D9D">
      <w:pPr>
        <w:rPr>
          <w:lang w:val="en-US"/>
        </w:rPr>
      </w:pPr>
    </w:p>
    <w:p w14:paraId="3BE95A71" w14:textId="023F6C22" w:rsidR="00141D9D" w:rsidRDefault="00141D9D">
      <w:pPr>
        <w:rPr>
          <w:lang w:val="en-US"/>
        </w:rPr>
      </w:pPr>
    </w:p>
    <w:p w14:paraId="562407FA" w14:textId="3F52E16E" w:rsidR="00141D9D" w:rsidRDefault="00141D9D">
      <w:pPr>
        <w:rPr>
          <w:lang w:val="en-US"/>
        </w:rPr>
      </w:pPr>
    </w:p>
    <w:p w14:paraId="699F211C" w14:textId="18C61B72" w:rsidR="00141D9D" w:rsidRDefault="00141D9D">
      <w:pPr>
        <w:rPr>
          <w:lang w:val="en-US"/>
        </w:rPr>
      </w:pPr>
    </w:p>
    <w:p w14:paraId="0317A9F4" w14:textId="3DDF9855" w:rsidR="00141D9D" w:rsidRDefault="00141D9D">
      <w:pPr>
        <w:rPr>
          <w:lang w:val="en-US"/>
        </w:rPr>
      </w:pPr>
    </w:p>
    <w:p w14:paraId="45E3D28B" w14:textId="5010EAEC" w:rsidR="00141D9D" w:rsidRDefault="00141D9D">
      <w:pPr>
        <w:rPr>
          <w:lang w:val="en-US"/>
        </w:rPr>
      </w:pPr>
    </w:p>
    <w:p w14:paraId="34114410" w14:textId="156CFBF9" w:rsidR="00141D9D" w:rsidRDefault="00141D9D">
      <w:pPr>
        <w:rPr>
          <w:lang w:val="en-US"/>
        </w:rPr>
      </w:pPr>
    </w:p>
    <w:p w14:paraId="110B30FD" w14:textId="75630FDB" w:rsidR="00141D9D" w:rsidRDefault="00141D9D">
      <w:pPr>
        <w:rPr>
          <w:lang w:val="en-US"/>
        </w:rPr>
      </w:pPr>
    </w:p>
    <w:p w14:paraId="1D8F8E69" w14:textId="73791E52" w:rsidR="00141D9D" w:rsidRPr="002D3096" w:rsidRDefault="002D3096" w:rsidP="00141D9D">
      <w:pPr>
        <w:rPr>
          <w:rFonts w:ascii="Arial" w:hAnsi="Arial" w:cs="Arial"/>
          <w:b/>
          <w:bCs/>
          <w:sz w:val="22"/>
          <w:szCs w:val="22"/>
        </w:rPr>
      </w:pPr>
      <w:r>
        <w:rPr>
          <w:rFonts w:ascii="Arial" w:hAnsi="Arial" w:cs="Arial"/>
          <w:b/>
          <w:bCs/>
          <w:sz w:val="22"/>
          <w:szCs w:val="22"/>
        </w:rPr>
        <w:lastRenderedPageBreak/>
        <w:t>S</w:t>
      </w:r>
      <w:r w:rsidR="00141D9D" w:rsidRPr="002D3096">
        <w:rPr>
          <w:rFonts w:ascii="Arial" w:hAnsi="Arial" w:cs="Arial"/>
          <w:b/>
          <w:bCs/>
          <w:sz w:val="22"/>
          <w:szCs w:val="22"/>
        </w:rPr>
        <w:t xml:space="preserve">ignal evolution of </w:t>
      </w:r>
      <w:r w:rsidR="00E831DB" w:rsidRPr="002D3096">
        <w:rPr>
          <w:rFonts w:ascii="Arial" w:hAnsi="Arial" w:cs="Arial"/>
          <w:b/>
          <w:bCs/>
          <w:sz w:val="22"/>
          <w:szCs w:val="22"/>
        </w:rPr>
        <w:t>DMPO</w:t>
      </w:r>
      <w:r w:rsidR="00E831DB" w:rsidRPr="002D3096">
        <w:rPr>
          <w:rFonts w:ascii="Arial" w:hAnsi="Arial" w:cs="Arial"/>
          <w:b/>
          <w:bCs/>
          <w:sz w:val="22"/>
          <w:szCs w:val="22"/>
          <w:vertAlign w:val="superscript"/>
          <w:lang w:val="en-US"/>
        </w:rPr>
        <w:sym w:font="Symbol" w:char="F0B7"/>
      </w:r>
      <w:r w:rsidR="00E831DB" w:rsidRPr="002D3096">
        <w:rPr>
          <w:rFonts w:ascii="Arial" w:hAnsi="Arial" w:cs="Arial"/>
          <w:b/>
          <w:bCs/>
          <w:sz w:val="22"/>
          <w:szCs w:val="22"/>
        </w:rPr>
        <w:t>-CPO over time at a constant temperature</w:t>
      </w:r>
    </w:p>
    <w:p w14:paraId="327F9280" w14:textId="0BE03801" w:rsidR="00A05E7E" w:rsidRPr="002D3096" w:rsidRDefault="00B36CC8" w:rsidP="00B36CC8">
      <w:pPr>
        <w:jc w:val="both"/>
        <w:rPr>
          <w:rFonts w:ascii="Arial" w:hAnsi="Arial" w:cs="Arial"/>
          <w:sz w:val="22"/>
          <w:szCs w:val="22"/>
          <w:lang w:val="en-US"/>
        </w:rPr>
      </w:pPr>
      <w:r w:rsidRPr="002D3096">
        <w:rPr>
          <w:rFonts w:ascii="Arial" w:hAnsi="Arial" w:cs="Arial"/>
          <w:sz w:val="22"/>
          <w:szCs w:val="22"/>
        </w:rPr>
        <w:t>To</w:t>
      </w:r>
      <w:r w:rsidRPr="002D3096">
        <w:rPr>
          <w:rFonts w:ascii="Arial" w:hAnsi="Arial" w:cs="Arial"/>
          <w:sz w:val="22"/>
          <w:szCs w:val="22"/>
          <w:lang w:val="en-US"/>
        </w:rPr>
        <w:t xml:space="preserve"> ensure the ST</w:t>
      </w:r>
      <w:r w:rsidRPr="002D3096">
        <w:rPr>
          <w:rFonts w:ascii="Arial" w:hAnsi="Arial" w:cs="Arial"/>
          <w:sz w:val="22"/>
          <w:szCs w:val="22"/>
          <w:vertAlign w:val="superscript"/>
        </w:rPr>
        <w:t>●</w:t>
      </w:r>
      <w:r w:rsidRPr="002D3096">
        <w:rPr>
          <w:rFonts w:ascii="Arial" w:hAnsi="Arial" w:cs="Arial"/>
          <w:sz w:val="22"/>
          <w:szCs w:val="22"/>
          <w:lang w:val="en-US"/>
        </w:rPr>
        <w:t>-</w:t>
      </w:r>
      <w:r w:rsidRPr="002D3096">
        <w:rPr>
          <w:rFonts w:ascii="Arial" w:hAnsi="Arial" w:cs="Arial"/>
          <w:sz w:val="22"/>
          <w:szCs w:val="22"/>
        </w:rPr>
        <w:t xml:space="preserve">CPO </w:t>
      </w:r>
      <w:r w:rsidRPr="002D3096">
        <w:rPr>
          <w:rFonts w:ascii="Arial" w:hAnsi="Arial" w:cs="Arial"/>
          <w:sz w:val="22"/>
          <w:szCs w:val="22"/>
          <w:lang w:val="en-US"/>
        </w:rPr>
        <w:t xml:space="preserve">adduct was generated </w:t>
      </w:r>
      <w:r w:rsidR="001B0889">
        <w:rPr>
          <w:rFonts w:ascii="Arial" w:hAnsi="Arial" w:cs="Arial"/>
          <w:sz w:val="22"/>
          <w:szCs w:val="22"/>
          <w:lang w:val="en-US"/>
        </w:rPr>
        <w:t xml:space="preserve">by </w:t>
      </w:r>
      <w:r w:rsidRPr="002D3096">
        <w:rPr>
          <w:rFonts w:ascii="Arial" w:hAnsi="Arial" w:cs="Arial"/>
          <w:sz w:val="22"/>
          <w:szCs w:val="22"/>
          <w:lang w:val="en-US"/>
        </w:rPr>
        <w:t xml:space="preserve">temperature </w:t>
      </w:r>
      <w:r w:rsidR="001B0889">
        <w:rPr>
          <w:rFonts w:ascii="Arial" w:hAnsi="Arial" w:cs="Arial"/>
          <w:sz w:val="22"/>
          <w:szCs w:val="22"/>
          <w:lang w:val="en-US"/>
        </w:rPr>
        <w:t>(</w:t>
      </w:r>
      <w:r w:rsidRPr="002D3096">
        <w:rPr>
          <w:rFonts w:ascii="Arial" w:hAnsi="Arial" w:cs="Arial"/>
          <w:sz w:val="22"/>
          <w:szCs w:val="22"/>
          <w:lang w:val="en-US"/>
        </w:rPr>
        <w:t xml:space="preserve">rather than </w:t>
      </w:r>
      <w:r w:rsidR="001B0889">
        <w:rPr>
          <w:rFonts w:ascii="Arial" w:hAnsi="Arial" w:cs="Arial"/>
          <w:sz w:val="22"/>
          <w:szCs w:val="22"/>
          <w:lang w:val="en-US"/>
        </w:rPr>
        <w:t xml:space="preserve">a slow accumulation of the adduct with </w:t>
      </w:r>
      <w:r w:rsidRPr="002D3096">
        <w:rPr>
          <w:rFonts w:ascii="Arial" w:hAnsi="Arial" w:cs="Arial"/>
          <w:sz w:val="22"/>
          <w:szCs w:val="22"/>
          <w:lang w:val="en-US"/>
        </w:rPr>
        <w:t>time</w:t>
      </w:r>
      <w:r w:rsidR="001B0889">
        <w:rPr>
          <w:rFonts w:ascii="Arial" w:hAnsi="Arial" w:cs="Arial"/>
          <w:sz w:val="22"/>
          <w:szCs w:val="22"/>
          <w:lang w:val="en-US"/>
        </w:rPr>
        <w:t>)</w:t>
      </w:r>
      <w:r w:rsidRPr="002D3096">
        <w:rPr>
          <w:rFonts w:ascii="Arial" w:hAnsi="Arial" w:cs="Arial"/>
          <w:sz w:val="22"/>
          <w:szCs w:val="22"/>
          <w:lang w:val="en-US"/>
        </w:rPr>
        <w:t xml:space="preserve">, </w:t>
      </w:r>
      <w:r w:rsidR="001B0889">
        <w:rPr>
          <w:rFonts w:ascii="Arial" w:hAnsi="Arial" w:cs="Arial"/>
          <w:sz w:val="22"/>
          <w:szCs w:val="22"/>
          <w:lang w:val="en-US"/>
        </w:rPr>
        <w:t xml:space="preserve">a </w:t>
      </w:r>
      <w:r w:rsidRPr="002D3096">
        <w:rPr>
          <w:rFonts w:ascii="Arial" w:hAnsi="Arial" w:cs="Arial"/>
          <w:sz w:val="22"/>
          <w:szCs w:val="22"/>
          <w:lang w:val="en-US"/>
        </w:rPr>
        <w:t xml:space="preserve">sample </w:t>
      </w:r>
      <w:r w:rsidR="001B0889">
        <w:rPr>
          <w:rFonts w:ascii="Arial" w:hAnsi="Arial" w:cs="Arial"/>
          <w:sz w:val="22"/>
          <w:szCs w:val="22"/>
          <w:lang w:val="en-US"/>
        </w:rPr>
        <w:t xml:space="preserve">of the AIBN solution containing the </w:t>
      </w:r>
      <w:r w:rsidR="00805C4B">
        <w:rPr>
          <w:rFonts w:ascii="Arial" w:hAnsi="Arial" w:cs="Arial"/>
          <w:sz w:val="22"/>
          <w:szCs w:val="22"/>
          <w:lang w:val="en-US"/>
        </w:rPr>
        <w:t>ST</w:t>
      </w:r>
      <w:r w:rsidR="001B0889">
        <w:rPr>
          <w:rFonts w:ascii="Arial" w:hAnsi="Arial" w:cs="Arial"/>
          <w:sz w:val="22"/>
          <w:szCs w:val="22"/>
          <w:lang w:val="en-US"/>
        </w:rPr>
        <w:t xml:space="preserve"> </w:t>
      </w:r>
      <w:r w:rsidRPr="002D3096">
        <w:rPr>
          <w:rFonts w:ascii="Arial" w:hAnsi="Arial" w:cs="Arial"/>
          <w:sz w:val="22"/>
          <w:szCs w:val="22"/>
          <w:lang w:val="en-US"/>
        </w:rPr>
        <w:t xml:space="preserve">was held at 75 °C under conventional heating </w:t>
      </w:r>
      <w:r w:rsidR="001B0889">
        <w:rPr>
          <w:rFonts w:ascii="Arial" w:hAnsi="Arial" w:cs="Arial"/>
          <w:sz w:val="22"/>
          <w:szCs w:val="22"/>
          <w:lang w:val="en-US"/>
        </w:rPr>
        <w:t xml:space="preserve">conditions </w:t>
      </w:r>
      <w:r w:rsidRPr="002D3096">
        <w:rPr>
          <w:rFonts w:ascii="Arial" w:hAnsi="Arial" w:cs="Arial"/>
          <w:sz w:val="22"/>
          <w:szCs w:val="22"/>
          <w:lang w:val="en-US"/>
        </w:rPr>
        <w:t xml:space="preserve">for </w:t>
      </w:r>
      <w:r w:rsidR="004D57E1" w:rsidRPr="002D3096">
        <w:rPr>
          <w:rFonts w:ascii="Arial" w:hAnsi="Arial" w:cs="Arial"/>
          <w:i/>
          <w:iCs/>
          <w:sz w:val="22"/>
          <w:szCs w:val="22"/>
          <w:lang w:val="en-US"/>
        </w:rPr>
        <w:t>ca.</w:t>
      </w:r>
      <w:r w:rsidR="004D57E1" w:rsidRPr="002D3096">
        <w:rPr>
          <w:rFonts w:ascii="Arial" w:hAnsi="Arial" w:cs="Arial"/>
          <w:sz w:val="22"/>
          <w:szCs w:val="22"/>
          <w:lang w:val="en-US"/>
        </w:rPr>
        <w:t xml:space="preserve"> </w:t>
      </w:r>
      <w:r w:rsidRPr="002D3096">
        <w:rPr>
          <w:rFonts w:ascii="Arial" w:hAnsi="Arial" w:cs="Arial"/>
          <w:sz w:val="22"/>
          <w:szCs w:val="22"/>
          <w:lang w:val="en-US"/>
        </w:rPr>
        <w:t xml:space="preserve">2.5 </w:t>
      </w:r>
      <w:proofErr w:type="spellStart"/>
      <w:r w:rsidRPr="002D3096">
        <w:rPr>
          <w:rFonts w:ascii="Arial" w:hAnsi="Arial" w:cs="Arial"/>
          <w:sz w:val="22"/>
          <w:szCs w:val="22"/>
          <w:lang w:val="en-US"/>
        </w:rPr>
        <w:t>hrs</w:t>
      </w:r>
      <w:proofErr w:type="spellEnd"/>
      <w:r w:rsidRPr="002D3096">
        <w:rPr>
          <w:rFonts w:ascii="Arial" w:hAnsi="Arial" w:cs="Arial"/>
          <w:sz w:val="22"/>
          <w:szCs w:val="22"/>
          <w:lang w:val="en-US"/>
        </w:rPr>
        <w:t xml:space="preserve"> to </w:t>
      </w:r>
      <w:r w:rsidR="001B0889">
        <w:rPr>
          <w:rFonts w:ascii="Arial" w:hAnsi="Arial" w:cs="Arial"/>
          <w:sz w:val="22"/>
          <w:szCs w:val="22"/>
          <w:lang w:val="en-US"/>
        </w:rPr>
        <w:t xml:space="preserve">assess </w:t>
      </w:r>
      <w:r w:rsidRPr="002D3096">
        <w:rPr>
          <w:rFonts w:ascii="Arial" w:hAnsi="Arial" w:cs="Arial"/>
          <w:sz w:val="22"/>
          <w:szCs w:val="22"/>
          <w:lang w:val="en-US"/>
        </w:rPr>
        <w:t>whether the</w:t>
      </w:r>
      <w:r w:rsidR="001B0889">
        <w:rPr>
          <w:rFonts w:ascii="Arial" w:hAnsi="Arial" w:cs="Arial"/>
          <w:sz w:val="22"/>
          <w:szCs w:val="22"/>
          <w:lang w:val="en-US"/>
        </w:rPr>
        <w:t xml:space="preserve"> signal of the </w:t>
      </w:r>
      <w:r w:rsidRPr="002D3096">
        <w:rPr>
          <w:rFonts w:ascii="Arial" w:hAnsi="Arial" w:cs="Arial"/>
          <w:sz w:val="22"/>
          <w:szCs w:val="22"/>
          <w:lang w:val="en-US"/>
        </w:rPr>
        <w:t>DMPO</w:t>
      </w:r>
      <w:r w:rsidRPr="002D3096">
        <w:rPr>
          <w:rFonts w:ascii="Arial" w:hAnsi="Arial" w:cs="Arial"/>
          <w:sz w:val="22"/>
          <w:szCs w:val="22"/>
          <w:vertAlign w:val="superscript"/>
        </w:rPr>
        <w:t>●</w:t>
      </w:r>
      <w:r w:rsidRPr="002D3096">
        <w:rPr>
          <w:rFonts w:ascii="Arial" w:hAnsi="Arial" w:cs="Arial"/>
          <w:sz w:val="22"/>
          <w:szCs w:val="22"/>
          <w:lang w:val="en-US"/>
        </w:rPr>
        <w:t>-</w:t>
      </w:r>
      <w:r w:rsidRPr="002D3096">
        <w:rPr>
          <w:rFonts w:ascii="Arial" w:hAnsi="Arial" w:cs="Arial"/>
          <w:sz w:val="22"/>
          <w:szCs w:val="22"/>
        </w:rPr>
        <w:t xml:space="preserve">CP </w:t>
      </w:r>
      <w:r w:rsidRPr="002D3096">
        <w:rPr>
          <w:rFonts w:ascii="Arial" w:hAnsi="Arial" w:cs="Arial"/>
          <w:sz w:val="22"/>
          <w:szCs w:val="22"/>
          <w:lang w:val="en-US"/>
        </w:rPr>
        <w:t>adduct could be detected. The EPR signal at 75 °C as a function of time (Fig</w:t>
      </w:r>
      <w:r w:rsidR="001B0889">
        <w:rPr>
          <w:rFonts w:ascii="Arial" w:hAnsi="Arial" w:cs="Arial"/>
          <w:sz w:val="22"/>
          <w:szCs w:val="22"/>
          <w:lang w:val="en-US"/>
        </w:rPr>
        <w:t>.</w:t>
      </w:r>
      <w:r w:rsidRPr="002D3096">
        <w:rPr>
          <w:rFonts w:ascii="Arial" w:hAnsi="Arial" w:cs="Arial"/>
          <w:sz w:val="22"/>
          <w:szCs w:val="22"/>
          <w:lang w:val="en-US"/>
        </w:rPr>
        <w:t xml:space="preserve"> S</w:t>
      </w:r>
      <w:r w:rsidR="001B0889">
        <w:rPr>
          <w:rFonts w:ascii="Arial" w:hAnsi="Arial" w:cs="Arial"/>
          <w:sz w:val="22"/>
          <w:szCs w:val="22"/>
          <w:lang w:val="en-US"/>
        </w:rPr>
        <w:t>1</w:t>
      </w:r>
      <w:r w:rsidRPr="002D3096">
        <w:rPr>
          <w:rFonts w:ascii="Arial" w:hAnsi="Arial" w:cs="Arial"/>
          <w:sz w:val="22"/>
          <w:szCs w:val="22"/>
          <w:lang w:val="en-US"/>
        </w:rPr>
        <w:t>) illustrates the occurrence of the DMPO</w:t>
      </w:r>
      <w:r w:rsidRPr="002D3096">
        <w:rPr>
          <w:rFonts w:ascii="Arial" w:hAnsi="Arial" w:cs="Arial"/>
          <w:sz w:val="22"/>
          <w:szCs w:val="22"/>
          <w:vertAlign w:val="superscript"/>
        </w:rPr>
        <w:t>●</w:t>
      </w:r>
      <w:r w:rsidRPr="002D3096">
        <w:rPr>
          <w:rFonts w:ascii="Arial" w:hAnsi="Arial" w:cs="Arial"/>
          <w:sz w:val="22"/>
          <w:szCs w:val="22"/>
          <w:lang w:val="en-US"/>
        </w:rPr>
        <w:t>-</w:t>
      </w:r>
      <w:r w:rsidRPr="002D3096">
        <w:rPr>
          <w:rFonts w:ascii="Arial" w:hAnsi="Arial" w:cs="Arial"/>
          <w:sz w:val="22"/>
          <w:szCs w:val="22"/>
        </w:rPr>
        <w:t xml:space="preserve">CPO </w:t>
      </w:r>
      <w:r w:rsidRPr="002D3096">
        <w:rPr>
          <w:rFonts w:ascii="Arial" w:hAnsi="Arial" w:cs="Arial"/>
          <w:sz w:val="22"/>
          <w:szCs w:val="22"/>
          <w:lang w:val="en-US"/>
        </w:rPr>
        <w:t xml:space="preserve">adduct over the 2.5 </w:t>
      </w:r>
      <w:proofErr w:type="spellStart"/>
      <w:r w:rsidRPr="002D3096">
        <w:rPr>
          <w:rFonts w:ascii="Arial" w:hAnsi="Arial" w:cs="Arial"/>
          <w:sz w:val="22"/>
          <w:szCs w:val="22"/>
          <w:lang w:val="en-US"/>
        </w:rPr>
        <w:t>hrs</w:t>
      </w:r>
      <w:proofErr w:type="spellEnd"/>
      <w:r w:rsidRPr="002D3096">
        <w:rPr>
          <w:rFonts w:ascii="Arial" w:hAnsi="Arial" w:cs="Arial"/>
          <w:sz w:val="22"/>
          <w:szCs w:val="22"/>
          <w:lang w:val="en-US"/>
        </w:rPr>
        <w:t xml:space="preserve"> timescale, offering no evidence to suggest the DMPO</w:t>
      </w:r>
      <w:r w:rsidRPr="002D3096">
        <w:rPr>
          <w:rFonts w:ascii="Arial" w:hAnsi="Arial" w:cs="Arial"/>
          <w:sz w:val="22"/>
          <w:szCs w:val="22"/>
          <w:vertAlign w:val="superscript"/>
        </w:rPr>
        <w:t>●</w:t>
      </w:r>
      <w:r w:rsidRPr="002D3096">
        <w:rPr>
          <w:rFonts w:ascii="Arial" w:hAnsi="Arial" w:cs="Arial"/>
          <w:sz w:val="22"/>
          <w:szCs w:val="22"/>
          <w:lang w:val="en-US"/>
        </w:rPr>
        <w:t>-CP</w:t>
      </w:r>
      <w:r w:rsidRPr="002D3096">
        <w:rPr>
          <w:rFonts w:ascii="Arial" w:hAnsi="Arial" w:cs="Arial"/>
          <w:sz w:val="22"/>
          <w:szCs w:val="22"/>
          <w:vertAlign w:val="superscript"/>
        </w:rPr>
        <w:t xml:space="preserve"> </w:t>
      </w:r>
      <w:r w:rsidRPr="002D3096">
        <w:rPr>
          <w:rFonts w:ascii="Arial" w:hAnsi="Arial" w:cs="Arial"/>
          <w:sz w:val="22"/>
          <w:szCs w:val="22"/>
        </w:rPr>
        <w:t>adduct is formed at this temperature under completely aerobic conditions.</w:t>
      </w:r>
      <w:r w:rsidRPr="002D3096">
        <w:rPr>
          <w:rFonts w:ascii="Arial" w:hAnsi="Arial" w:cs="Arial"/>
          <w:sz w:val="22"/>
          <w:szCs w:val="22"/>
          <w:lang w:val="en-US"/>
        </w:rPr>
        <w:t xml:space="preserve"> As such, it can be inferred that the temperature of the reaction medium influence</w:t>
      </w:r>
      <w:r w:rsidR="00C906FF">
        <w:rPr>
          <w:rFonts w:ascii="Arial" w:hAnsi="Arial" w:cs="Arial"/>
          <w:sz w:val="22"/>
          <w:szCs w:val="22"/>
          <w:lang w:val="en-US"/>
        </w:rPr>
        <w:t>s</w:t>
      </w:r>
      <w:r w:rsidRPr="002D3096">
        <w:rPr>
          <w:rFonts w:ascii="Arial" w:hAnsi="Arial" w:cs="Arial"/>
          <w:sz w:val="22"/>
          <w:szCs w:val="22"/>
          <w:lang w:val="en-US"/>
        </w:rPr>
        <w:t xml:space="preserve"> the radical distribution (CPO</w:t>
      </w:r>
      <w:r w:rsidRPr="002D3096">
        <w:rPr>
          <w:rFonts w:ascii="Arial" w:hAnsi="Arial" w:cs="Arial"/>
          <w:sz w:val="22"/>
          <w:szCs w:val="22"/>
          <w:vertAlign w:val="superscript"/>
        </w:rPr>
        <w:t>●</w:t>
      </w:r>
      <w:r w:rsidRPr="002D3096">
        <w:rPr>
          <w:rFonts w:ascii="Arial" w:hAnsi="Arial" w:cs="Arial"/>
          <w:sz w:val="22"/>
          <w:szCs w:val="22"/>
          <w:lang w:val="en-US"/>
        </w:rPr>
        <w:t xml:space="preserve"> vs CP</w:t>
      </w:r>
      <w:r w:rsidRPr="002D3096">
        <w:rPr>
          <w:rFonts w:ascii="Arial" w:hAnsi="Arial" w:cs="Arial"/>
          <w:sz w:val="22"/>
          <w:szCs w:val="22"/>
          <w:vertAlign w:val="superscript"/>
        </w:rPr>
        <w:t>●</w:t>
      </w:r>
      <w:r w:rsidRPr="002D3096">
        <w:rPr>
          <w:rFonts w:ascii="Arial" w:hAnsi="Arial" w:cs="Arial"/>
          <w:sz w:val="22"/>
          <w:szCs w:val="22"/>
          <w:lang w:val="en-US"/>
        </w:rPr>
        <w:t>) more so than the reaction time.</w:t>
      </w:r>
    </w:p>
    <w:p w14:paraId="684F6472" w14:textId="5A8D2055" w:rsidR="00A41F91" w:rsidRDefault="00535820" w:rsidP="00535820">
      <w:pPr>
        <w:keepNext/>
        <w:jc w:val="center"/>
      </w:pPr>
      <w:r>
        <w:rPr>
          <w:noProof/>
          <w:sz w:val="16"/>
          <w:szCs w:val="16"/>
        </w:rPr>
        <w:drawing>
          <wp:inline distT="0" distB="0" distL="0" distR="0" wp14:anchorId="731E48B3" wp14:editId="4EC72274">
            <wp:extent cx="3581400" cy="2832735"/>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rotWithShape="1">
                    <a:blip r:embed="rId7">
                      <a:extLst>
                        <a:ext uri="{28A0092B-C50C-407E-A947-70E740481C1C}">
                          <a14:useLocalDpi xmlns:a14="http://schemas.microsoft.com/office/drawing/2010/main" val="0"/>
                        </a:ext>
                      </a:extLst>
                    </a:blip>
                    <a:srcRect l="4047" t="5380" r="826" b="-16"/>
                    <a:stretch/>
                  </pic:blipFill>
                  <pic:spPr bwMode="auto">
                    <a:xfrm>
                      <a:off x="0" y="0"/>
                      <a:ext cx="3583740" cy="2834586"/>
                    </a:xfrm>
                    <a:prstGeom prst="rect">
                      <a:avLst/>
                    </a:prstGeom>
                    <a:ln>
                      <a:noFill/>
                    </a:ln>
                    <a:extLst>
                      <a:ext uri="{53640926-AAD7-44D8-BBD7-CCE9431645EC}">
                        <a14:shadowObscured xmlns:a14="http://schemas.microsoft.com/office/drawing/2010/main"/>
                      </a:ext>
                    </a:extLst>
                  </pic:spPr>
                </pic:pic>
              </a:graphicData>
            </a:graphic>
          </wp:inline>
        </w:drawing>
      </w:r>
    </w:p>
    <w:p w14:paraId="45A92A0B" w14:textId="5FC2EC54" w:rsidR="00C5653A" w:rsidRPr="00FF783D" w:rsidRDefault="00A41F91" w:rsidP="00A41F91">
      <w:pPr>
        <w:pStyle w:val="Caption"/>
        <w:rPr>
          <w:rFonts w:ascii="Arial" w:hAnsi="Arial" w:cs="Arial"/>
          <w:i w:val="0"/>
          <w:iCs w:val="0"/>
          <w:color w:val="auto"/>
        </w:rPr>
      </w:pPr>
      <w:r w:rsidRPr="00FF783D">
        <w:rPr>
          <w:rFonts w:ascii="Arial" w:hAnsi="Arial" w:cs="Arial"/>
          <w:i w:val="0"/>
          <w:iCs w:val="0"/>
          <w:color w:val="auto"/>
        </w:rPr>
        <w:t>Fig</w:t>
      </w:r>
      <w:r w:rsidR="001B0889">
        <w:rPr>
          <w:rFonts w:ascii="Arial" w:hAnsi="Arial" w:cs="Arial"/>
          <w:i w:val="0"/>
          <w:iCs w:val="0"/>
          <w:color w:val="auto"/>
        </w:rPr>
        <w:t xml:space="preserve">. </w:t>
      </w:r>
      <w:r w:rsidR="00B36CC8">
        <w:rPr>
          <w:rFonts w:ascii="Arial" w:hAnsi="Arial" w:cs="Arial"/>
          <w:i w:val="0"/>
          <w:iCs w:val="0"/>
          <w:color w:val="auto"/>
        </w:rPr>
        <w:t>S</w:t>
      </w:r>
      <w:r w:rsidR="001B0889">
        <w:rPr>
          <w:rFonts w:ascii="Arial" w:hAnsi="Arial" w:cs="Arial"/>
          <w:i w:val="0"/>
          <w:iCs w:val="0"/>
          <w:color w:val="auto"/>
        </w:rPr>
        <w:t>1.</w:t>
      </w:r>
      <w:r w:rsidRPr="00FF783D">
        <w:rPr>
          <w:rFonts w:ascii="Arial" w:hAnsi="Arial" w:cs="Arial"/>
          <w:i w:val="0"/>
          <w:iCs w:val="0"/>
          <w:color w:val="auto"/>
        </w:rPr>
        <w:t xml:space="preserve"> </w:t>
      </w:r>
      <w:r w:rsidR="004D57E1">
        <w:rPr>
          <w:rFonts w:ascii="Arial" w:hAnsi="Arial" w:cs="Arial"/>
          <w:i w:val="0"/>
          <w:iCs w:val="0"/>
          <w:color w:val="auto"/>
        </w:rPr>
        <w:t>Absolute value of the</w:t>
      </w:r>
      <w:r w:rsidRPr="00FF783D">
        <w:rPr>
          <w:rFonts w:ascii="Arial" w:hAnsi="Arial" w:cs="Arial"/>
          <w:i w:val="0"/>
          <w:iCs w:val="0"/>
          <w:color w:val="auto"/>
        </w:rPr>
        <w:t xml:space="preserve"> X-band CW EPR spectra recorded at 75 °C</w:t>
      </w:r>
      <w:r w:rsidR="00C906FF">
        <w:rPr>
          <w:rFonts w:ascii="Arial" w:hAnsi="Arial" w:cs="Arial"/>
          <w:i w:val="0"/>
          <w:iCs w:val="0"/>
          <w:color w:val="auto"/>
        </w:rPr>
        <w:t xml:space="preserve"> </w:t>
      </w:r>
      <w:r w:rsidRPr="00FF783D">
        <w:rPr>
          <w:rFonts w:ascii="Arial" w:hAnsi="Arial" w:cs="Arial"/>
          <w:i w:val="0"/>
          <w:iCs w:val="0"/>
          <w:color w:val="auto"/>
        </w:rPr>
        <w:t xml:space="preserve">of 20 mM AIBN + 3 eq. DMPO in toluene over </w:t>
      </w:r>
      <w:r w:rsidR="004D57E1">
        <w:rPr>
          <w:rFonts w:ascii="Arial" w:hAnsi="Arial" w:cs="Arial"/>
          <w:color w:val="auto"/>
        </w:rPr>
        <w:t>ca.</w:t>
      </w:r>
      <w:r w:rsidR="004D57E1">
        <w:rPr>
          <w:rFonts w:ascii="Arial" w:hAnsi="Arial" w:cs="Arial"/>
          <w:i w:val="0"/>
          <w:iCs w:val="0"/>
          <w:color w:val="auto"/>
        </w:rPr>
        <w:t xml:space="preserve"> </w:t>
      </w:r>
      <w:r w:rsidRPr="00FF783D">
        <w:rPr>
          <w:rFonts w:ascii="Arial" w:hAnsi="Arial" w:cs="Arial"/>
          <w:i w:val="0"/>
          <w:iCs w:val="0"/>
          <w:color w:val="auto"/>
        </w:rPr>
        <w:t>2.5 hrs duration</w:t>
      </w:r>
      <w:r w:rsidR="00C906FF">
        <w:rPr>
          <w:rFonts w:ascii="Arial" w:hAnsi="Arial" w:cs="Arial"/>
          <w:i w:val="0"/>
          <w:iCs w:val="0"/>
          <w:color w:val="auto"/>
        </w:rPr>
        <w:t xml:space="preserve"> under conventional heating conditions</w:t>
      </w:r>
      <w:r w:rsidRPr="00FF783D">
        <w:rPr>
          <w:rFonts w:ascii="Arial" w:hAnsi="Arial" w:cs="Arial"/>
          <w:i w:val="0"/>
          <w:iCs w:val="0"/>
          <w:color w:val="auto"/>
        </w:rPr>
        <w:t>.</w:t>
      </w:r>
    </w:p>
    <w:p w14:paraId="44371B64" w14:textId="79D29267" w:rsidR="001E4A3B" w:rsidRPr="00C906FF" w:rsidRDefault="001E4A3B" w:rsidP="001E4A3B">
      <w:pPr>
        <w:pStyle w:val="pf0"/>
        <w:jc w:val="both"/>
        <w:rPr>
          <w:rFonts w:ascii="Arial" w:hAnsi="Arial" w:cs="Arial"/>
          <w:sz w:val="22"/>
          <w:szCs w:val="22"/>
        </w:rPr>
      </w:pPr>
      <w:r w:rsidRPr="00C906FF">
        <w:rPr>
          <w:rStyle w:val="cf01"/>
          <w:rFonts w:ascii="Arial" w:hAnsi="Arial" w:cs="Arial"/>
          <w:sz w:val="22"/>
          <w:szCs w:val="22"/>
        </w:rPr>
        <w:t>There appears to be a</w:t>
      </w:r>
      <w:r w:rsidR="00C906FF">
        <w:rPr>
          <w:rStyle w:val="cf01"/>
          <w:rFonts w:ascii="Arial" w:hAnsi="Arial" w:cs="Arial"/>
          <w:sz w:val="22"/>
          <w:szCs w:val="22"/>
        </w:rPr>
        <w:t>n overall</w:t>
      </w:r>
      <w:r w:rsidRPr="00C906FF">
        <w:rPr>
          <w:rStyle w:val="cf01"/>
          <w:rFonts w:ascii="Arial" w:hAnsi="Arial" w:cs="Arial"/>
          <w:sz w:val="22"/>
          <w:szCs w:val="22"/>
        </w:rPr>
        <w:t xml:space="preserve"> decrease in radical concentration </w:t>
      </w:r>
      <w:r w:rsidR="00C906FF">
        <w:rPr>
          <w:rStyle w:val="cf01"/>
          <w:rFonts w:ascii="Arial" w:hAnsi="Arial" w:cs="Arial"/>
          <w:sz w:val="22"/>
          <w:szCs w:val="22"/>
        </w:rPr>
        <w:t>as time progresses</w:t>
      </w:r>
      <w:r w:rsidRPr="00C906FF">
        <w:rPr>
          <w:rStyle w:val="cf01"/>
          <w:rFonts w:ascii="Arial" w:hAnsi="Arial" w:cs="Arial"/>
          <w:sz w:val="22"/>
          <w:szCs w:val="22"/>
        </w:rPr>
        <w:t xml:space="preserve">. This </w:t>
      </w:r>
      <w:r w:rsidR="00C906FF">
        <w:rPr>
          <w:rStyle w:val="cf01"/>
          <w:rFonts w:ascii="Arial" w:hAnsi="Arial" w:cs="Arial"/>
          <w:sz w:val="22"/>
          <w:szCs w:val="22"/>
        </w:rPr>
        <w:t xml:space="preserve">is likely </w:t>
      </w:r>
      <w:proofErr w:type="gramStart"/>
      <w:r w:rsidR="00C906FF">
        <w:rPr>
          <w:rStyle w:val="cf01"/>
          <w:rFonts w:ascii="Arial" w:hAnsi="Arial" w:cs="Arial"/>
          <w:sz w:val="22"/>
          <w:szCs w:val="22"/>
        </w:rPr>
        <w:t>due to the fact that</w:t>
      </w:r>
      <w:proofErr w:type="gramEnd"/>
      <w:r w:rsidR="00C906FF">
        <w:rPr>
          <w:rStyle w:val="cf01"/>
          <w:rFonts w:ascii="Arial" w:hAnsi="Arial" w:cs="Arial"/>
          <w:sz w:val="22"/>
          <w:szCs w:val="22"/>
        </w:rPr>
        <w:t xml:space="preserve"> a</w:t>
      </w:r>
      <w:r w:rsidRPr="00C906FF">
        <w:rPr>
          <w:rStyle w:val="cf01"/>
          <w:rFonts w:ascii="Arial" w:hAnsi="Arial" w:cs="Arial"/>
          <w:sz w:val="22"/>
          <w:szCs w:val="22"/>
        </w:rPr>
        <w:t xml:space="preserve">ll </w:t>
      </w:r>
      <w:r w:rsidR="00C906FF">
        <w:rPr>
          <w:rStyle w:val="cf01"/>
          <w:rFonts w:ascii="Arial" w:hAnsi="Arial" w:cs="Arial"/>
          <w:sz w:val="22"/>
          <w:szCs w:val="22"/>
        </w:rPr>
        <w:t xml:space="preserve">of </w:t>
      </w:r>
      <w:r w:rsidRPr="00C906FF">
        <w:rPr>
          <w:rStyle w:val="cf01"/>
          <w:rFonts w:ascii="Arial" w:hAnsi="Arial" w:cs="Arial"/>
          <w:sz w:val="22"/>
          <w:szCs w:val="22"/>
        </w:rPr>
        <w:t>the starting substrate has been consumed (CPO</w:t>
      </w:r>
      <w:r w:rsidRPr="00C906FF">
        <w:rPr>
          <w:rFonts w:ascii="Arial" w:hAnsi="Arial" w:cs="Arial"/>
          <w:sz w:val="22"/>
          <w:szCs w:val="22"/>
          <w:vertAlign w:val="superscript"/>
        </w:rPr>
        <w:t>●</w:t>
      </w:r>
      <w:r w:rsidRPr="00C906FF">
        <w:rPr>
          <w:rStyle w:val="cf01"/>
          <w:rFonts w:ascii="Arial" w:hAnsi="Arial" w:cs="Arial"/>
          <w:sz w:val="22"/>
          <w:szCs w:val="22"/>
        </w:rPr>
        <w:t>). Throughout the course of the measurement</w:t>
      </w:r>
      <w:r w:rsidR="00C906FF">
        <w:rPr>
          <w:rStyle w:val="cf01"/>
          <w:rFonts w:ascii="Arial" w:hAnsi="Arial" w:cs="Arial"/>
          <w:sz w:val="22"/>
          <w:szCs w:val="22"/>
        </w:rPr>
        <w:t>s,</w:t>
      </w:r>
      <w:r w:rsidRPr="00C906FF">
        <w:rPr>
          <w:rStyle w:val="cf01"/>
          <w:rFonts w:ascii="Arial" w:hAnsi="Arial" w:cs="Arial"/>
          <w:sz w:val="22"/>
          <w:szCs w:val="22"/>
        </w:rPr>
        <w:t xml:space="preserve"> there is a continual supply of radicals being generated but simultaneously a decay in radical-adduct (due to limited lifetime of the adduct itself) causing the decrease in signal.</w:t>
      </w:r>
    </w:p>
    <w:p w14:paraId="502F770B" w14:textId="140ED77E" w:rsidR="00BD3225" w:rsidRDefault="00BD3225" w:rsidP="00BD3225"/>
    <w:p w14:paraId="186DA829" w14:textId="41D8E6E4" w:rsidR="00E831DB" w:rsidRDefault="00E831DB" w:rsidP="00BD3225"/>
    <w:p w14:paraId="391E82EF" w14:textId="6291D6F3" w:rsidR="00E831DB" w:rsidRDefault="00E831DB" w:rsidP="00BD3225"/>
    <w:p w14:paraId="0FF01719" w14:textId="08B2E65D" w:rsidR="00E831DB" w:rsidRDefault="00E831DB" w:rsidP="00BD3225"/>
    <w:p w14:paraId="523C2DD0" w14:textId="198BD240" w:rsidR="00E831DB" w:rsidRDefault="00CF337E" w:rsidP="00CF337E">
      <w:pPr>
        <w:tabs>
          <w:tab w:val="left" w:pos="3778"/>
        </w:tabs>
      </w:pPr>
      <w:r>
        <w:tab/>
      </w:r>
    </w:p>
    <w:p w14:paraId="240DAE5A" w14:textId="3BE68903" w:rsidR="00CF337E" w:rsidRDefault="00CF337E" w:rsidP="00CF337E">
      <w:pPr>
        <w:tabs>
          <w:tab w:val="left" w:pos="3778"/>
        </w:tabs>
      </w:pPr>
    </w:p>
    <w:p w14:paraId="16231B86" w14:textId="77777777" w:rsidR="00CF337E" w:rsidRDefault="00CF337E" w:rsidP="00CF337E">
      <w:pPr>
        <w:tabs>
          <w:tab w:val="left" w:pos="3778"/>
        </w:tabs>
      </w:pPr>
    </w:p>
    <w:p w14:paraId="5E827751" w14:textId="77777777" w:rsidR="00C906FF" w:rsidRDefault="00C906FF">
      <w:pPr>
        <w:rPr>
          <w:rFonts w:ascii="Arial" w:hAnsi="Arial" w:cs="Arial"/>
          <w:b/>
          <w:bCs/>
          <w:u w:val="single"/>
          <w:lang w:val="en-US"/>
        </w:rPr>
      </w:pPr>
      <w:r>
        <w:rPr>
          <w:rFonts w:ascii="Arial" w:hAnsi="Arial" w:cs="Arial"/>
          <w:b/>
          <w:bCs/>
          <w:u w:val="single"/>
          <w:lang w:val="en-US"/>
        </w:rPr>
        <w:br w:type="page"/>
      </w:r>
    </w:p>
    <w:p w14:paraId="04DB379E" w14:textId="7BD11851" w:rsidR="00E831DB" w:rsidRDefault="00C906FF" w:rsidP="00BD3225">
      <w:pPr>
        <w:rPr>
          <w:rFonts w:ascii="Arial" w:hAnsi="Arial" w:cs="Arial"/>
          <w:b/>
          <w:bCs/>
          <w:lang w:val="en-US"/>
        </w:rPr>
      </w:pPr>
      <w:r w:rsidRPr="00C906FF">
        <w:rPr>
          <w:rFonts w:ascii="Arial" w:hAnsi="Arial" w:cs="Arial"/>
          <w:b/>
          <w:bCs/>
          <w:lang w:val="en-US"/>
        </w:rPr>
        <w:lastRenderedPageBreak/>
        <w:t>G</w:t>
      </w:r>
      <w:r w:rsidR="00E831DB" w:rsidRPr="00C906FF">
        <w:rPr>
          <w:rFonts w:ascii="Arial" w:hAnsi="Arial" w:cs="Arial"/>
          <w:b/>
          <w:bCs/>
          <w:lang w:val="en-US"/>
        </w:rPr>
        <w:t xml:space="preserve">as flow </w:t>
      </w:r>
      <w:r w:rsidRPr="00C906FF">
        <w:rPr>
          <w:rFonts w:ascii="Arial" w:hAnsi="Arial" w:cs="Arial"/>
          <w:b/>
          <w:bCs/>
          <w:lang w:val="en-US"/>
        </w:rPr>
        <w:t>using</w:t>
      </w:r>
      <w:r w:rsidR="00E831DB" w:rsidRPr="00C906FF">
        <w:rPr>
          <w:rFonts w:ascii="Arial" w:hAnsi="Arial" w:cs="Arial"/>
          <w:b/>
          <w:bCs/>
          <w:lang w:val="en-US"/>
        </w:rPr>
        <w:t xml:space="preserve"> conventionally heating</w:t>
      </w:r>
    </w:p>
    <w:p w14:paraId="2A7996F7" w14:textId="77777777" w:rsidR="00C906FF" w:rsidRDefault="00C906FF" w:rsidP="00C906FF">
      <w:pPr>
        <w:jc w:val="both"/>
      </w:pPr>
      <w:r>
        <w:rPr>
          <w:rFonts w:ascii="Arial" w:hAnsi="Arial" w:cs="Arial"/>
          <w:spacing w:val="6"/>
          <w:sz w:val="22"/>
          <w:szCs w:val="22"/>
        </w:rPr>
        <w:t>To monitor the heating rate in the conventional Bruker cavity, a mass-flow controller was used on the N</w:t>
      </w:r>
      <w:r w:rsidRPr="00820E69">
        <w:rPr>
          <w:rFonts w:ascii="Arial" w:hAnsi="Arial" w:cs="Arial"/>
          <w:spacing w:val="6"/>
          <w:sz w:val="22"/>
          <w:szCs w:val="22"/>
          <w:vertAlign w:val="subscript"/>
        </w:rPr>
        <w:t>2</w:t>
      </w:r>
      <w:r>
        <w:rPr>
          <w:rFonts w:ascii="Arial" w:hAnsi="Arial" w:cs="Arial"/>
          <w:spacing w:val="6"/>
          <w:sz w:val="22"/>
          <w:szCs w:val="22"/>
        </w:rPr>
        <w:t xml:space="preserve"> supply (prior to the heating coils). A temperature </w:t>
      </w:r>
      <w:proofErr w:type="gramStart"/>
      <w:r>
        <w:rPr>
          <w:rFonts w:ascii="Arial" w:hAnsi="Arial" w:cs="Arial"/>
          <w:spacing w:val="6"/>
          <w:sz w:val="22"/>
          <w:szCs w:val="22"/>
        </w:rPr>
        <w:t>increase</w:t>
      </w:r>
      <w:proofErr w:type="gramEnd"/>
      <w:r>
        <w:rPr>
          <w:rFonts w:ascii="Arial" w:hAnsi="Arial" w:cs="Arial"/>
          <w:spacing w:val="6"/>
          <w:sz w:val="22"/>
          <w:szCs w:val="22"/>
        </w:rPr>
        <w:t xml:space="preserve"> from </w:t>
      </w:r>
      <w:r w:rsidRPr="009964E0">
        <w:rPr>
          <w:rFonts w:ascii="Arial" w:hAnsi="Arial" w:cs="Arial"/>
          <w:spacing w:val="6"/>
          <w:sz w:val="22"/>
          <w:szCs w:val="22"/>
        </w:rPr>
        <w:t>RT - 70°C</w:t>
      </w:r>
      <w:r>
        <w:rPr>
          <w:rFonts w:ascii="Arial" w:hAnsi="Arial" w:cs="Arial"/>
          <w:spacing w:val="6"/>
          <w:sz w:val="22"/>
          <w:szCs w:val="22"/>
        </w:rPr>
        <w:t xml:space="preserve"> could be achieved within 80 secs. using a flow rate of 0.08 L/min. The results are shown below in Fig. S2</w:t>
      </w:r>
    </w:p>
    <w:p w14:paraId="1F9ECF0B" w14:textId="77777777" w:rsidR="00C906FF" w:rsidRPr="00C906FF" w:rsidRDefault="00C906FF" w:rsidP="00BD3225"/>
    <w:p w14:paraId="1C3E60C7" w14:textId="77777777" w:rsidR="00FF783D" w:rsidRDefault="00BD3225" w:rsidP="00FF783D">
      <w:pPr>
        <w:keepNext/>
        <w:tabs>
          <w:tab w:val="left" w:pos="8037"/>
        </w:tabs>
        <w:jc w:val="center"/>
      </w:pPr>
      <w:r w:rsidRPr="009964E0">
        <w:rPr>
          <w:rFonts w:ascii="Arial" w:hAnsi="Arial" w:cs="Arial"/>
          <w:b/>
          <w:bCs/>
          <w:noProof/>
          <w:spacing w:val="6"/>
          <w:sz w:val="22"/>
          <w:szCs w:val="22"/>
        </w:rPr>
        <w:drawing>
          <wp:inline distT="0" distB="0" distL="0" distR="0" wp14:anchorId="53E9E558" wp14:editId="1DB5C1EF">
            <wp:extent cx="4446722" cy="3690000"/>
            <wp:effectExtent l="0" t="0" r="0" b="5715"/>
            <wp:docPr id="6" name="Picture 5" descr="Chart&#10;&#10;Description automatically generated">
              <a:extLst xmlns:a="http://schemas.openxmlformats.org/drawingml/2006/main">
                <a:ext uri="{FF2B5EF4-FFF2-40B4-BE49-F238E27FC236}">
                  <a16:creationId xmlns:a16="http://schemas.microsoft.com/office/drawing/2014/main" id="{0AA50F4C-231D-4BF0-8988-A69928FBFC3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Chart&#10;&#10;Description automatically generated">
                      <a:extLst>
                        <a:ext uri="{FF2B5EF4-FFF2-40B4-BE49-F238E27FC236}">
                          <a16:creationId xmlns:a16="http://schemas.microsoft.com/office/drawing/2014/main" id="{0AA50F4C-231D-4BF0-8988-A69928FBFC38}"/>
                        </a:ext>
                      </a:extLst>
                    </pic:cNvPr>
                    <pic:cNvPicPr>
                      <a:picLocks noChangeAspect="1"/>
                    </pic:cNvPicPr>
                  </pic:nvPicPr>
                  <pic:blipFill rotWithShape="1">
                    <a:blip r:embed="rId8" cstate="print">
                      <a:extLst>
                        <a:ext uri="{28A0092B-C50C-407E-A947-70E740481C1C}">
                          <a14:useLocalDpi xmlns:a14="http://schemas.microsoft.com/office/drawing/2010/main" val="0"/>
                        </a:ext>
                      </a:extLst>
                    </a:blip>
                    <a:srcRect l="22734" t="9305" r="22186" b="9445"/>
                    <a:stretch/>
                  </pic:blipFill>
                  <pic:spPr>
                    <a:xfrm>
                      <a:off x="0" y="0"/>
                      <a:ext cx="4446722" cy="3690000"/>
                    </a:xfrm>
                    <a:prstGeom prst="rect">
                      <a:avLst/>
                    </a:prstGeom>
                  </pic:spPr>
                </pic:pic>
              </a:graphicData>
            </a:graphic>
          </wp:inline>
        </w:drawing>
      </w:r>
    </w:p>
    <w:p w14:paraId="5F593630" w14:textId="190131EA" w:rsidR="00BD3225" w:rsidRDefault="00FF783D" w:rsidP="00C906FF">
      <w:pPr>
        <w:pStyle w:val="Caption"/>
        <w:rPr>
          <w:rFonts w:ascii="Arial" w:hAnsi="Arial" w:cs="Arial"/>
          <w:i w:val="0"/>
          <w:iCs w:val="0"/>
          <w:color w:val="auto"/>
        </w:rPr>
      </w:pPr>
      <w:r w:rsidRPr="00FF783D">
        <w:rPr>
          <w:rFonts w:ascii="Arial" w:hAnsi="Arial" w:cs="Arial"/>
          <w:i w:val="0"/>
          <w:iCs w:val="0"/>
          <w:color w:val="auto"/>
        </w:rPr>
        <w:t>Fig</w:t>
      </w:r>
      <w:r w:rsidR="00C906FF">
        <w:rPr>
          <w:rFonts w:ascii="Arial" w:hAnsi="Arial" w:cs="Arial"/>
          <w:i w:val="0"/>
          <w:iCs w:val="0"/>
          <w:color w:val="auto"/>
        </w:rPr>
        <w:t>.</w:t>
      </w:r>
      <w:r w:rsidRPr="00FF783D">
        <w:rPr>
          <w:rFonts w:ascii="Arial" w:hAnsi="Arial" w:cs="Arial"/>
          <w:i w:val="0"/>
          <w:iCs w:val="0"/>
          <w:color w:val="auto"/>
        </w:rPr>
        <w:t xml:space="preserve"> </w:t>
      </w:r>
      <w:r w:rsidR="00C906FF">
        <w:rPr>
          <w:rFonts w:ascii="Arial" w:hAnsi="Arial" w:cs="Arial"/>
          <w:i w:val="0"/>
          <w:iCs w:val="0"/>
          <w:color w:val="auto"/>
        </w:rPr>
        <w:t>2.</w:t>
      </w:r>
      <w:r w:rsidRPr="00FF783D">
        <w:rPr>
          <w:rFonts w:ascii="Arial" w:hAnsi="Arial" w:cs="Arial"/>
          <w:i w:val="0"/>
          <w:iCs w:val="0"/>
          <w:color w:val="auto"/>
        </w:rPr>
        <w:t xml:space="preserve"> Temperature vs. time graph for differing flow rates of N</w:t>
      </w:r>
      <w:r w:rsidRPr="00C906FF">
        <w:rPr>
          <w:rFonts w:ascii="Arial" w:hAnsi="Arial" w:cs="Arial"/>
          <w:i w:val="0"/>
          <w:iCs w:val="0"/>
          <w:color w:val="auto"/>
          <w:vertAlign w:val="subscript"/>
        </w:rPr>
        <w:t>2</w:t>
      </w:r>
      <w:r w:rsidRPr="00FF783D">
        <w:rPr>
          <w:rFonts w:ascii="Arial" w:hAnsi="Arial" w:cs="Arial"/>
          <w:i w:val="0"/>
          <w:iCs w:val="0"/>
          <w:color w:val="auto"/>
        </w:rPr>
        <w:t xml:space="preserve"> </w:t>
      </w:r>
      <w:r w:rsidR="00C906FF">
        <w:rPr>
          <w:rFonts w:ascii="Arial" w:hAnsi="Arial" w:cs="Arial"/>
          <w:i w:val="0"/>
          <w:iCs w:val="0"/>
          <w:color w:val="auto"/>
        </w:rPr>
        <w:t>using</w:t>
      </w:r>
      <w:r w:rsidRPr="00FF783D">
        <w:rPr>
          <w:rFonts w:ascii="Arial" w:hAnsi="Arial" w:cs="Arial"/>
          <w:i w:val="0"/>
          <w:iCs w:val="0"/>
          <w:color w:val="auto"/>
        </w:rPr>
        <w:t xml:space="preserve"> conventional heating on a Bruker EMX system. Blue asterisk indicates start of heating.</w:t>
      </w:r>
    </w:p>
    <w:p w14:paraId="34D2AF24" w14:textId="1195D4EB" w:rsidR="00FF783D" w:rsidRDefault="00FF783D" w:rsidP="00FF783D"/>
    <w:p w14:paraId="3C15F0DF" w14:textId="30C66903" w:rsidR="00FF783D" w:rsidRDefault="00FF783D" w:rsidP="00FF783D"/>
    <w:p w14:paraId="46B7754D" w14:textId="77777777" w:rsidR="00FF783D" w:rsidRPr="00FF783D" w:rsidRDefault="00FF783D" w:rsidP="00FF783D"/>
    <w:p w14:paraId="53D90777" w14:textId="77777777" w:rsidR="00981B9A" w:rsidRDefault="00981B9A" w:rsidP="00981B9A">
      <w:pPr>
        <w:jc w:val="both"/>
        <w:rPr>
          <w:rFonts w:ascii="Arial" w:hAnsi="Arial" w:cs="Arial"/>
          <w:sz w:val="22"/>
          <w:szCs w:val="22"/>
          <w:lang w:val="en-US"/>
        </w:rPr>
      </w:pPr>
    </w:p>
    <w:p w14:paraId="4AA12325" w14:textId="77777777" w:rsidR="00981B9A" w:rsidRDefault="00981B9A" w:rsidP="00981B9A">
      <w:pPr>
        <w:jc w:val="both"/>
        <w:rPr>
          <w:rFonts w:ascii="Arial" w:hAnsi="Arial" w:cs="Arial"/>
          <w:sz w:val="22"/>
          <w:szCs w:val="22"/>
          <w:lang w:val="en-US"/>
        </w:rPr>
      </w:pPr>
    </w:p>
    <w:p w14:paraId="569319AD" w14:textId="77777777" w:rsidR="00981B9A" w:rsidRDefault="00981B9A" w:rsidP="00981B9A">
      <w:pPr>
        <w:jc w:val="both"/>
        <w:rPr>
          <w:rFonts w:ascii="Arial" w:hAnsi="Arial" w:cs="Arial"/>
          <w:sz w:val="22"/>
          <w:szCs w:val="22"/>
          <w:lang w:val="en-US"/>
        </w:rPr>
      </w:pPr>
    </w:p>
    <w:p w14:paraId="7280CD06" w14:textId="77777777" w:rsidR="00981B9A" w:rsidRDefault="00981B9A" w:rsidP="00981B9A">
      <w:pPr>
        <w:jc w:val="both"/>
        <w:rPr>
          <w:rFonts w:ascii="Arial" w:hAnsi="Arial" w:cs="Arial"/>
          <w:sz w:val="22"/>
          <w:szCs w:val="22"/>
          <w:lang w:val="en-US"/>
        </w:rPr>
      </w:pPr>
    </w:p>
    <w:p w14:paraId="6CC0F2A5" w14:textId="77777777" w:rsidR="00981B9A" w:rsidRDefault="00981B9A" w:rsidP="00981B9A">
      <w:pPr>
        <w:jc w:val="both"/>
        <w:rPr>
          <w:rFonts w:ascii="Arial" w:hAnsi="Arial" w:cs="Arial"/>
          <w:sz w:val="22"/>
          <w:szCs w:val="22"/>
          <w:lang w:val="en-US"/>
        </w:rPr>
      </w:pPr>
    </w:p>
    <w:p w14:paraId="7365E9D0" w14:textId="77777777" w:rsidR="00981B9A" w:rsidRDefault="00981B9A" w:rsidP="00981B9A">
      <w:pPr>
        <w:jc w:val="both"/>
        <w:rPr>
          <w:rFonts w:ascii="Arial" w:hAnsi="Arial" w:cs="Arial"/>
          <w:sz w:val="22"/>
          <w:szCs w:val="22"/>
          <w:lang w:val="en-US"/>
        </w:rPr>
      </w:pPr>
    </w:p>
    <w:p w14:paraId="34C981BF" w14:textId="77777777" w:rsidR="00981B9A" w:rsidRDefault="00981B9A" w:rsidP="00981B9A">
      <w:pPr>
        <w:jc w:val="both"/>
        <w:rPr>
          <w:rFonts w:ascii="Arial" w:hAnsi="Arial" w:cs="Arial"/>
          <w:sz w:val="22"/>
          <w:szCs w:val="22"/>
          <w:lang w:val="en-US"/>
        </w:rPr>
      </w:pPr>
    </w:p>
    <w:p w14:paraId="13DAFFEA" w14:textId="77777777" w:rsidR="00981B9A" w:rsidRDefault="00981B9A" w:rsidP="00981B9A">
      <w:pPr>
        <w:jc w:val="both"/>
        <w:rPr>
          <w:rFonts w:ascii="Arial" w:hAnsi="Arial" w:cs="Arial"/>
          <w:sz w:val="22"/>
          <w:szCs w:val="22"/>
          <w:lang w:val="en-US"/>
        </w:rPr>
      </w:pPr>
    </w:p>
    <w:p w14:paraId="1811B9DE" w14:textId="77777777" w:rsidR="00981B9A" w:rsidRDefault="00981B9A" w:rsidP="00981B9A">
      <w:pPr>
        <w:jc w:val="both"/>
        <w:rPr>
          <w:rFonts w:ascii="Arial" w:hAnsi="Arial" w:cs="Arial"/>
          <w:sz w:val="22"/>
          <w:szCs w:val="22"/>
          <w:lang w:val="en-US"/>
        </w:rPr>
      </w:pPr>
    </w:p>
    <w:p w14:paraId="2E933B91" w14:textId="2A98FC2B" w:rsidR="00981B9A" w:rsidRPr="00C906FF" w:rsidRDefault="00B36CC8" w:rsidP="00981B9A">
      <w:pPr>
        <w:jc w:val="both"/>
        <w:rPr>
          <w:rFonts w:ascii="Arial" w:hAnsi="Arial" w:cs="Arial"/>
          <w:b/>
          <w:bCs/>
          <w:lang w:val="en-US"/>
        </w:rPr>
      </w:pPr>
      <w:r w:rsidRPr="00C906FF">
        <w:rPr>
          <w:rFonts w:ascii="Arial" w:hAnsi="Arial" w:cs="Arial"/>
          <w:b/>
          <w:bCs/>
          <w:lang w:val="en-US"/>
        </w:rPr>
        <w:lastRenderedPageBreak/>
        <w:t>Dielectric multifrequency measurements</w:t>
      </w:r>
    </w:p>
    <w:p w14:paraId="1892B24D" w14:textId="2104130E" w:rsidR="001E4A3B" w:rsidRPr="001E4A3B" w:rsidRDefault="001E4A3B" w:rsidP="001E4A3B">
      <w:pPr>
        <w:pStyle w:val="Heading1"/>
        <w:spacing w:before="0" w:beforeAutospacing="0" w:after="120" w:afterAutospacing="0"/>
        <w:ind w:right="120"/>
        <w:jc w:val="both"/>
        <w:rPr>
          <w:rFonts w:ascii="Arial" w:hAnsi="Arial" w:cs="Arial"/>
          <w:b w:val="0"/>
          <w:bCs w:val="0"/>
          <w:spacing w:val="6"/>
          <w:sz w:val="22"/>
          <w:szCs w:val="22"/>
        </w:rPr>
      </w:pPr>
      <w:r w:rsidRPr="001E4A3B">
        <w:rPr>
          <w:rFonts w:ascii="Arial" w:hAnsi="Arial" w:cs="Arial"/>
          <w:b w:val="0"/>
          <w:bCs w:val="0"/>
          <w:spacing w:val="6"/>
          <w:sz w:val="22"/>
          <w:szCs w:val="22"/>
        </w:rPr>
        <w:t xml:space="preserve">Dielectric measurements were performed at </w:t>
      </w:r>
      <w:r w:rsidR="00CE77A0">
        <w:rPr>
          <w:rFonts w:ascii="Arial" w:hAnsi="Arial" w:cs="Arial"/>
          <w:b w:val="0"/>
          <w:bCs w:val="0"/>
          <w:spacing w:val="6"/>
          <w:sz w:val="22"/>
          <w:szCs w:val="22"/>
        </w:rPr>
        <w:t xml:space="preserve">different </w:t>
      </w:r>
      <w:r w:rsidRPr="001E4A3B">
        <w:rPr>
          <w:rFonts w:ascii="Arial" w:hAnsi="Arial" w:cs="Arial"/>
          <w:b w:val="0"/>
          <w:bCs w:val="0"/>
          <w:spacing w:val="6"/>
          <w:sz w:val="22"/>
          <w:szCs w:val="22"/>
        </w:rPr>
        <w:t xml:space="preserve">microwave frequencies using a combination of two microwave host cavities. The first of these was a copper </w:t>
      </w:r>
      <w:proofErr w:type="spellStart"/>
      <w:r w:rsidRPr="001E4A3B">
        <w:rPr>
          <w:rFonts w:ascii="Arial" w:hAnsi="Arial" w:cs="Arial"/>
          <w:b w:val="0"/>
          <w:bCs w:val="0"/>
          <w:spacing w:val="6"/>
          <w:sz w:val="22"/>
          <w:szCs w:val="22"/>
        </w:rPr>
        <w:t>stripline</w:t>
      </w:r>
      <w:proofErr w:type="spellEnd"/>
      <w:r w:rsidRPr="001E4A3B">
        <w:rPr>
          <w:rFonts w:ascii="Arial" w:hAnsi="Arial" w:cs="Arial"/>
          <w:b w:val="0"/>
          <w:bCs w:val="0"/>
          <w:spacing w:val="6"/>
          <w:sz w:val="22"/>
          <w:szCs w:val="22"/>
        </w:rPr>
        <w:t xml:space="preserve"> resonator, resonant at frequencies of 1, 2, 3 and 4 GHz, the second a TM aluminium cylindrical cavity operating in its 2.5 GHz (TM</w:t>
      </w:r>
      <w:r w:rsidRPr="001E4A3B">
        <w:rPr>
          <w:rFonts w:ascii="Arial" w:hAnsi="Arial" w:cs="Arial"/>
          <w:b w:val="0"/>
          <w:bCs w:val="0"/>
          <w:spacing w:val="6"/>
          <w:sz w:val="22"/>
          <w:szCs w:val="22"/>
          <w:vertAlign w:val="subscript"/>
        </w:rPr>
        <w:t>010</w:t>
      </w:r>
      <w:r w:rsidRPr="001E4A3B">
        <w:rPr>
          <w:rFonts w:ascii="Arial" w:hAnsi="Arial" w:cs="Arial"/>
          <w:b w:val="0"/>
          <w:bCs w:val="0"/>
          <w:spacing w:val="6"/>
          <w:sz w:val="22"/>
          <w:szCs w:val="22"/>
        </w:rPr>
        <w:t>) and 5.7 GHz (TM</w:t>
      </w:r>
      <w:r w:rsidRPr="001E4A3B">
        <w:rPr>
          <w:rFonts w:ascii="Arial" w:hAnsi="Arial" w:cs="Arial"/>
          <w:b w:val="0"/>
          <w:bCs w:val="0"/>
          <w:spacing w:val="6"/>
          <w:sz w:val="22"/>
          <w:szCs w:val="22"/>
          <w:vertAlign w:val="subscript"/>
        </w:rPr>
        <w:t>020</w:t>
      </w:r>
      <w:r w:rsidRPr="001E4A3B">
        <w:rPr>
          <w:rFonts w:ascii="Arial" w:hAnsi="Arial" w:cs="Arial"/>
          <w:b w:val="0"/>
          <w:bCs w:val="0"/>
          <w:spacing w:val="6"/>
          <w:sz w:val="22"/>
          <w:szCs w:val="22"/>
        </w:rPr>
        <w:t>) modes.</w:t>
      </w:r>
      <w:r>
        <w:rPr>
          <w:rFonts w:ascii="Arial" w:hAnsi="Arial" w:cs="Arial"/>
          <w:b w:val="0"/>
          <w:bCs w:val="0"/>
          <w:spacing w:val="6"/>
          <w:sz w:val="22"/>
          <w:szCs w:val="22"/>
        </w:rPr>
        <w:fldChar w:fldCharType="begin" w:fldLock="1"/>
      </w:r>
      <w:r w:rsidR="00CF337E">
        <w:rPr>
          <w:rFonts w:ascii="Arial" w:hAnsi="Arial" w:cs="Arial"/>
          <w:b w:val="0"/>
          <w:bCs w:val="0"/>
          <w:spacing w:val="6"/>
          <w:sz w:val="22"/>
          <w:szCs w:val="22"/>
        </w:rPr>
        <w:instrText>ADDIN CSL_CITATION {"citationItems":[{"id":"ITEM-1","itemData":{"DOI":"10.1088/0953-8984/28/10/106002","ISSN":"1361648X","PMID":"26882084","abstract":"The microwave cavity perturbation (MCP) technique is used to identify the transition from magnetite (Fe3O4) to the meta-stable form of maghemite (γ-Fe2O3). In this study Fe3O4 was annealed at temperatures from 60 to 300 °C to vary the oxidation. Subsequent to annealing, the complex permittivity and magnetic permeability of the iron oxide powders were measured. The transition to γ-Fe2O3 was corroborated with x-ray diffraction (XRD), x-ray photoelectron spectroscopy (XPS) and vibrating sample magnetometry (VSM). XRD, XPS and VSM implied that the starting powder was consistent with Fe3O4 and the powders annealed at more than 200 °C were transitioning to γ-Fe2O3. The MCP measurements gave large differences in both complex permittivity and magnetic permeability of the two phases in the frequency range of 2.5-10.2 GHz. Magnetic permeability decreased with annealing temperature, though magnetic losses showed frequency dependent behaviour. Complex permittivity measurements showed a large decrease in both dielectric constant and losses at all measurement frequencies, as well as a prominent loss peak centred around the phase transition temperatures. We interpret the loss peak as being a consequence of field effects due to an intermediate multi-phase mixture. Additionally, almost no frequency dependence was observed. The reduction in complex permittivity implies that the cations in the lattice provide a significant contribution to polarization at microwave frequencies and the effects of are nominal in comparison. The change in loss can be explained as a combination of the differences in the effective conductivity of the two phases (i.e. Fe3O4 exhibits electron-hopping conduction whereas the presence of vacancies in γ-Fe2O3 nullifies this). This shows that the non-invasive MCP measurements serve as a highly sensitive and versatile method for looking at this phase transition in iron and potentially the effects of oxidation states on the polarization in other iron oxides.","author":[{"dropping-particle":"","family":"Cuenca","given":"Jerome Alexander","non-dropping-particle":"","parse-names":false,"suffix":""},{"dropping-particle":"","family":"Bugler","given":"Keith","non-dropping-particle":"","parse-names":false,"suffix":""},{"dropping-particle":"","family":"Taylor","given":"Stuart","non-dropping-particle":"","parse-names":false,"suffix":""},{"dropping-particle":"","family":"Morgan","given":"David","non-dropping-particle":"","parse-names":false,"suffix":""},{"dropping-particle":"","family":"Williams","given":"Paul","non-dropping-particle":"","parse-names":false,"suffix":""},{"dropping-particle":"","family":"Bauer","given":"Johann","non-dropping-particle":"","parse-names":false,"suffix":""},{"dropping-particle":"","family":"Porch","given":"Adrian","non-dropping-particle":"","parse-names":false,"suffix":""}],"container-title":"Journal of Physics Condensed Matter","id":"ITEM-1","issue":"10","issued":{"date-parts":[["2016"]]},"publisher":"IOP Publishing","title":"Study of the magnetite to maghemite transition using microwave permittivity and permeability measurements","type":"article-journal","volume":"28"},"uris":["http://www.mendeley.com/documents/?uuid=8058ed9c-8a8f-4151-ae56-e9c7b7d0a16c"]}],"mendeley":{"formattedCitation":"[1]","plainTextFormattedCitation":"[1]","previouslyFormattedCitation":"&lt;sup&gt;[1]&lt;/sup&gt;"},"properties":{"noteIndex":0},"schema":"https://github.com/citation-style-language/schema/raw/master/csl-citation.json"}</w:instrText>
      </w:r>
      <w:r>
        <w:rPr>
          <w:rFonts w:ascii="Arial" w:hAnsi="Arial" w:cs="Arial"/>
          <w:b w:val="0"/>
          <w:bCs w:val="0"/>
          <w:spacing w:val="6"/>
          <w:sz w:val="22"/>
          <w:szCs w:val="22"/>
        </w:rPr>
        <w:fldChar w:fldCharType="separate"/>
      </w:r>
      <w:r w:rsidRPr="00CF337E">
        <w:rPr>
          <w:rFonts w:ascii="Arial" w:hAnsi="Arial" w:cs="Arial"/>
          <w:b w:val="0"/>
          <w:bCs w:val="0"/>
          <w:noProof/>
          <w:spacing w:val="6"/>
          <w:sz w:val="22"/>
          <w:szCs w:val="22"/>
        </w:rPr>
        <w:t>[1]</w:t>
      </w:r>
      <w:r>
        <w:rPr>
          <w:rFonts w:ascii="Arial" w:hAnsi="Arial" w:cs="Arial"/>
          <w:b w:val="0"/>
          <w:bCs w:val="0"/>
          <w:spacing w:val="6"/>
          <w:sz w:val="22"/>
          <w:szCs w:val="22"/>
        </w:rPr>
        <w:fldChar w:fldCharType="end"/>
      </w:r>
      <w:r w:rsidRPr="001E4A3B">
        <w:rPr>
          <w:rFonts w:ascii="Arial" w:hAnsi="Arial" w:cs="Arial"/>
          <w:b w:val="0"/>
          <w:bCs w:val="0"/>
          <w:spacing w:val="6"/>
          <w:sz w:val="22"/>
          <w:szCs w:val="22"/>
        </w:rPr>
        <w:t xml:space="preserve"> Samples were held in quartz tubes of inner diameters of 4.2 mm and measurements of the resonant frequencies and quality factors </w:t>
      </w:r>
      <w:r w:rsidRPr="001E4A3B">
        <w:rPr>
          <w:rFonts w:ascii="Arial" w:hAnsi="Arial" w:cs="Arial"/>
          <w:b w:val="0"/>
          <w:bCs w:val="0"/>
          <w:i/>
          <w:iCs/>
          <w:spacing w:val="6"/>
          <w:sz w:val="22"/>
          <w:szCs w:val="22"/>
        </w:rPr>
        <w:t>Q</w:t>
      </w:r>
      <w:r w:rsidRPr="001E4A3B">
        <w:rPr>
          <w:rFonts w:ascii="Arial" w:hAnsi="Arial" w:cs="Arial"/>
          <w:b w:val="0"/>
          <w:bCs w:val="0"/>
          <w:spacing w:val="6"/>
          <w:sz w:val="22"/>
          <w:szCs w:val="22"/>
        </w:rPr>
        <w:t xml:space="preserve"> were performed using an Agilent E5071C vector network analyser. The resonant frequency shift </w:t>
      </w:r>
      <w:r w:rsidRPr="001E4A3B">
        <w:rPr>
          <w:rFonts w:ascii="Symbol" w:hAnsi="Symbol" w:cs="Arial"/>
          <w:b w:val="0"/>
          <w:bCs w:val="0"/>
          <w:spacing w:val="6"/>
          <w:sz w:val="22"/>
          <w:szCs w:val="22"/>
        </w:rPr>
        <w:t>D</w:t>
      </w:r>
      <w:r w:rsidRPr="001E4A3B">
        <w:rPr>
          <w:rFonts w:ascii="Arial" w:hAnsi="Arial" w:cs="Arial"/>
          <w:b w:val="0"/>
          <w:bCs w:val="0"/>
          <w:i/>
          <w:iCs/>
          <w:spacing w:val="6"/>
          <w:sz w:val="22"/>
          <w:szCs w:val="22"/>
        </w:rPr>
        <w:t>f</w:t>
      </w:r>
      <w:r w:rsidRPr="001E4A3B">
        <w:rPr>
          <w:rFonts w:ascii="Arial" w:hAnsi="Arial" w:cs="Arial"/>
          <w:b w:val="0"/>
          <w:bCs w:val="0"/>
          <w:spacing w:val="6"/>
          <w:sz w:val="22"/>
          <w:szCs w:val="22"/>
        </w:rPr>
        <w:t xml:space="preserve"> was computed for each mode, defined to be the difference in resonant frequency with and without the sample liquid in the tube, together with the equivalent difference in reciprocal </w:t>
      </w:r>
      <w:r w:rsidRPr="001E4A3B">
        <w:rPr>
          <w:rFonts w:ascii="Arial" w:hAnsi="Arial" w:cs="Arial"/>
          <w:b w:val="0"/>
          <w:bCs w:val="0"/>
          <w:i/>
          <w:iCs/>
          <w:spacing w:val="6"/>
          <w:sz w:val="22"/>
          <w:szCs w:val="22"/>
        </w:rPr>
        <w:t>Q</w:t>
      </w:r>
      <w:r w:rsidRPr="001E4A3B">
        <w:rPr>
          <w:rFonts w:ascii="Arial" w:hAnsi="Arial" w:cs="Arial"/>
          <w:b w:val="0"/>
          <w:bCs w:val="0"/>
          <w:spacing w:val="6"/>
          <w:sz w:val="22"/>
          <w:szCs w:val="22"/>
        </w:rPr>
        <w:t xml:space="preserve"> factors </w:t>
      </w:r>
      <w:r w:rsidRPr="001E4A3B">
        <w:rPr>
          <w:rFonts w:ascii="Symbol" w:hAnsi="Symbol" w:cs="Arial"/>
          <w:b w:val="0"/>
          <w:bCs w:val="0"/>
          <w:spacing w:val="6"/>
          <w:sz w:val="22"/>
          <w:szCs w:val="22"/>
        </w:rPr>
        <w:t>D</w:t>
      </w:r>
      <w:r w:rsidRPr="001E4A3B">
        <w:rPr>
          <w:rFonts w:ascii="Arial" w:hAnsi="Arial" w:cs="Arial"/>
          <w:b w:val="0"/>
          <w:bCs w:val="0"/>
          <w:spacing w:val="6"/>
          <w:sz w:val="22"/>
          <w:szCs w:val="22"/>
        </w:rPr>
        <w:t>(1/</w:t>
      </w:r>
      <w:r w:rsidRPr="001E4A3B">
        <w:rPr>
          <w:rFonts w:ascii="Arial" w:hAnsi="Arial" w:cs="Arial"/>
          <w:b w:val="0"/>
          <w:bCs w:val="0"/>
          <w:i/>
          <w:iCs/>
          <w:spacing w:val="6"/>
          <w:sz w:val="22"/>
          <w:szCs w:val="22"/>
        </w:rPr>
        <w:t>Q</w:t>
      </w:r>
      <w:r w:rsidRPr="001E4A3B">
        <w:rPr>
          <w:rFonts w:ascii="Arial" w:hAnsi="Arial" w:cs="Arial"/>
          <w:b w:val="0"/>
          <w:bCs w:val="0"/>
          <w:spacing w:val="6"/>
          <w:sz w:val="22"/>
          <w:szCs w:val="22"/>
        </w:rPr>
        <w:t xml:space="preserve">); the former quantifies the polarisation </w:t>
      </w:r>
      <w:r w:rsidRPr="001E4A3B">
        <w:rPr>
          <w:rFonts w:ascii="Symbol" w:hAnsi="Symbol" w:cs="Arial"/>
          <w:b w:val="0"/>
          <w:bCs w:val="0"/>
          <w:spacing w:val="6"/>
          <w:sz w:val="22"/>
          <w:szCs w:val="22"/>
        </w:rPr>
        <w:t>e</w:t>
      </w:r>
      <w:r w:rsidRPr="001E4A3B">
        <w:rPr>
          <w:rFonts w:ascii="Arial" w:hAnsi="Arial" w:cs="Arial"/>
          <w:b w:val="0"/>
          <w:bCs w:val="0"/>
          <w:spacing w:val="6"/>
          <w:sz w:val="22"/>
          <w:szCs w:val="22"/>
        </w:rPr>
        <w:t>’</w:t>
      </w:r>
      <w:bookmarkStart w:id="1" w:name="_Hlk107243399"/>
      <w:r w:rsidRPr="001E4A3B">
        <w:rPr>
          <w:rFonts w:ascii="Arial" w:hAnsi="Arial" w:cs="Arial"/>
          <w:b w:val="0"/>
          <w:bCs w:val="0"/>
          <w:spacing w:val="6"/>
          <w:sz w:val="22"/>
          <w:szCs w:val="22"/>
        </w:rPr>
        <w:t xml:space="preserve"> </w:t>
      </w:r>
      <w:r w:rsidRPr="001E4A3B">
        <w:rPr>
          <w:rFonts w:ascii="Arial" w:hAnsi="Arial" w:cs="Arial"/>
          <w:b w:val="0"/>
          <w:bCs w:val="0"/>
          <w:spacing w:val="6"/>
          <w:sz w:val="22"/>
          <w:szCs w:val="22"/>
        </w:rPr>
        <w:sym w:font="Symbol" w:char="F02D"/>
      </w:r>
      <w:r w:rsidRPr="001E4A3B">
        <w:rPr>
          <w:rFonts w:ascii="Arial" w:hAnsi="Arial" w:cs="Arial"/>
          <w:b w:val="0"/>
          <w:bCs w:val="0"/>
          <w:spacing w:val="6"/>
          <w:sz w:val="22"/>
          <w:szCs w:val="22"/>
        </w:rPr>
        <w:t xml:space="preserve"> 1 </w:t>
      </w:r>
      <w:bookmarkEnd w:id="1"/>
      <w:r w:rsidRPr="001E4A3B">
        <w:rPr>
          <w:rFonts w:ascii="Arial" w:hAnsi="Arial" w:cs="Arial"/>
          <w:b w:val="0"/>
          <w:bCs w:val="0"/>
          <w:spacing w:val="6"/>
          <w:sz w:val="22"/>
          <w:szCs w:val="22"/>
        </w:rPr>
        <w:t xml:space="preserve">of the sample and the latter the loss term </w:t>
      </w:r>
      <w:r w:rsidRPr="001E4A3B">
        <w:rPr>
          <w:rFonts w:ascii="Symbol" w:hAnsi="Symbol" w:cs="Arial"/>
          <w:b w:val="0"/>
          <w:bCs w:val="0"/>
          <w:spacing w:val="6"/>
          <w:sz w:val="22"/>
          <w:szCs w:val="22"/>
        </w:rPr>
        <w:t>e</w:t>
      </w:r>
      <w:r w:rsidRPr="001E4A3B">
        <w:rPr>
          <w:rFonts w:ascii="Arial" w:hAnsi="Arial" w:cs="Arial"/>
          <w:b w:val="0"/>
          <w:bCs w:val="0"/>
          <w:spacing w:val="6"/>
          <w:sz w:val="22"/>
          <w:szCs w:val="22"/>
        </w:rPr>
        <w:t xml:space="preserve">’’. For the TM cavity, these are computed using simple first order perturbation theory via the equations </w:t>
      </w:r>
      <w:r w:rsidRPr="001E4A3B">
        <w:rPr>
          <w:rFonts w:ascii="Symbol" w:hAnsi="Symbol" w:cs="Arial"/>
          <w:b w:val="0"/>
          <w:bCs w:val="0"/>
          <w:spacing w:val="6"/>
          <w:sz w:val="22"/>
          <w:szCs w:val="22"/>
        </w:rPr>
        <w:t>e</w:t>
      </w:r>
      <w:r w:rsidRPr="001E4A3B">
        <w:rPr>
          <w:rFonts w:ascii="Arial" w:hAnsi="Arial" w:cs="Arial"/>
          <w:b w:val="0"/>
          <w:bCs w:val="0"/>
          <w:spacing w:val="6"/>
          <w:sz w:val="22"/>
          <w:szCs w:val="22"/>
        </w:rPr>
        <w:t xml:space="preserve">’ </w:t>
      </w:r>
      <w:r w:rsidRPr="001E4A3B">
        <w:rPr>
          <w:rFonts w:ascii="Arial" w:hAnsi="Arial" w:cs="Arial"/>
          <w:b w:val="0"/>
          <w:bCs w:val="0"/>
          <w:spacing w:val="6"/>
          <w:sz w:val="22"/>
          <w:szCs w:val="22"/>
        </w:rPr>
        <w:sym w:font="Symbol" w:char="F0BB"/>
      </w:r>
      <w:r w:rsidRPr="001E4A3B">
        <w:rPr>
          <w:rFonts w:ascii="Arial" w:hAnsi="Arial" w:cs="Arial"/>
          <w:b w:val="0"/>
          <w:bCs w:val="0"/>
          <w:spacing w:val="6"/>
          <w:sz w:val="22"/>
          <w:szCs w:val="22"/>
        </w:rPr>
        <w:t xml:space="preserve"> 1 + 2</w:t>
      </w:r>
      <w:r w:rsidRPr="001E4A3B">
        <w:rPr>
          <w:rFonts w:ascii="Arial" w:hAnsi="Arial" w:cs="Arial"/>
          <w:b w:val="0"/>
          <w:bCs w:val="0"/>
          <w:i/>
          <w:iCs/>
          <w:spacing w:val="6"/>
          <w:sz w:val="22"/>
          <w:szCs w:val="22"/>
        </w:rPr>
        <w:t>k</w:t>
      </w:r>
      <w:r w:rsidRPr="001E4A3B">
        <w:rPr>
          <w:rFonts w:ascii="Symbol" w:hAnsi="Symbol" w:cs="Arial"/>
          <w:b w:val="0"/>
          <w:bCs w:val="0"/>
          <w:spacing w:val="6"/>
          <w:sz w:val="22"/>
          <w:szCs w:val="22"/>
        </w:rPr>
        <w:t>D</w:t>
      </w:r>
      <w:r w:rsidRPr="001E4A3B">
        <w:rPr>
          <w:rFonts w:ascii="Arial" w:hAnsi="Arial" w:cs="Arial"/>
          <w:b w:val="0"/>
          <w:bCs w:val="0"/>
          <w:i/>
          <w:iCs/>
          <w:spacing w:val="6"/>
          <w:sz w:val="22"/>
          <w:szCs w:val="22"/>
        </w:rPr>
        <w:t xml:space="preserve">f </w:t>
      </w:r>
      <w:r w:rsidRPr="001E4A3B">
        <w:rPr>
          <w:rFonts w:ascii="Arial" w:hAnsi="Arial" w:cs="Arial"/>
          <w:b w:val="0"/>
          <w:bCs w:val="0"/>
          <w:spacing w:val="6"/>
          <w:sz w:val="22"/>
          <w:szCs w:val="22"/>
        </w:rPr>
        <w:t xml:space="preserve">and </w:t>
      </w:r>
      <w:r w:rsidRPr="001E4A3B">
        <w:rPr>
          <w:rFonts w:ascii="Symbol" w:hAnsi="Symbol" w:cs="Arial"/>
          <w:b w:val="0"/>
          <w:bCs w:val="0"/>
          <w:spacing w:val="6"/>
          <w:sz w:val="22"/>
          <w:szCs w:val="22"/>
        </w:rPr>
        <w:t>e</w:t>
      </w:r>
      <w:r w:rsidRPr="001E4A3B">
        <w:rPr>
          <w:rFonts w:ascii="Arial" w:hAnsi="Arial" w:cs="Arial"/>
          <w:b w:val="0"/>
          <w:bCs w:val="0"/>
          <w:spacing w:val="6"/>
          <w:sz w:val="22"/>
          <w:szCs w:val="22"/>
        </w:rPr>
        <w:t xml:space="preserve">’’ </w:t>
      </w:r>
      <w:r w:rsidRPr="001E4A3B">
        <w:rPr>
          <w:rFonts w:ascii="Arial" w:hAnsi="Arial" w:cs="Arial"/>
          <w:b w:val="0"/>
          <w:bCs w:val="0"/>
          <w:spacing w:val="6"/>
          <w:sz w:val="22"/>
          <w:szCs w:val="22"/>
        </w:rPr>
        <w:sym w:font="Symbol" w:char="F0BB"/>
      </w:r>
      <w:r w:rsidRPr="001E4A3B">
        <w:rPr>
          <w:rFonts w:ascii="Arial" w:hAnsi="Arial" w:cs="Arial"/>
          <w:b w:val="0"/>
          <w:bCs w:val="0"/>
          <w:spacing w:val="6"/>
          <w:sz w:val="22"/>
          <w:szCs w:val="22"/>
        </w:rPr>
        <w:t xml:space="preserve"> </w:t>
      </w:r>
      <w:proofErr w:type="spellStart"/>
      <w:r w:rsidRPr="001E4A3B">
        <w:rPr>
          <w:rFonts w:ascii="Arial" w:hAnsi="Arial" w:cs="Arial"/>
          <w:b w:val="0"/>
          <w:bCs w:val="0"/>
          <w:i/>
          <w:iCs/>
          <w:spacing w:val="6"/>
          <w:sz w:val="22"/>
          <w:szCs w:val="22"/>
        </w:rPr>
        <w:t>k</w:t>
      </w:r>
      <w:r w:rsidRPr="001E4A3B">
        <w:rPr>
          <w:rFonts w:ascii="Symbol" w:hAnsi="Symbol" w:cs="Arial"/>
          <w:b w:val="0"/>
          <w:bCs w:val="0"/>
          <w:spacing w:val="6"/>
          <w:sz w:val="22"/>
          <w:szCs w:val="22"/>
        </w:rPr>
        <w:t>D</w:t>
      </w:r>
      <w:r w:rsidRPr="001E4A3B">
        <w:rPr>
          <w:rFonts w:ascii="Arial" w:hAnsi="Arial" w:cs="Arial"/>
          <w:b w:val="0"/>
          <w:bCs w:val="0"/>
          <w:i/>
          <w:iCs/>
          <w:spacing w:val="6"/>
          <w:sz w:val="22"/>
          <w:szCs w:val="22"/>
        </w:rPr>
        <w:t>f</w:t>
      </w:r>
      <w:proofErr w:type="spellEnd"/>
      <w:r w:rsidRPr="001E4A3B">
        <w:rPr>
          <w:rFonts w:ascii="Arial" w:hAnsi="Arial" w:cs="Arial"/>
          <w:b w:val="0"/>
          <w:bCs w:val="0"/>
          <w:spacing w:val="6"/>
          <w:sz w:val="22"/>
          <w:szCs w:val="22"/>
        </w:rPr>
        <w:t>(1/</w:t>
      </w:r>
      <w:r w:rsidRPr="001E4A3B">
        <w:rPr>
          <w:rFonts w:ascii="Arial" w:hAnsi="Arial" w:cs="Arial"/>
          <w:b w:val="0"/>
          <w:bCs w:val="0"/>
          <w:i/>
          <w:iCs/>
          <w:spacing w:val="6"/>
          <w:sz w:val="22"/>
          <w:szCs w:val="22"/>
        </w:rPr>
        <w:t>Q</w:t>
      </w:r>
      <w:r w:rsidRPr="001E4A3B">
        <w:rPr>
          <w:rFonts w:ascii="Arial" w:hAnsi="Arial" w:cs="Arial"/>
          <w:b w:val="0"/>
          <w:bCs w:val="0"/>
          <w:spacing w:val="6"/>
          <w:sz w:val="22"/>
          <w:szCs w:val="22"/>
        </w:rPr>
        <w:t xml:space="preserve">), where for each mode the geometry factor </w:t>
      </w:r>
      <w:r w:rsidRPr="001E4A3B">
        <w:rPr>
          <w:rFonts w:ascii="Arial" w:hAnsi="Arial" w:cs="Arial"/>
          <w:b w:val="0"/>
          <w:bCs w:val="0"/>
          <w:i/>
          <w:iCs/>
          <w:spacing w:val="6"/>
          <w:sz w:val="22"/>
          <w:szCs w:val="22"/>
        </w:rPr>
        <w:t>k</w:t>
      </w:r>
      <w:r w:rsidRPr="001E4A3B">
        <w:rPr>
          <w:rFonts w:ascii="Arial" w:hAnsi="Arial" w:cs="Arial"/>
          <w:b w:val="0"/>
          <w:bCs w:val="0"/>
          <w:spacing w:val="6"/>
          <w:sz w:val="22"/>
          <w:szCs w:val="22"/>
        </w:rPr>
        <w:t xml:space="preserve"> is found by measurements the same volume of a known liquid (in this case pure toluene). For the </w:t>
      </w:r>
      <w:proofErr w:type="spellStart"/>
      <w:r w:rsidRPr="001E4A3B">
        <w:rPr>
          <w:rFonts w:ascii="Arial" w:hAnsi="Arial" w:cs="Arial"/>
          <w:b w:val="0"/>
          <w:bCs w:val="0"/>
          <w:spacing w:val="6"/>
          <w:sz w:val="22"/>
          <w:szCs w:val="22"/>
        </w:rPr>
        <w:t>stripline</w:t>
      </w:r>
      <w:proofErr w:type="spellEnd"/>
      <w:r w:rsidRPr="001E4A3B">
        <w:rPr>
          <w:rFonts w:ascii="Arial" w:hAnsi="Arial" w:cs="Arial"/>
          <w:b w:val="0"/>
          <w:bCs w:val="0"/>
          <w:spacing w:val="6"/>
          <w:sz w:val="22"/>
          <w:szCs w:val="22"/>
        </w:rPr>
        <w:t xml:space="preserve"> resonator we use a modified form of perturbation analysis that includes the depolarisation effects of the microwave electric field being perpendicular to the axis of each (cylindrical) sample, again using pure toluene as a reference liquid. All measurements are performed by undertaking a Lorentzian curve fit to the transmitted power coefficient |</w:t>
      </w:r>
      <w:r w:rsidRPr="001E4A3B">
        <w:rPr>
          <w:rFonts w:ascii="Arial" w:hAnsi="Arial" w:cs="Arial"/>
          <w:b w:val="0"/>
          <w:bCs w:val="0"/>
          <w:i/>
          <w:iCs/>
          <w:spacing w:val="6"/>
          <w:sz w:val="22"/>
          <w:szCs w:val="22"/>
        </w:rPr>
        <w:t>S</w:t>
      </w:r>
      <w:r w:rsidRPr="001E4A3B">
        <w:rPr>
          <w:rFonts w:ascii="Arial" w:hAnsi="Arial" w:cs="Arial"/>
          <w:b w:val="0"/>
          <w:bCs w:val="0"/>
          <w:spacing w:val="6"/>
          <w:sz w:val="22"/>
          <w:szCs w:val="22"/>
          <w:vertAlign w:val="subscript"/>
        </w:rPr>
        <w:t>21</w:t>
      </w:r>
      <w:r w:rsidRPr="001E4A3B">
        <w:rPr>
          <w:rFonts w:ascii="Arial" w:hAnsi="Arial" w:cs="Arial"/>
          <w:b w:val="0"/>
          <w:bCs w:val="0"/>
          <w:spacing w:val="6"/>
          <w:sz w:val="22"/>
          <w:szCs w:val="22"/>
        </w:rPr>
        <w:t>|</w:t>
      </w:r>
      <w:r w:rsidRPr="001E4A3B">
        <w:rPr>
          <w:rFonts w:ascii="Arial" w:hAnsi="Arial" w:cs="Arial"/>
          <w:b w:val="0"/>
          <w:bCs w:val="0"/>
          <w:spacing w:val="6"/>
          <w:sz w:val="22"/>
          <w:szCs w:val="22"/>
          <w:vertAlign w:val="superscript"/>
        </w:rPr>
        <w:t>2</w:t>
      </w:r>
      <w:r w:rsidRPr="001E4A3B">
        <w:rPr>
          <w:rFonts w:ascii="Arial" w:hAnsi="Arial" w:cs="Arial"/>
          <w:b w:val="0"/>
          <w:bCs w:val="0"/>
          <w:spacing w:val="6"/>
          <w:sz w:val="22"/>
          <w:szCs w:val="22"/>
        </w:rPr>
        <w:t xml:space="preserve"> through the two port cavities, which are weakly coupled to their input/output circuits to remove any systematic errors linked to the process of converting loaded to unloaded </w:t>
      </w:r>
      <w:r w:rsidRPr="001E4A3B">
        <w:rPr>
          <w:rFonts w:ascii="Arial" w:hAnsi="Arial" w:cs="Arial"/>
          <w:b w:val="0"/>
          <w:bCs w:val="0"/>
          <w:i/>
          <w:iCs/>
          <w:spacing w:val="6"/>
          <w:sz w:val="22"/>
          <w:szCs w:val="22"/>
        </w:rPr>
        <w:t>Q</w:t>
      </w:r>
      <w:r w:rsidRPr="001E4A3B">
        <w:rPr>
          <w:rFonts w:ascii="Arial" w:hAnsi="Arial" w:cs="Arial"/>
          <w:b w:val="0"/>
          <w:bCs w:val="0"/>
          <w:spacing w:val="6"/>
          <w:sz w:val="22"/>
          <w:szCs w:val="22"/>
        </w:rPr>
        <w:t>. The two coupling structures are near-identical loops that terminate each of the RG405 coaxial input/output feedlines in a short circuit, thus providing inductive coupling to the magnetic field of each mode.</w:t>
      </w:r>
    </w:p>
    <w:p w14:paraId="54410537" w14:textId="7DC10F55" w:rsidR="00981B9A" w:rsidRPr="00CA7E38" w:rsidRDefault="00981B9A" w:rsidP="00981B9A">
      <w:pPr>
        <w:jc w:val="both"/>
        <w:rPr>
          <w:rFonts w:ascii="Arial" w:hAnsi="Arial" w:cs="Arial"/>
          <w:sz w:val="22"/>
          <w:szCs w:val="22"/>
          <w:lang w:val="en-US"/>
        </w:rPr>
      </w:pPr>
      <w:r w:rsidRPr="00CA7E38">
        <w:rPr>
          <w:rFonts w:ascii="Arial" w:hAnsi="Arial" w:cs="Arial"/>
          <w:sz w:val="22"/>
          <w:szCs w:val="22"/>
          <w:lang w:val="en-US"/>
        </w:rPr>
        <w:t>Under aerobic conditions for the T-</w:t>
      </w:r>
      <w:r w:rsidR="007159B1">
        <w:rPr>
          <w:rFonts w:ascii="Arial" w:hAnsi="Arial" w:cs="Arial"/>
          <w:sz w:val="22"/>
          <w:szCs w:val="22"/>
          <w:lang w:val="en-US"/>
        </w:rPr>
        <w:t xml:space="preserve">jump </w:t>
      </w:r>
      <w:r w:rsidRPr="00CA7E38">
        <w:rPr>
          <w:rFonts w:ascii="Arial" w:hAnsi="Arial" w:cs="Arial"/>
          <w:sz w:val="22"/>
          <w:szCs w:val="22"/>
          <w:lang w:val="en-US"/>
        </w:rPr>
        <w:t xml:space="preserve">experiments, it was observed that </w:t>
      </w:r>
      <w:r>
        <w:rPr>
          <w:rFonts w:ascii="Arial" w:hAnsi="Arial" w:cs="Arial"/>
          <w:sz w:val="22"/>
          <w:szCs w:val="22"/>
          <w:lang w:val="en-US"/>
        </w:rPr>
        <w:t>-5.3</w:t>
      </w:r>
      <w:r w:rsidRPr="00CA7E38">
        <w:rPr>
          <w:rFonts w:ascii="Arial" w:hAnsi="Arial" w:cs="Arial"/>
          <w:sz w:val="22"/>
          <w:szCs w:val="22"/>
          <w:lang w:val="en-US"/>
        </w:rPr>
        <w:t xml:space="preserve"> dBm</w:t>
      </w:r>
      <w:r>
        <w:rPr>
          <w:rFonts w:ascii="Arial" w:hAnsi="Arial" w:cs="Arial"/>
          <w:sz w:val="22"/>
          <w:szCs w:val="22"/>
          <w:lang w:val="en-US"/>
        </w:rPr>
        <w:t xml:space="preserve"> (0.3</w:t>
      </w:r>
      <w:r w:rsidRPr="005A68E4">
        <w:rPr>
          <w:rFonts w:ascii="Arial" w:hAnsi="Arial" w:cs="Arial"/>
          <w:sz w:val="22"/>
          <w:szCs w:val="22"/>
          <w:lang w:val="en-US"/>
        </w:rPr>
        <w:t xml:space="preserve"> </w:t>
      </w:r>
      <w:proofErr w:type="spellStart"/>
      <w:r w:rsidRPr="005A68E4">
        <w:rPr>
          <w:rFonts w:ascii="Arial" w:hAnsi="Arial" w:cs="Arial"/>
          <w:sz w:val="22"/>
          <w:szCs w:val="22"/>
          <w:lang w:val="en-US"/>
        </w:rPr>
        <w:t>mW</w:t>
      </w:r>
      <w:proofErr w:type="spellEnd"/>
      <w:r w:rsidRPr="005A68E4">
        <w:rPr>
          <w:rFonts w:ascii="Arial" w:hAnsi="Arial" w:cs="Arial"/>
          <w:sz w:val="22"/>
          <w:szCs w:val="22"/>
          <w:lang w:val="en-US"/>
        </w:rPr>
        <w:t>)</w:t>
      </w:r>
      <w:r>
        <w:rPr>
          <w:rFonts w:ascii="Arial" w:hAnsi="Arial" w:cs="Arial"/>
          <w:sz w:val="22"/>
          <w:szCs w:val="22"/>
          <w:lang w:val="en-US"/>
        </w:rPr>
        <w:t xml:space="preserve"> </w:t>
      </w:r>
      <w:r w:rsidRPr="00CA7E38">
        <w:rPr>
          <w:rFonts w:ascii="Arial" w:hAnsi="Arial" w:cs="Arial"/>
          <w:sz w:val="22"/>
          <w:szCs w:val="22"/>
          <w:lang w:val="en-US"/>
        </w:rPr>
        <w:t>of microwave power applied at 6.1 GHz was</w:t>
      </w:r>
      <w:r>
        <w:rPr>
          <w:rFonts w:ascii="Arial" w:hAnsi="Arial" w:cs="Arial"/>
          <w:sz w:val="22"/>
          <w:szCs w:val="22"/>
          <w:lang w:val="en-US"/>
        </w:rPr>
        <w:t xml:space="preserve"> initially</w:t>
      </w:r>
      <w:r w:rsidRPr="00CA7E38">
        <w:rPr>
          <w:rFonts w:ascii="Arial" w:hAnsi="Arial" w:cs="Arial"/>
          <w:sz w:val="22"/>
          <w:szCs w:val="22"/>
          <w:lang w:val="en-US"/>
        </w:rPr>
        <w:t xml:space="preserve"> required to heat the PBN samples to 95 </w:t>
      </w:r>
      <w:r w:rsidRPr="00CA7E38">
        <w:rPr>
          <w:rFonts w:ascii="Arial" w:hAnsi="Arial" w:cs="Arial"/>
          <w:sz w:val="22"/>
          <w:szCs w:val="22"/>
        </w:rPr>
        <w:t>°C</w:t>
      </w:r>
      <w:r w:rsidRPr="00CA7E38">
        <w:rPr>
          <w:rFonts w:ascii="Arial" w:hAnsi="Arial" w:cs="Arial"/>
          <w:sz w:val="22"/>
          <w:szCs w:val="22"/>
          <w:lang w:val="en-US"/>
        </w:rPr>
        <w:t>, whereas only -</w:t>
      </w:r>
      <w:r>
        <w:rPr>
          <w:rFonts w:ascii="Arial" w:hAnsi="Arial" w:cs="Arial"/>
          <w:sz w:val="22"/>
          <w:szCs w:val="22"/>
          <w:lang w:val="en-US"/>
        </w:rPr>
        <w:t>6.4</w:t>
      </w:r>
      <w:r w:rsidRPr="00CA7E38">
        <w:rPr>
          <w:rFonts w:ascii="Arial" w:hAnsi="Arial" w:cs="Arial"/>
          <w:sz w:val="22"/>
          <w:szCs w:val="22"/>
          <w:lang w:val="en-US"/>
        </w:rPr>
        <w:t xml:space="preserve"> dBm </w:t>
      </w:r>
      <w:r>
        <w:rPr>
          <w:rFonts w:ascii="Arial" w:hAnsi="Arial" w:cs="Arial"/>
          <w:sz w:val="22"/>
          <w:szCs w:val="22"/>
          <w:lang w:val="en-US"/>
        </w:rPr>
        <w:t>(</w:t>
      </w:r>
      <w:r w:rsidRPr="005A68E4">
        <w:rPr>
          <w:rFonts w:ascii="Arial" w:hAnsi="Arial" w:cs="Arial"/>
          <w:sz w:val="22"/>
          <w:szCs w:val="22"/>
          <w:lang w:val="en-US"/>
        </w:rPr>
        <w:t>0.</w:t>
      </w:r>
      <w:r>
        <w:rPr>
          <w:rFonts w:ascii="Arial" w:hAnsi="Arial" w:cs="Arial"/>
          <w:sz w:val="22"/>
          <w:szCs w:val="22"/>
          <w:lang w:val="en-US"/>
        </w:rPr>
        <w:t>23</w:t>
      </w:r>
      <w:r w:rsidRPr="005A68E4">
        <w:rPr>
          <w:rFonts w:ascii="Arial" w:hAnsi="Arial" w:cs="Arial"/>
          <w:sz w:val="22"/>
          <w:szCs w:val="22"/>
          <w:lang w:val="en-US"/>
        </w:rPr>
        <w:t xml:space="preserve"> </w:t>
      </w:r>
      <w:proofErr w:type="spellStart"/>
      <w:r w:rsidRPr="005A68E4">
        <w:rPr>
          <w:rFonts w:ascii="Arial" w:hAnsi="Arial" w:cs="Arial"/>
          <w:sz w:val="22"/>
          <w:szCs w:val="22"/>
          <w:lang w:val="en-US"/>
        </w:rPr>
        <w:t>mW</w:t>
      </w:r>
      <w:proofErr w:type="spellEnd"/>
      <w:r>
        <w:rPr>
          <w:rFonts w:ascii="Arial" w:hAnsi="Arial" w:cs="Arial"/>
          <w:sz w:val="22"/>
          <w:szCs w:val="22"/>
          <w:lang w:val="en-US"/>
        </w:rPr>
        <w:t xml:space="preserve">) </w:t>
      </w:r>
      <w:r w:rsidRPr="00CA7E38">
        <w:rPr>
          <w:rFonts w:ascii="Arial" w:hAnsi="Arial" w:cs="Arial"/>
          <w:sz w:val="22"/>
          <w:szCs w:val="22"/>
          <w:lang w:val="en-US"/>
        </w:rPr>
        <w:t>was necessary to heat the DMPO samples to the same temperature</w:t>
      </w:r>
      <w:r w:rsidRPr="00CA7E38">
        <w:rPr>
          <w:rFonts w:ascii="Arial" w:hAnsi="Arial" w:cs="Arial"/>
          <w:sz w:val="22"/>
          <w:szCs w:val="22"/>
        </w:rPr>
        <w:t>. This prompted an investigation into the dielectric properties of the AIBN</w:t>
      </w:r>
      <w:r>
        <w:rPr>
          <w:rFonts w:ascii="Arial" w:hAnsi="Arial" w:cs="Arial"/>
          <w:sz w:val="22"/>
          <w:szCs w:val="22"/>
        </w:rPr>
        <w:t>/</w:t>
      </w:r>
      <w:r w:rsidRPr="00CA7E38">
        <w:rPr>
          <w:rFonts w:ascii="Arial" w:hAnsi="Arial" w:cs="Arial"/>
          <w:sz w:val="22"/>
          <w:szCs w:val="22"/>
        </w:rPr>
        <w:t>PBN and AIBN</w:t>
      </w:r>
      <w:r>
        <w:rPr>
          <w:rFonts w:ascii="Arial" w:hAnsi="Arial" w:cs="Arial"/>
          <w:sz w:val="22"/>
          <w:szCs w:val="22"/>
        </w:rPr>
        <w:t>/</w:t>
      </w:r>
      <w:r w:rsidRPr="00CA7E38">
        <w:rPr>
          <w:rFonts w:ascii="Arial" w:hAnsi="Arial" w:cs="Arial"/>
          <w:sz w:val="22"/>
          <w:szCs w:val="22"/>
        </w:rPr>
        <w:t xml:space="preserve">DMPO solutions in toluene. To this end, multifrequency dielectric measurements </w:t>
      </w:r>
      <w:r>
        <w:rPr>
          <w:rFonts w:ascii="Arial" w:hAnsi="Arial" w:cs="Arial"/>
          <w:sz w:val="22"/>
          <w:szCs w:val="22"/>
        </w:rPr>
        <w:t>were</w:t>
      </w:r>
      <w:r w:rsidRPr="00CA7E38">
        <w:rPr>
          <w:rFonts w:ascii="Arial" w:hAnsi="Arial" w:cs="Arial"/>
          <w:sz w:val="22"/>
          <w:szCs w:val="22"/>
        </w:rPr>
        <w:t xml:space="preserve"> record</w:t>
      </w:r>
      <w:r>
        <w:rPr>
          <w:rFonts w:ascii="Arial" w:hAnsi="Arial" w:cs="Arial"/>
          <w:sz w:val="22"/>
          <w:szCs w:val="22"/>
        </w:rPr>
        <w:t xml:space="preserve">ed to determine </w:t>
      </w:r>
      <w:r w:rsidRPr="00CA7E38">
        <w:rPr>
          <w:rFonts w:ascii="Arial" w:hAnsi="Arial" w:cs="Arial"/>
          <w:sz w:val="22"/>
          <w:szCs w:val="22"/>
        </w:rPr>
        <w:t>the dielectric permittivity (ε’)</w:t>
      </w:r>
      <w:r w:rsidRPr="00CA7E38">
        <w:rPr>
          <w:rFonts w:ascii="Arial" w:hAnsi="Arial" w:cs="Arial"/>
          <w:i/>
          <w:iCs/>
          <w:sz w:val="22"/>
          <w:szCs w:val="22"/>
        </w:rPr>
        <w:t xml:space="preserve"> </w:t>
      </w:r>
      <w:r w:rsidRPr="00CA7E38">
        <w:rPr>
          <w:rFonts w:ascii="Arial" w:hAnsi="Arial" w:cs="Arial"/>
          <w:sz w:val="22"/>
          <w:szCs w:val="22"/>
        </w:rPr>
        <w:t xml:space="preserve">and loss (ε’’) of each sample </w:t>
      </w:r>
      <w:r>
        <w:rPr>
          <w:rFonts w:ascii="Arial" w:hAnsi="Arial" w:cs="Arial"/>
          <w:sz w:val="22"/>
          <w:szCs w:val="22"/>
        </w:rPr>
        <w:t>(</w:t>
      </w:r>
      <w:r w:rsidRPr="00CA7E38">
        <w:rPr>
          <w:rFonts w:ascii="Arial" w:hAnsi="Arial" w:cs="Arial"/>
          <w:sz w:val="22"/>
          <w:szCs w:val="22"/>
        </w:rPr>
        <w:t>Fig</w:t>
      </w:r>
      <w:r w:rsidR="007159B1">
        <w:rPr>
          <w:rFonts w:ascii="Arial" w:hAnsi="Arial" w:cs="Arial"/>
          <w:sz w:val="22"/>
          <w:szCs w:val="22"/>
        </w:rPr>
        <w:t>. S3</w:t>
      </w:r>
      <w:r>
        <w:rPr>
          <w:rFonts w:ascii="Arial" w:hAnsi="Arial" w:cs="Arial"/>
          <w:sz w:val="22"/>
          <w:szCs w:val="22"/>
        </w:rPr>
        <w:t>)</w:t>
      </w:r>
      <w:r w:rsidRPr="00CA7E38">
        <w:rPr>
          <w:rFonts w:ascii="Arial" w:hAnsi="Arial" w:cs="Arial"/>
          <w:sz w:val="22"/>
          <w:szCs w:val="22"/>
        </w:rPr>
        <w:t xml:space="preserve">. </w:t>
      </w:r>
    </w:p>
    <w:p w14:paraId="3E5B4E37" w14:textId="77777777" w:rsidR="00981B9A" w:rsidRDefault="00981B9A" w:rsidP="00981B9A">
      <w:pPr>
        <w:keepNext/>
        <w:tabs>
          <w:tab w:val="left" w:pos="8037"/>
        </w:tabs>
      </w:pPr>
      <w:r>
        <w:rPr>
          <w:noProof/>
          <w:sz w:val="22"/>
          <w:szCs w:val="22"/>
        </w:rPr>
        <w:drawing>
          <wp:inline distT="0" distB="0" distL="0" distR="0" wp14:anchorId="239FC1CD" wp14:editId="42DA89C6">
            <wp:extent cx="5731510" cy="2331085"/>
            <wp:effectExtent l="0" t="0" r="2540" b="0"/>
            <wp:docPr id="14" name="Picture 1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scatter char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2331085"/>
                    </a:xfrm>
                    <a:prstGeom prst="rect">
                      <a:avLst/>
                    </a:prstGeom>
                  </pic:spPr>
                </pic:pic>
              </a:graphicData>
            </a:graphic>
          </wp:inline>
        </w:drawing>
      </w:r>
    </w:p>
    <w:p w14:paraId="4FD46E7E" w14:textId="0D033612" w:rsidR="00981B9A" w:rsidRDefault="00981B9A" w:rsidP="001E4A3B">
      <w:pPr>
        <w:pStyle w:val="Caption"/>
        <w:jc w:val="both"/>
        <w:rPr>
          <w:rFonts w:ascii="Arial" w:hAnsi="Arial" w:cs="Arial"/>
          <w:i w:val="0"/>
          <w:iCs w:val="0"/>
          <w:color w:val="auto"/>
        </w:rPr>
      </w:pPr>
      <w:r w:rsidRPr="00981B9A">
        <w:rPr>
          <w:rFonts w:ascii="Arial" w:hAnsi="Arial" w:cs="Arial"/>
          <w:i w:val="0"/>
          <w:iCs w:val="0"/>
          <w:color w:val="auto"/>
        </w:rPr>
        <w:t>Fig</w:t>
      </w:r>
      <w:r w:rsidR="00C906FF">
        <w:rPr>
          <w:rFonts w:ascii="Arial" w:hAnsi="Arial" w:cs="Arial"/>
          <w:i w:val="0"/>
          <w:iCs w:val="0"/>
          <w:color w:val="auto"/>
        </w:rPr>
        <w:t>.</w:t>
      </w:r>
      <w:r w:rsidRPr="00981B9A">
        <w:rPr>
          <w:rFonts w:ascii="Arial" w:hAnsi="Arial" w:cs="Arial"/>
          <w:i w:val="0"/>
          <w:iCs w:val="0"/>
          <w:color w:val="auto"/>
        </w:rPr>
        <w:t xml:space="preserve"> </w:t>
      </w:r>
      <w:r w:rsidR="00C906FF">
        <w:rPr>
          <w:rFonts w:ascii="Arial" w:hAnsi="Arial" w:cs="Arial"/>
          <w:i w:val="0"/>
          <w:iCs w:val="0"/>
          <w:color w:val="auto"/>
        </w:rPr>
        <w:t>S3.</w:t>
      </w:r>
      <w:r w:rsidRPr="00981B9A">
        <w:rPr>
          <w:rFonts w:ascii="Arial" w:hAnsi="Arial" w:cs="Arial"/>
          <w:i w:val="0"/>
          <w:iCs w:val="0"/>
          <w:color w:val="auto"/>
        </w:rPr>
        <w:t xml:space="preserve"> Multifrequency dielectric measurements indicating the (a) permittivity (ε’) and (b) loss (ε’’) of various AIBN solutions in toluene. Standard errors are based on triplicate measurements (the error in the loss e’’ is too small to be visible).</w:t>
      </w:r>
    </w:p>
    <w:p w14:paraId="7F89B0B8" w14:textId="4F0E4697" w:rsidR="00981B9A" w:rsidRPr="00781B1B" w:rsidRDefault="00981B9A" w:rsidP="00981B9A">
      <w:pPr>
        <w:jc w:val="both"/>
        <w:rPr>
          <w:rFonts w:ascii="Arial" w:hAnsi="Arial" w:cs="Arial"/>
          <w:sz w:val="22"/>
          <w:szCs w:val="22"/>
          <w:vertAlign w:val="superscript"/>
          <w:lang w:val="en-US"/>
        </w:rPr>
      </w:pPr>
      <w:r>
        <w:rPr>
          <w:rFonts w:ascii="Arial" w:hAnsi="Arial" w:cs="Arial"/>
          <w:sz w:val="22"/>
          <w:szCs w:val="22"/>
          <w:lang w:val="en-US"/>
        </w:rPr>
        <w:t>Toluene was used as the control solvent for comparison</w:t>
      </w:r>
      <w:r w:rsidRPr="00CA7E38">
        <w:rPr>
          <w:rFonts w:ascii="Arial" w:hAnsi="Arial" w:cs="Arial"/>
          <w:sz w:val="22"/>
          <w:szCs w:val="22"/>
          <w:lang w:val="en-US"/>
        </w:rPr>
        <w:t xml:space="preserve">, and our </w:t>
      </w:r>
      <w:r w:rsidRPr="00CA7E38">
        <w:rPr>
          <w:rFonts w:ascii="Arial" w:hAnsi="Arial" w:cs="Arial"/>
          <w:sz w:val="22"/>
          <w:szCs w:val="22"/>
        </w:rPr>
        <w:t>ε’</w:t>
      </w:r>
      <w:r w:rsidRPr="00CA7E38">
        <w:rPr>
          <w:rFonts w:ascii="Arial" w:hAnsi="Arial" w:cs="Arial"/>
          <w:i/>
          <w:iCs/>
          <w:sz w:val="22"/>
          <w:szCs w:val="22"/>
        </w:rPr>
        <w:t xml:space="preserve"> </w:t>
      </w:r>
      <w:r w:rsidRPr="00CA7E38">
        <w:rPr>
          <w:rFonts w:ascii="Arial" w:hAnsi="Arial" w:cs="Arial"/>
          <w:sz w:val="22"/>
          <w:szCs w:val="22"/>
        </w:rPr>
        <w:t xml:space="preserve">and ε’’ measurements </w:t>
      </w:r>
      <w:r w:rsidRPr="00CA7E38">
        <w:rPr>
          <w:rFonts w:ascii="Arial" w:hAnsi="Arial" w:cs="Arial"/>
          <w:sz w:val="22"/>
          <w:szCs w:val="22"/>
          <w:lang w:val="en-US"/>
        </w:rPr>
        <w:t>accurately mimic literature data when matching dielectric permittivity (or dielectric constant</w:t>
      </w:r>
      <w:r>
        <w:rPr>
          <w:rFonts w:ascii="Arial" w:hAnsi="Arial" w:cs="Arial"/>
          <w:sz w:val="22"/>
          <w:szCs w:val="22"/>
          <w:lang w:val="en-US"/>
        </w:rPr>
        <w:t>,</w:t>
      </w:r>
      <w:r w:rsidRPr="007628DA">
        <w:rPr>
          <w:rFonts w:ascii="Arial" w:hAnsi="Arial" w:cs="Arial"/>
          <w:sz w:val="22"/>
          <w:szCs w:val="22"/>
        </w:rPr>
        <w:t xml:space="preserve"> </w:t>
      </w:r>
      <w:r w:rsidRPr="00CA7E38">
        <w:rPr>
          <w:rFonts w:ascii="Arial" w:hAnsi="Arial" w:cs="Arial"/>
          <w:sz w:val="22"/>
          <w:szCs w:val="22"/>
        </w:rPr>
        <w:t>ε’</w:t>
      </w:r>
      <w:r>
        <w:rPr>
          <w:rFonts w:ascii="Arial" w:hAnsi="Arial" w:cs="Arial"/>
          <w:sz w:val="22"/>
          <w:szCs w:val="22"/>
        </w:rPr>
        <w:t xml:space="preserve"> = 2.38 at 25 </w:t>
      </w:r>
      <w:r w:rsidRPr="00CA7E38">
        <w:rPr>
          <w:rFonts w:ascii="Arial" w:hAnsi="Arial" w:cs="Arial"/>
          <w:sz w:val="22"/>
          <w:szCs w:val="22"/>
        </w:rPr>
        <w:t>°C</w:t>
      </w:r>
      <w:r w:rsidRPr="00CA7E38">
        <w:rPr>
          <w:rFonts w:ascii="Arial" w:hAnsi="Arial" w:cs="Arial"/>
          <w:sz w:val="22"/>
          <w:szCs w:val="22"/>
          <w:lang w:val="en-US"/>
        </w:rPr>
        <w:t>).</w:t>
      </w:r>
      <w:r>
        <w:rPr>
          <w:rFonts w:ascii="Arial" w:hAnsi="Arial" w:cs="Arial"/>
          <w:sz w:val="22"/>
          <w:szCs w:val="22"/>
          <w:lang w:val="en-US"/>
        </w:rPr>
        <w:fldChar w:fldCharType="begin" w:fldLock="1"/>
      </w:r>
      <w:r w:rsidR="00CF337E">
        <w:rPr>
          <w:rFonts w:ascii="Arial" w:hAnsi="Arial" w:cs="Arial"/>
          <w:sz w:val="22"/>
          <w:szCs w:val="22"/>
          <w:lang w:val="en-US"/>
        </w:rPr>
        <w:instrText>ADDIN CSL_CITATION {"citationItems":[{"id":"ITEM-1","itemData":{"author":[{"dropping-particle":"","family":"Akerlof","given":"Gósta","non-dropping-particle":"","parse-names":false,"suffix":""}],"container-title":"The Journal of the American Chemical Society","id":"ITEM-1","issue":"11","issued":{"date-parts":[["1932"]]},"page":"4125-4139","title":"DIELECTRIC CONSTANTS OF SOME ORGANIC SOLVENT-WATER MIXTURES AT VARIOUS TEMPERATURES","type":"article-journal","volume":"54"},"uris":["http://www.mendeley.com/documents/?uuid=acddaa5b-63ec-34b6-a5d7-21f7bf7c02eb"]}],"mendeley":{"formattedCitation":"[2]","plainTextFormattedCitation":"[2]","previouslyFormattedCitation":"&lt;sup&gt;[2]&lt;/sup&gt;"},"properties":{"noteIndex":0},"schema":"https://github.com/citation-style-language/schema/raw/master/csl-citation.json"}</w:instrText>
      </w:r>
      <w:r>
        <w:rPr>
          <w:rFonts w:ascii="Arial" w:hAnsi="Arial" w:cs="Arial"/>
          <w:sz w:val="22"/>
          <w:szCs w:val="22"/>
          <w:lang w:val="en-US"/>
        </w:rPr>
        <w:fldChar w:fldCharType="separate"/>
      </w:r>
      <w:r w:rsidR="001E4A3B" w:rsidRPr="00CF337E">
        <w:rPr>
          <w:rFonts w:ascii="Arial" w:hAnsi="Arial" w:cs="Arial"/>
          <w:noProof/>
          <w:sz w:val="22"/>
          <w:szCs w:val="22"/>
          <w:lang w:val="en-US"/>
        </w:rPr>
        <w:t>[2]</w:t>
      </w:r>
      <w:r>
        <w:rPr>
          <w:rFonts w:ascii="Arial" w:hAnsi="Arial" w:cs="Arial"/>
          <w:sz w:val="22"/>
          <w:szCs w:val="22"/>
          <w:lang w:val="en-US"/>
        </w:rPr>
        <w:fldChar w:fldCharType="end"/>
      </w:r>
      <w:r w:rsidR="007159B1">
        <w:rPr>
          <w:rFonts w:ascii="Arial" w:hAnsi="Arial" w:cs="Arial"/>
          <w:sz w:val="22"/>
          <w:szCs w:val="22"/>
          <w:vertAlign w:val="superscript"/>
          <w:lang w:val="en-US"/>
        </w:rPr>
        <w:t xml:space="preserve"> </w:t>
      </w:r>
      <w:r w:rsidRPr="00820E69">
        <w:rPr>
          <w:rFonts w:ascii="Arial" w:hAnsi="Arial" w:cs="Arial"/>
          <w:sz w:val="22"/>
          <w:szCs w:val="22"/>
          <w:lang w:val="en-US"/>
        </w:rPr>
        <w:t>Whilst no clear relationship between applied frequency and permittivity</w:t>
      </w:r>
      <w:r>
        <w:rPr>
          <w:rFonts w:ascii="Arial" w:hAnsi="Arial" w:cs="Arial"/>
          <w:sz w:val="22"/>
          <w:szCs w:val="22"/>
          <w:vertAlign w:val="superscript"/>
          <w:lang w:val="en-US"/>
        </w:rPr>
        <w:t xml:space="preserve"> </w:t>
      </w:r>
      <w:r>
        <w:rPr>
          <w:rFonts w:ascii="Arial" w:hAnsi="Arial" w:cs="Arial"/>
          <w:sz w:val="22"/>
          <w:szCs w:val="22"/>
          <w:lang w:val="en-US"/>
        </w:rPr>
        <w:lastRenderedPageBreak/>
        <w:t>could be determined for the samples, in all cases the solution containing DMPO yielded the highest permittivity value.</w:t>
      </w:r>
      <w:r>
        <w:rPr>
          <w:rFonts w:ascii="Arial" w:hAnsi="Arial" w:cs="Arial"/>
          <w:sz w:val="22"/>
          <w:szCs w:val="22"/>
        </w:rPr>
        <w:t xml:space="preserve"> In contrast,</w:t>
      </w:r>
      <w:r w:rsidRPr="001B2D88">
        <w:rPr>
          <w:rFonts w:ascii="Arial" w:hAnsi="Arial" w:cs="Arial"/>
          <w:sz w:val="22"/>
          <w:szCs w:val="22"/>
          <w:lang w:val="en-US"/>
        </w:rPr>
        <w:t xml:space="preserve"> there </w:t>
      </w:r>
      <w:r>
        <w:rPr>
          <w:rFonts w:ascii="Arial" w:hAnsi="Arial" w:cs="Arial"/>
          <w:sz w:val="22"/>
          <w:szCs w:val="22"/>
          <w:lang w:val="en-US"/>
        </w:rPr>
        <w:t>is</w:t>
      </w:r>
      <w:r w:rsidRPr="001B2D88">
        <w:rPr>
          <w:rFonts w:ascii="Arial" w:hAnsi="Arial" w:cs="Arial"/>
          <w:sz w:val="22"/>
          <w:szCs w:val="22"/>
          <w:lang w:val="en-US"/>
        </w:rPr>
        <w:t xml:space="preserve"> a clear trend in the loss </w:t>
      </w:r>
      <w:r w:rsidRPr="001B2D88">
        <w:rPr>
          <w:rFonts w:ascii="Arial" w:hAnsi="Arial" w:cs="Arial"/>
          <w:sz w:val="22"/>
          <w:szCs w:val="22"/>
        </w:rPr>
        <w:t xml:space="preserve">ε’’ </w:t>
      </w:r>
      <w:r>
        <w:rPr>
          <w:rFonts w:ascii="Arial" w:hAnsi="Arial" w:cs="Arial"/>
          <w:sz w:val="22"/>
          <w:szCs w:val="22"/>
        </w:rPr>
        <w:t>parameter</w:t>
      </w:r>
      <w:r w:rsidRPr="001B2D88">
        <w:rPr>
          <w:rFonts w:ascii="Arial" w:hAnsi="Arial" w:cs="Arial"/>
          <w:sz w:val="22"/>
          <w:szCs w:val="22"/>
        </w:rPr>
        <w:t xml:space="preserve">. </w:t>
      </w:r>
      <w:r>
        <w:rPr>
          <w:rFonts w:ascii="Arial" w:hAnsi="Arial" w:cs="Arial"/>
          <w:sz w:val="22"/>
          <w:szCs w:val="22"/>
        </w:rPr>
        <w:t>Measuring at higher frequencies was found to give an increase in loss of all samples. It is important to note that multifrequency dielectric measurements are not possible on the dual-mode resonator, as such these measurements were performed on a parallel plate resonator operating at 4 unique modes (1 – 4 GHz) as well as a resonator operating at 5.7 GHz</w:t>
      </w:r>
      <w:r w:rsidR="007159B1">
        <w:rPr>
          <w:rFonts w:ascii="Arial" w:hAnsi="Arial" w:cs="Arial"/>
          <w:sz w:val="22"/>
          <w:szCs w:val="22"/>
        </w:rPr>
        <w:t xml:space="preserve">. </w:t>
      </w:r>
      <w:r>
        <w:rPr>
          <w:rFonts w:ascii="Arial" w:hAnsi="Arial" w:cs="Arial"/>
          <w:sz w:val="22"/>
          <w:szCs w:val="22"/>
        </w:rPr>
        <w:t>This is the closest measurement frequency available to 6.1 GHz, which is the operating frequency of the heating mode within the dual-mode resonator. Encouragingly, at 5.7 GHz, the loss (</w:t>
      </w:r>
      <w:r w:rsidRPr="00CA7E38">
        <w:rPr>
          <w:rFonts w:ascii="Arial" w:hAnsi="Arial" w:cs="Arial"/>
          <w:sz w:val="22"/>
          <w:szCs w:val="22"/>
        </w:rPr>
        <w:t>ε’’</w:t>
      </w:r>
      <w:r>
        <w:rPr>
          <w:rFonts w:ascii="Arial" w:hAnsi="Arial" w:cs="Arial"/>
          <w:sz w:val="22"/>
          <w:szCs w:val="22"/>
        </w:rPr>
        <w:t xml:space="preserve">) of the DMPO solution is greater than the PBN solutions by </w:t>
      </w:r>
      <w:r w:rsidRPr="000C658F">
        <w:rPr>
          <w:rFonts w:ascii="Arial" w:hAnsi="Arial" w:cs="Arial"/>
          <w:i/>
          <w:iCs/>
          <w:sz w:val="22"/>
          <w:szCs w:val="22"/>
        </w:rPr>
        <w:t>ca.</w:t>
      </w:r>
      <w:r>
        <w:rPr>
          <w:rFonts w:ascii="Arial" w:hAnsi="Arial" w:cs="Arial"/>
          <w:sz w:val="22"/>
          <w:szCs w:val="22"/>
        </w:rPr>
        <w:t xml:space="preserve"> 6%. Ultimately, due to the lower loss of the AIBN</w:t>
      </w:r>
      <w:r w:rsidR="007E27F1">
        <w:rPr>
          <w:rFonts w:ascii="Arial" w:hAnsi="Arial" w:cs="Arial"/>
          <w:sz w:val="22"/>
          <w:szCs w:val="22"/>
        </w:rPr>
        <w:t>/PBN/Toluene</w:t>
      </w:r>
      <w:r>
        <w:rPr>
          <w:rFonts w:ascii="Arial" w:hAnsi="Arial" w:cs="Arial"/>
          <w:sz w:val="22"/>
          <w:szCs w:val="22"/>
        </w:rPr>
        <w:t xml:space="preserve"> solutions, this </w:t>
      </w:r>
      <w:r w:rsidR="007159B1">
        <w:rPr>
          <w:rFonts w:ascii="Arial" w:hAnsi="Arial" w:cs="Arial"/>
          <w:sz w:val="22"/>
          <w:szCs w:val="22"/>
        </w:rPr>
        <w:t xml:space="preserve">is the </w:t>
      </w:r>
      <w:r>
        <w:rPr>
          <w:rFonts w:ascii="Arial" w:hAnsi="Arial" w:cs="Arial"/>
          <w:sz w:val="22"/>
          <w:szCs w:val="22"/>
        </w:rPr>
        <w:t xml:space="preserve">reason </w:t>
      </w:r>
      <w:r w:rsidR="007159B1">
        <w:rPr>
          <w:rFonts w:ascii="Arial" w:hAnsi="Arial" w:cs="Arial"/>
          <w:sz w:val="22"/>
          <w:szCs w:val="22"/>
        </w:rPr>
        <w:t xml:space="preserve">why </w:t>
      </w:r>
      <w:r>
        <w:rPr>
          <w:rFonts w:ascii="Arial" w:hAnsi="Arial" w:cs="Arial"/>
          <w:sz w:val="22"/>
          <w:szCs w:val="22"/>
        </w:rPr>
        <w:t xml:space="preserve">more power is required to induce dielectric heating, elucidating a slight difference in dielectric properties between these two solutions effected by the alteration in spin trap. </w:t>
      </w:r>
    </w:p>
    <w:p w14:paraId="16F38AC7" w14:textId="5141D3F2" w:rsidR="003D7572" w:rsidRPr="00A11298" w:rsidRDefault="003D7572" w:rsidP="00981B9A">
      <w:pPr>
        <w:rPr>
          <w:rFonts w:ascii="Arial" w:hAnsi="Arial" w:cs="Arial"/>
          <w:b/>
          <w:bCs/>
          <w:lang w:val="en-US"/>
        </w:rPr>
      </w:pPr>
      <w:r w:rsidRPr="00A11298">
        <w:rPr>
          <w:rFonts w:ascii="Arial" w:hAnsi="Arial" w:cs="Arial"/>
          <w:b/>
          <w:bCs/>
          <w:lang w:val="en-US"/>
        </w:rPr>
        <w:t>References</w:t>
      </w:r>
    </w:p>
    <w:p w14:paraId="5574F07A" w14:textId="7A494F54" w:rsidR="00CF337E" w:rsidRPr="001D1EEC" w:rsidRDefault="003D7572" w:rsidP="00CF337E">
      <w:pPr>
        <w:widowControl w:val="0"/>
        <w:autoSpaceDE w:val="0"/>
        <w:autoSpaceDN w:val="0"/>
        <w:adjustRightInd w:val="0"/>
        <w:spacing w:line="240" w:lineRule="auto"/>
        <w:rPr>
          <w:rFonts w:ascii="Arial" w:hAnsi="Arial" w:cs="Arial"/>
          <w:noProof/>
          <w:sz w:val="22"/>
          <w:szCs w:val="22"/>
        </w:rPr>
      </w:pPr>
      <w:r w:rsidRPr="001D1EEC">
        <w:rPr>
          <w:rFonts w:ascii="Arial" w:hAnsi="Arial" w:cs="Arial"/>
          <w:b/>
          <w:bCs/>
          <w:sz w:val="22"/>
          <w:szCs w:val="22"/>
          <w:u w:val="single"/>
          <w:lang w:val="en-US"/>
        </w:rPr>
        <w:fldChar w:fldCharType="begin" w:fldLock="1"/>
      </w:r>
      <w:r w:rsidRPr="001D1EEC">
        <w:rPr>
          <w:rFonts w:ascii="Arial" w:hAnsi="Arial" w:cs="Arial"/>
          <w:b/>
          <w:bCs/>
          <w:sz w:val="22"/>
          <w:szCs w:val="22"/>
          <w:u w:val="single"/>
          <w:lang w:val="en-US"/>
        </w:rPr>
        <w:instrText xml:space="preserve">ADDIN Mendeley Bibliography CSL_BIBLIOGRAPHY </w:instrText>
      </w:r>
      <w:r w:rsidRPr="001D1EEC">
        <w:rPr>
          <w:rFonts w:ascii="Arial" w:hAnsi="Arial" w:cs="Arial"/>
          <w:b/>
          <w:bCs/>
          <w:sz w:val="22"/>
          <w:szCs w:val="22"/>
          <w:u w:val="single"/>
          <w:lang w:val="en-US"/>
        </w:rPr>
        <w:fldChar w:fldCharType="separate"/>
      </w:r>
      <w:r w:rsidR="00CF337E" w:rsidRPr="001D1EEC">
        <w:rPr>
          <w:rFonts w:ascii="Arial" w:hAnsi="Arial" w:cs="Arial"/>
          <w:noProof/>
          <w:sz w:val="22"/>
          <w:szCs w:val="22"/>
        </w:rPr>
        <w:t xml:space="preserve">1. J. A. Cuenca, K. Bugler, S. Taylor, D. Morgan, P. Williams, J. Bauer, and A. Porch, J. Phys. Condens. Matter </w:t>
      </w:r>
      <w:r w:rsidR="00CF337E" w:rsidRPr="001D1EEC">
        <w:rPr>
          <w:rFonts w:ascii="Arial" w:hAnsi="Arial" w:cs="Arial"/>
          <w:b/>
          <w:bCs/>
          <w:noProof/>
          <w:sz w:val="22"/>
          <w:szCs w:val="22"/>
        </w:rPr>
        <w:t>28</w:t>
      </w:r>
      <w:r w:rsidR="00CF337E" w:rsidRPr="001D1EEC">
        <w:rPr>
          <w:rFonts w:ascii="Arial" w:hAnsi="Arial" w:cs="Arial"/>
          <w:noProof/>
          <w:sz w:val="22"/>
          <w:szCs w:val="22"/>
        </w:rPr>
        <w:t>, (2016).</w:t>
      </w:r>
    </w:p>
    <w:p w14:paraId="023A6B57" w14:textId="77777777" w:rsidR="00CF337E" w:rsidRPr="001D1EEC" w:rsidRDefault="00CF337E" w:rsidP="00CF337E">
      <w:pPr>
        <w:widowControl w:val="0"/>
        <w:autoSpaceDE w:val="0"/>
        <w:autoSpaceDN w:val="0"/>
        <w:adjustRightInd w:val="0"/>
        <w:spacing w:line="240" w:lineRule="auto"/>
        <w:rPr>
          <w:rFonts w:ascii="Arial" w:hAnsi="Arial" w:cs="Arial"/>
          <w:noProof/>
          <w:sz w:val="22"/>
          <w:szCs w:val="22"/>
        </w:rPr>
      </w:pPr>
      <w:r w:rsidRPr="001D1EEC">
        <w:rPr>
          <w:rFonts w:ascii="Arial" w:hAnsi="Arial" w:cs="Arial"/>
          <w:noProof/>
          <w:sz w:val="22"/>
          <w:szCs w:val="22"/>
        </w:rPr>
        <w:t xml:space="preserve">2. G. Akerlof, J. Am. Chem. Soc. </w:t>
      </w:r>
      <w:r w:rsidRPr="001D1EEC">
        <w:rPr>
          <w:rFonts w:ascii="Arial" w:hAnsi="Arial" w:cs="Arial"/>
          <w:b/>
          <w:bCs/>
          <w:noProof/>
          <w:sz w:val="22"/>
          <w:szCs w:val="22"/>
        </w:rPr>
        <w:t>54</w:t>
      </w:r>
      <w:r w:rsidRPr="001D1EEC">
        <w:rPr>
          <w:rFonts w:ascii="Arial" w:hAnsi="Arial" w:cs="Arial"/>
          <w:noProof/>
          <w:sz w:val="22"/>
          <w:szCs w:val="22"/>
        </w:rPr>
        <w:t>, 4125 (1932).</w:t>
      </w:r>
    </w:p>
    <w:p w14:paraId="655236B0" w14:textId="5512C786" w:rsidR="003D7572" w:rsidRPr="003D7572" w:rsidRDefault="003D7572" w:rsidP="00981B9A">
      <w:pPr>
        <w:rPr>
          <w:b/>
          <w:bCs/>
          <w:u w:val="single"/>
          <w:lang w:val="en-US"/>
        </w:rPr>
      </w:pPr>
      <w:r w:rsidRPr="001D1EEC">
        <w:rPr>
          <w:rFonts w:ascii="Arial" w:hAnsi="Arial" w:cs="Arial"/>
          <w:b/>
          <w:bCs/>
          <w:sz w:val="22"/>
          <w:szCs w:val="22"/>
          <w:u w:val="single"/>
          <w:lang w:val="en-US"/>
        </w:rPr>
        <w:fldChar w:fldCharType="end"/>
      </w:r>
    </w:p>
    <w:sectPr w:rsidR="003D7572" w:rsidRPr="003D7572">
      <w:footerReference w:type="even" r:id="rId10"/>
      <w:footerReference w:type="default" r:id="rId11"/>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3D62CF" w14:textId="77777777" w:rsidR="00C41E7C" w:rsidRDefault="00C41E7C" w:rsidP="00A11298">
      <w:pPr>
        <w:spacing w:after="0" w:line="240" w:lineRule="auto"/>
      </w:pPr>
      <w:r>
        <w:separator/>
      </w:r>
    </w:p>
  </w:endnote>
  <w:endnote w:type="continuationSeparator" w:id="0">
    <w:p w14:paraId="024C03DE" w14:textId="77777777" w:rsidR="00C41E7C" w:rsidRDefault="00C41E7C" w:rsidP="00A112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97857225"/>
      <w:docPartObj>
        <w:docPartGallery w:val="Page Numbers (Bottom of Page)"/>
        <w:docPartUnique/>
      </w:docPartObj>
    </w:sdtPr>
    <w:sdtContent>
      <w:p w14:paraId="7DA81185" w14:textId="455815CA" w:rsidR="00A11298" w:rsidRDefault="00A11298" w:rsidP="008D1B2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FC402B0" w14:textId="77777777" w:rsidR="00A11298" w:rsidRDefault="00A11298" w:rsidP="00A1129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81072237"/>
      <w:docPartObj>
        <w:docPartGallery w:val="Page Numbers (Bottom of Page)"/>
        <w:docPartUnique/>
      </w:docPartObj>
    </w:sdtPr>
    <w:sdtContent>
      <w:p w14:paraId="6F27031B" w14:textId="43569ED1" w:rsidR="00A11298" w:rsidRDefault="00A11298" w:rsidP="008D1B2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77D5B5F" w14:textId="77777777" w:rsidR="00A11298" w:rsidRDefault="00A11298" w:rsidP="00A1129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D6C541" w14:textId="77777777" w:rsidR="00C41E7C" w:rsidRDefault="00C41E7C" w:rsidP="00A11298">
      <w:pPr>
        <w:spacing w:after="0" w:line="240" w:lineRule="auto"/>
      </w:pPr>
      <w:r>
        <w:separator/>
      </w:r>
    </w:p>
  </w:footnote>
  <w:footnote w:type="continuationSeparator" w:id="0">
    <w:p w14:paraId="1A3710B6" w14:textId="77777777" w:rsidR="00C41E7C" w:rsidRDefault="00C41E7C" w:rsidP="00A1129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653A"/>
    <w:rsid w:val="000109F3"/>
    <w:rsid w:val="00023607"/>
    <w:rsid w:val="000C0CB3"/>
    <w:rsid w:val="00141D9D"/>
    <w:rsid w:val="001B0889"/>
    <w:rsid w:val="001D1EEC"/>
    <w:rsid w:val="001E4A3B"/>
    <w:rsid w:val="00215C64"/>
    <w:rsid w:val="002D3096"/>
    <w:rsid w:val="002E71A3"/>
    <w:rsid w:val="002F62C6"/>
    <w:rsid w:val="00304A84"/>
    <w:rsid w:val="003C56E9"/>
    <w:rsid w:val="003D7572"/>
    <w:rsid w:val="003F3EFD"/>
    <w:rsid w:val="004C2491"/>
    <w:rsid w:val="004D57E1"/>
    <w:rsid w:val="004F0FDC"/>
    <w:rsid w:val="00535820"/>
    <w:rsid w:val="00543FE7"/>
    <w:rsid w:val="00576B59"/>
    <w:rsid w:val="0059511C"/>
    <w:rsid w:val="00596BBA"/>
    <w:rsid w:val="005E4442"/>
    <w:rsid w:val="005F4425"/>
    <w:rsid w:val="00680807"/>
    <w:rsid w:val="007159B1"/>
    <w:rsid w:val="00737037"/>
    <w:rsid w:val="00752EC3"/>
    <w:rsid w:val="007E27F1"/>
    <w:rsid w:val="00805C4B"/>
    <w:rsid w:val="008A5BBD"/>
    <w:rsid w:val="008A5D4D"/>
    <w:rsid w:val="00900A55"/>
    <w:rsid w:val="009535C2"/>
    <w:rsid w:val="00981B9A"/>
    <w:rsid w:val="00A05E7E"/>
    <w:rsid w:val="00A11298"/>
    <w:rsid w:val="00A41F91"/>
    <w:rsid w:val="00A9757A"/>
    <w:rsid w:val="00B36CC8"/>
    <w:rsid w:val="00B449E4"/>
    <w:rsid w:val="00BD0A36"/>
    <w:rsid w:val="00BD3225"/>
    <w:rsid w:val="00C41E7C"/>
    <w:rsid w:val="00C5653A"/>
    <w:rsid w:val="00C85F18"/>
    <w:rsid w:val="00C906FF"/>
    <w:rsid w:val="00CC6A8F"/>
    <w:rsid w:val="00CE77A0"/>
    <w:rsid w:val="00CF337E"/>
    <w:rsid w:val="00D05598"/>
    <w:rsid w:val="00E831DB"/>
    <w:rsid w:val="00F4204C"/>
    <w:rsid w:val="00FF78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E576C5"/>
  <w15:chartTrackingRefBased/>
  <w15:docId w15:val="{6367DD52-75F7-4C3C-BD79-D59A22CB4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Times New Roman"/>
        <w:sz w:val="24"/>
        <w:szCs w:val="24"/>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31DB"/>
  </w:style>
  <w:style w:type="paragraph" w:styleId="Heading1">
    <w:name w:val="heading 1"/>
    <w:basedOn w:val="Normal"/>
    <w:link w:val="Heading1Char"/>
    <w:uiPriority w:val="9"/>
    <w:qFormat/>
    <w:rsid w:val="001E4A3B"/>
    <w:pPr>
      <w:spacing w:before="100" w:beforeAutospacing="1" w:after="100" w:afterAutospacing="1" w:line="240" w:lineRule="auto"/>
      <w:outlineLvl w:val="0"/>
    </w:pPr>
    <w:rPr>
      <w:rFonts w:ascii="Times New Roman" w:eastAsia="Times New Roman" w:hAnsi="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215C64"/>
    <w:pPr>
      <w:spacing w:after="200" w:line="240" w:lineRule="auto"/>
    </w:pPr>
    <w:rPr>
      <w:rFonts w:asciiTheme="minorHAnsi" w:hAnsiTheme="minorHAnsi" w:cstheme="minorBidi"/>
      <w:i/>
      <w:iCs/>
      <w:color w:val="44546A" w:themeColor="text2"/>
      <w:sz w:val="18"/>
      <w:szCs w:val="18"/>
    </w:rPr>
  </w:style>
  <w:style w:type="character" w:styleId="CommentReference">
    <w:name w:val="annotation reference"/>
    <w:basedOn w:val="DefaultParagraphFont"/>
    <w:uiPriority w:val="99"/>
    <w:semiHidden/>
    <w:unhideWhenUsed/>
    <w:rsid w:val="00981B9A"/>
    <w:rPr>
      <w:sz w:val="16"/>
      <w:szCs w:val="16"/>
    </w:rPr>
  </w:style>
  <w:style w:type="paragraph" w:styleId="CommentText">
    <w:name w:val="annotation text"/>
    <w:basedOn w:val="Normal"/>
    <w:link w:val="CommentTextChar"/>
    <w:uiPriority w:val="99"/>
    <w:unhideWhenUsed/>
    <w:rsid w:val="00981B9A"/>
    <w:pPr>
      <w:spacing w:line="240" w:lineRule="auto"/>
    </w:pPr>
    <w:rPr>
      <w:sz w:val="20"/>
      <w:szCs w:val="20"/>
    </w:rPr>
  </w:style>
  <w:style w:type="character" w:customStyle="1" w:styleId="CommentTextChar">
    <w:name w:val="Comment Text Char"/>
    <w:basedOn w:val="DefaultParagraphFont"/>
    <w:link w:val="CommentText"/>
    <w:uiPriority w:val="99"/>
    <w:rsid w:val="00981B9A"/>
    <w:rPr>
      <w:sz w:val="20"/>
      <w:szCs w:val="20"/>
    </w:rPr>
  </w:style>
  <w:style w:type="character" w:customStyle="1" w:styleId="Heading1Char">
    <w:name w:val="Heading 1 Char"/>
    <w:basedOn w:val="DefaultParagraphFont"/>
    <w:link w:val="Heading1"/>
    <w:uiPriority w:val="9"/>
    <w:rsid w:val="001E4A3B"/>
    <w:rPr>
      <w:rFonts w:ascii="Times New Roman" w:eastAsia="Times New Roman" w:hAnsi="Times New Roman"/>
      <w:b/>
      <w:bCs/>
      <w:kern w:val="36"/>
      <w:sz w:val="48"/>
      <w:szCs w:val="48"/>
      <w:lang w:eastAsia="en-GB"/>
    </w:rPr>
  </w:style>
  <w:style w:type="paragraph" w:customStyle="1" w:styleId="pf0">
    <w:name w:val="pf0"/>
    <w:basedOn w:val="Normal"/>
    <w:rsid w:val="001E4A3B"/>
    <w:pPr>
      <w:spacing w:before="100" w:beforeAutospacing="1" w:after="100" w:afterAutospacing="1" w:line="240" w:lineRule="auto"/>
    </w:pPr>
    <w:rPr>
      <w:rFonts w:ascii="Times New Roman" w:eastAsia="Times New Roman" w:hAnsi="Times New Roman"/>
      <w:lang w:eastAsia="en-GB"/>
    </w:rPr>
  </w:style>
  <w:style w:type="character" w:customStyle="1" w:styleId="cf01">
    <w:name w:val="cf01"/>
    <w:basedOn w:val="DefaultParagraphFont"/>
    <w:rsid w:val="001E4A3B"/>
    <w:rPr>
      <w:rFonts w:ascii="Segoe UI" w:hAnsi="Segoe UI" w:cs="Segoe UI" w:hint="default"/>
      <w:sz w:val="18"/>
      <w:szCs w:val="18"/>
    </w:rPr>
  </w:style>
  <w:style w:type="paragraph" w:styleId="CommentSubject">
    <w:name w:val="annotation subject"/>
    <w:basedOn w:val="CommentText"/>
    <w:next w:val="CommentText"/>
    <w:link w:val="CommentSubjectChar"/>
    <w:uiPriority w:val="99"/>
    <w:semiHidden/>
    <w:unhideWhenUsed/>
    <w:rsid w:val="00BD0A36"/>
    <w:rPr>
      <w:b/>
      <w:bCs/>
    </w:rPr>
  </w:style>
  <w:style w:type="character" w:customStyle="1" w:styleId="CommentSubjectChar">
    <w:name w:val="Comment Subject Char"/>
    <w:basedOn w:val="CommentTextChar"/>
    <w:link w:val="CommentSubject"/>
    <w:uiPriority w:val="99"/>
    <w:semiHidden/>
    <w:rsid w:val="00BD0A36"/>
    <w:rPr>
      <w:b/>
      <w:bCs/>
      <w:sz w:val="20"/>
      <w:szCs w:val="20"/>
    </w:rPr>
  </w:style>
  <w:style w:type="paragraph" w:styleId="Footer">
    <w:name w:val="footer"/>
    <w:basedOn w:val="Normal"/>
    <w:link w:val="FooterChar"/>
    <w:uiPriority w:val="99"/>
    <w:unhideWhenUsed/>
    <w:rsid w:val="00A1129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298"/>
  </w:style>
  <w:style w:type="character" w:styleId="PageNumber">
    <w:name w:val="page number"/>
    <w:basedOn w:val="DefaultParagraphFont"/>
    <w:uiPriority w:val="99"/>
    <w:semiHidden/>
    <w:unhideWhenUsed/>
    <w:rsid w:val="00A112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5948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7F0739-9555-418F-AD7B-31DD7111C7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1650</Words>
  <Characters>9411</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Gess Magri</dc:creator>
  <cp:keywords/>
  <dc:description/>
  <cp:lastModifiedBy>Gess Magri</cp:lastModifiedBy>
  <cp:revision>2</cp:revision>
  <dcterms:created xsi:type="dcterms:W3CDTF">2022-09-23T09:05:00Z</dcterms:created>
  <dcterms:modified xsi:type="dcterms:W3CDTF">2022-09-23T09:05:00Z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http://www.zotero.org/styles/apa-5th-edition</vt:lpwstr>
  </property>
  <property fmtid="{D5CDD505-2E9C-101B-9397-08002B2CF9AE}" pid="5" name="Mendeley Recent Style Name 1_1">
    <vt:lpwstr>American Psychological Association 5th edition</vt:lpwstr>
  </property>
  <property fmtid="{D5CDD505-2E9C-101B-9397-08002B2CF9AE}" pid="6" name="Mendeley Recent Style Id 2_1">
    <vt:lpwstr>http://www.zotero.org/styles/apa-no-doi-no-issue</vt:lpwstr>
  </property>
  <property fmtid="{D5CDD505-2E9C-101B-9397-08002B2CF9AE}" pid="7" name="Mendeley Recent Style Name 2_1">
    <vt:lpwstr>American Psychological Association 6th edition (no DOIs, no issue numbers)</vt:lpwstr>
  </property>
  <property fmtid="{D5CDD505-2E9C-101B-9397-08002B2CF9AE}" pid="8" name="Mendeley Recent Style Id 3_1">
    <vt:lpwstr>http://www.zotero.org/styles/apa</vt:lpwstr>
  </property>
  <property fmtid="{D5CDD505-2E9C-101B-9397-08002B2CF9AE}" pid="9" name="Mendeley Recent Style Name 3_1">
    <vt:lpwstr>American Psychological Association 7th edition</vt:lpwstr>
  </property>
  <property fmtid="{D5CDD505-2E9C-101B-9397-08002B2CF9AE}" pid="10" name="Mendeley Recent Style Id 4_1">
    <vt:lpwstr>http://www.zotero.org/styles/american-sociological-association</vt:lpwstr>
  </property>
  <property fmtid="{D5CDD505-2E9C-101B-9397-08002B2CF9AE}" pid="11" name="Mendeley Recent Style Name 4_1">
    <vt:lpwstr>American Sociological Association 6th edition</vt:lpwstr>
  </property>
  <property fmtid="{D5CDD505-2E9C-101B-9397-08002B2CF9AE}" pid="12" name="Mendeley Recent Style Id 5_1">
    <vt:lpwstr>http://www.zotero.org/styles/angewandte-chemie</vt:lpwstr>
  </property>
  <property fmtid="{D5CDD505-2E9C-101B-9397-08002B2CF9AE}" pid="13" name="Mendeley Recent Style Name 5_1">
    <vt:lpwstr>Angewandte Chemie International Edition</vt:lpwstr>
  </property>
  <property fmtid="{D5CDD505-2E9C-101B-9397-08002B2CF9AE}" pid="14" name="Mendeley Recent Style Id 6_1">
    <vt:lpwstr>http://www.zotero.org/styles/chicago-author-date</vt:lpwstr>
  </property>
  <property fmtid="{D5CDD505-2E9C-101B-9397-08002B2CF9AE}" pid="15" name="Mendeley Recent Style Name 6_1">
    <vt:lpwstr>Chicago Manual of Style 17th edition (author-date)</vt:lpwstr>
  </property>
  <property fmtid="{D5CDD505-2E9C-101B-9397-08002B2CF9AE}" pid="16" name="Mendeley Recent Style Id 7_1">
    <vt:lpwstr>http://www.zotero.org/styles/ieee</vt:lpwstr>
  </property>
  <property fmtid="{D5CDD505-2E9C-101B-9397-08002B2CF9AE}" pid="17" name="Mendeley Recent Style Name 7_1">
    <vt:lpwstr>IEEE</vt:lpwstr>
  </property>
  <property fmtid="{D5CDD505-2E9C-101B-9397-08002B2CF9AE}" pid="18" name="Mendeley Recent Style Id 8_1">
    <vt:lpwstr>http://www.zotero.org/styles/research-on-chemical-intermediates</vt:lpwstr>
  </property>
  <property fmtid="{D5CDD505-2E9C-101B-9397-08002B2CF9AE}" pid="19" name="Mendeley Recent Style Name 8_1">
    <vt:lpwstr>Research on Chemical Intermediates</vt:lpwstr>
  </property>
  <property fmtid="{D5CDD505-2E9C-101B-9397-08002B2CF9AE}" pid="20" name="Mendeley Recent Style Id 9_1">
    <vt:lpwstr>http://www.zotero.org/styles/springer-basic-author-date</vt:lpwstr>
  </property>
  <property fmtid="{D5CDD505-2E9C-101B-9397-08002B2CF9AE}" pid="21" name="Mendeley Recent Style Name 9_1">
    <vt:lpwstr>Springer - Basic (author-date)</vt:lpwstr>
  </property>
  <property fmtid="{D5CDD505-2E9C-101B-9397-08002B2CF9AE}" pid="22" name="Mendeley Document_1">
    <vt:lpwstr>True</vt:lpwstr>
  </property>
  <property fmtid="{D5CDD505-2E9C-101B-9397-08002B2CF9AE}" pid="23" name="Mendeley Unique User Id_1">
    <vt:lpwstr>9d471659-42f0-3778-a8ce-a1548b238e5c</vt:lpwstr>
  </property>
  <property fmtid="{D5CDD505-2E9C-101B-9397-08002B2CF9AE}" pid="24" name="Mendeley Citation Style_1">
    <vt:lpwstr>http://www.zotero.org/styles/research-on-chemical-intermediates</vt:lpwstr>
  </property>
</Properties>
</file>