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 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Baseline characteristics of the first 94 patients with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mCSPC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treated with docetaxel and ADT between July 2015 to December 2017 in the South East Health Care region of Sweden. Corresponding data from the CHAARTED and STAMPEDE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randomised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trials [10, 11] are displayed for comparison.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515"/>
        <w:gridCol w:w="1583"/>
        <w:gridCol w:w="1583"/>
        <w:gridCol w:w="1819"/>
      </w:tblGrid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N=94 (100%)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CHAARTED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ADT + Docetaxel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STAMPEDE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of care + Docetaxel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Age, years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Median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Range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49-79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36-88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40-81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Prostate-specific antigen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PSA (µg/L), at diagnosis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Median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Range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2-7367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50,9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0,2-8540,1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1-9999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Co-morbidities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, n (%)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Diabetes mellitus I and II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Hyperlipidemia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Hypertension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Previous malignant disease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50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(53 %)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(17 %)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(24 %)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(40 %)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(11 %)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56 (9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208 (35 %)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Performance status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(ECOG)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2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   2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(72 %)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(23 %)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 (5 % 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277 (69, 8 %)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114 (28,7 %)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(1,5 %)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 category at diagnosis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3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T1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T2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T3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T4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TX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Not assessed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(18 %)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(49 %)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11(12 %)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(4 %)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(11 %)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 (10 %)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390 (66 %)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 (18 %)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35(6 %)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 category at diagnosis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3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N0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N1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NX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(31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 (45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(24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 (44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 (50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(6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Metastases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Non-distant metastasis 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Distant metastases 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Location      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Bone metastases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Liver metastases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Lung metastases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Lymph node metastases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(20 %)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 (80 %)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(79 %)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(13 %)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(57 %)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 (61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 (52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 (17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Gleason sum score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≤ 6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7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8-10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Unknown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(29 %)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 (64 %)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(5 %)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21 (5.3)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96 (24.2)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241 (60.7)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39 (9.8)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≤ 7 110 (19 %)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436 (74 %)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(8 %)</w:t>
            </w: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Histology (WHO 2004)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Acinar adenocarcinoma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Ductal carcinoma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Mixed type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 (92 %)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(5 %)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Follow-up, months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Median (IQR)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13-28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018B4" w:rsidTr="00D018B4"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Status last follow-up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Alive, no disease progression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Alive, disease progression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Dead of disease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(69 %)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(15 %)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Previous non-prostate cancer: not specified (n=6), basal cell carcinoma (n=1), malignant melanoma (n=2), pancreatic cancer (n=1), thyroid cancer (n=1)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ECOG = Eastern Cooperative Oncology Group performance status. This information was available for 64 of 94 patients (68%).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Staging according to TNM classification (8th edition UICC 2017); clinical staging n=85, pathological staging n=7. No information was found for n=2. X means that a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substage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was not defined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D1398" w:rsidRDefault="00AD1398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2.</w:t>
      </w:r>
      <w:r>
        <w:rPr>
          <w:rFonts w:ascii="Times New Roman" w:hAnsi="Times New Roman" w:cs="Times New Roman"/>
          <w:sz w:val="24"/>
          <w:szCs w:val="24"/>
        </w:rPr>
        <w:t xml:space="preserve"> Treatment data.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964"/>
        <w:gridCol w:w="1623"/>
      </w:tblGrid>
      <w:tr w:rsidR="00D018B4" w:rsidTr="00D018B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N=94 (100%)</w:t>
            </w:r>
          </w:p>
        </w:tc>
      </w:tr>
      <w:tr w:rsidR="00D018B4" w:rsidTr="00D018B4">
        <w:trPr>
          <w:trHeight w:val="96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ADT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GnRH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non-steroidal antiandrogen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GnRH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alone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en-US"/>
              </w:rPr>
              <w:t>Orchidectomy</w:t>
            </w:r>
            <w:proofErr w:type="spellEnd"/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 (87 %)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 (10 %)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(3 %)</w:t>
            </w:r>
          </w:p>
        </w:tc>
      </w:tr>
      <w:tr w:rsidR="00D018B4" w:rsidTr="00D018B4">
        <w:trPr>
          <w:trHeight w:val="1119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ADT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Time from ADT start to Docetaxel start, days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 (range)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ADT duration, days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Median (range)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 (8-400)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331 (5-1038)</w:t>
            </w:r>
          </w:p>
        </w:tc>
      </w:tr>
      <w:tr w:rsidR="00D018B4" w:rsidTr="00D018B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Docetaxel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75 mg/m2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mean dose % of full dose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dose, mg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dose, mg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Completed all cycles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50mg/m2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mean dose % of full dose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dose, mg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dose, mg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Completed all cycles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Switch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mean dose % of full dose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dose, mg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dose, mg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Completed all cycles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Dose reduction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Dose escalation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Unchanged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758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 (67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(50 %)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 (100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(35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(14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 (50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</w:tc>
      </w:tr>
      <w:tr w:rsidR="00D018B4" w:rsidTr="00D018B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Best response at end of Docetaxel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PR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SD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PD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NE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(53 %)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(12 %)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(13 %)</w:t>
            </w:r>
          </w:p>
        </w:tc>
      </w:tr>
      <w:tr w:rsidR="00D018B4" w:rsidTr="00D018B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Est. PFS 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months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CHAARTED/STAMPEDE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Swedish national guidelines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months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CHAARTED/STAMPEDE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Swedish national guidelines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months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months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Mean (95 % CI)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75 % (66-84)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71 % (61-81)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58 % (46-70)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55 % (43-67)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93 % (87-99)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86 % (76-96)</w:t>
            </w:r>
          </w:p>
        </w:tc>
      </w:tr>
    </w:tbl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75 mg/m2 is given in 6 cycles every 21d 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50mg/m2 is given in 9 cycles every 14d</w:t>
      </w:r>
    </w:p>
    <w:p w:rsidR="00D018B4" w:rsidRDefault="00D018B4" w:rsidP="00D018B4">
      <w:pPr>
        <w:pStyle w:val="NoSpacing"/>
        <w:spacing w:line="360" w:lineRule="auto"/>
        <w:rPr>
          <w:rFonts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>
        <w:rPr>
          <w:rFonts w:ascii="Times New Roman" w:hAnsi="Times New Roman" w:cs="Times New Roman"/>
          <w:b/>
          <w:color w:val="FF0000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CR= complete response PR= partial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respons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SD= stable disease PD= progression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disease.(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PD definition CHAARTED: Serologic increase of PSA level of more than 50% above nadir reached after initiation of ADT, two consecutive increases at least 2 weeks apart.  If nadir was less than 2µg/L a minimum increase of more than 2µg/L was required. STAMPEDE: Biochemical progression rise of 50% above the within 24-week nadir and above 4µg/L. Radiologic according to RECIST version 1.0 Swedish national guidelines: Clinical: increasing symptoms or deterioration of general condition. Serologic ≥ 25 percent from lowest PSA value after start of latest given treatment an augmentation of at least ≥ 2 </w:t>
      </w:r>
      <w:r>
        <w:rPr>
          <w:rFonts w:ascii="Times New Roman" w:hAnsi="Times New Roman" w:cs="Times New Roman"/>
          <w:sz w:val="20"/>
          <w:szCs w:val="20"/>
        </w:rPr>
        <w:t>μ</w:t>
      </w:r>
      <w:r>
        <w:rPr>
          <w:rFonts w:ascii="Times New Roman" w:hAnsi="Times New Roman" w:cs="Times New Roman"/>
          <w:sz w:val="20"/>
          <w:szCs w:val="20"/>
          <w:lang w:val="en-US"/>
        </w:rPr>
        <w:t>g/L is required. Radiologic progression of existing or new metastasis). NE= non-evaluable.</w:t>
      </w:r>
    </w:p>
    <w:p w:rsidR="00D018B4" w:rsidRDefault="00D018B4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/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3a.  </w:t>
      </w:r>
      <w:r>
        <w:rPr>
          <w:rFonts w:ascii="Times New Roman" w:hAnsi="Times New Roman" w:cs="Times New Roman"/>
          <w:sz w:val="24"/>
          <w:szCs w:val="24"/>
          <w:lang w:val="en-US"/>
        </w:rPr>
        <w:t>PFS (according to the CHAARTED and STAMPEDE definition of progressive disease). Age, PSA, Co-morbidities and bone metastases.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tbl>
      <w:tblPr>
        <w:tblStyle w:val="TableGrid"/>
        <w:tblW w:w="9493" w:type="dxa"/>
        <w:tblInd w:w="0" w:type="dxa"/>
        <w:tblLook w:val="04A0" w:firstRow="1" w:lastRow="0" w:firstColumn="1" w:lastColumn="0" w:noHBand="0" w:noVBand="1"/>
      </w:tblPr>
      <w:tblGrid>
        <w:gridCol w:w="2122"/>
        <w:gridCol w:w="1275"/>
        <w:gridCol w:w="1276"/>
        <w:gridCol w:w="2410"/>
        <w:gridCol w:w="2410"/>
      </w:tblGrid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 patients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 events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HR, 95% CI, P-value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br/>
              <w:t>(univariate)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HR, 95% CI, P-value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br/>
              <w:t>(multivariate)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Age, years (median)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≤68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˃68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0.78, 0.40-1.51, 0.45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0.83, 0.42-1.67, 0.61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PSA (median)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≤180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˃180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2.86, 1.39-5.87, 0.0041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2.51, 1.21-5.19, 0.013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Co-morbidities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1.15, 0.59-2.23, 0.68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1.19, 0.60-2.36, 0.63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Distant metastases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3.36, 1.03-10.96, 0.045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2.60, 0.78-8.65, 0.12</w:t>
            </w:r>
          </w:p>
        </w:tc>
      </w:tr>
    </w:tbl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3b.  </w:t>
      </w:r>
      <w:r>
        <w:rPr>
          <w:rFonts w:ascii="Times New Roman" w:hAnsi="Times New Roman" w:cs="Times New Roman"/>
          <w:sz w:val="24"/>
          <w:szCs w:val="24"/>
          <w:lang w:val="en-US"/>
        </w:rPr>
        <w:t>PFS (according to Swedish national guidelines) Age, PSA, Co-morbidities and bone metastases.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tbl>
      <w:tblPr>
        <w:tblStyle w:val="TableGrid"/>
        <w:tblW w:w="9493" w:type="dxa"/>
        <w:tblInd w:w="0" w:type="dxa"/>
        <w:tblLook w:val="04A0" w:firstRow="1" w:lastRow="0" w:firstColumn="1" w:lastColumn="0" w:noHBand="0" w:noVBand="1"/>
      </w:tblPr>
      <w:tblGrid>
        <w:gridCol w:w="2122"/>
        <w:gridCol w:w="1275"/>
        <w:gridCol w:w="1276"/>
        <w:gridCol w:w="2410"/>
        <w:gridCol w:w="2410"/>
      </w:tblGrid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 patients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 events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HR, 95% CI, P-value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br/>
              <w:t>(univariate)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HR, 95% CI, P-value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br/>
              <w:t>(multivariate)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Age, years (median)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≤68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˃68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0.83, 0.44-1.56, 0.55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0.88, 0.46-1.71, 0.71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PSA (median)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≤180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˃180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2.86, 1.44-5.69, 0.0028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2.57, 1.28-5.16, 0.0081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Co-morbidities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1.06, 0.56-2.00, 0.85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1.08, 0.56-2.07, 0.83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Distant metastases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  <w:tr w:rsidR="00D018B4" w:rsidTr="00D018B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2.69, 0.96-7.59, 0.061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2.11, 0.73-6.06, 0.17</w:t>
            </w:r>
          </w:p>
        </w:tc>
      </w:tr>
    </w:tbl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Side-effects</w:t>
      </w:r>
    </w:p>
    <w:p w:rsidR="00D018B4" w:rsidRDefault="00D018B4" w:rsidP="00D018B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1276"/>
      </w:tblGrid>
      <w:tr w:rsidR="00D018B4" w:rsidTr="00D018B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N=94(%)</w:t>
            </w:r>
          </w:p>
        </w:tc>
      </w:tr>
      <w:tr w:rsidR="00D018B4" w:rsidTr="00D018B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US"/>
              </w:rPr>
              <w:t>Reason for termination of treatment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Completed as planned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Adverse event (AE)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Fatigue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Tumor progression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 preference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Other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(79 %)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(12 %)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(5%)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(1%)</w:t>
            </w:r>
          </w:p>
        </w:tc>
      </w:tr>
      <w:tr w:rsidR="00D018B4" w:rsidTr="00D018B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US"/>
              </w:rPr>
              <w:t>Bone marrow toxicity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Haemoglobin</w:t>
            </w:r>
            <w:proofErr w:type="spellEnd"/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grade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 grade 3-4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White blood cell count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grade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 grade 3-4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Neutrophil count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grade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 grade 3-4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Grade missing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Platelet count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grade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 grade 3-4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Unplanned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hospitalisation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under and within 30 days after chemotherapy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Febrile neutropenia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(17 %)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(21 %)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(20 %)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(20 %)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(26 %)</w:t>
            </w: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18B4" w:rsidRDefault="00D018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(21 %)</w:t>
            </w:r>
          </w:p>
        </w:tc>
      </w:tr>
    </w:tbl>
    <w:p w:rsidR="00D018B4" w:rsidRDefault="00D018B4">
      <w:bookmarkStart w:id="0" w:name="_GoBack"/>
      <w:bookmarkEnd w:id="0"/>
    </w:p>
    <w:sectPr w:rsidR="00D018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8B4"/>
    <w:rsid w:val="00AD1398"/>
    <w:rsid w:val="00D0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523D2"/>
  <w15:chartTrackingRefBased/>
  <w15:docId w15:val="{FA5C000F-243C-4EFA-A6D5-755045739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8B4"/>
    <w:pPr>
      <w:spacing w:after="200" w:line="276" w:lineRule="auto"/>
    </w:pPr>
    <w:rPr>
      <w:rFonts w:ascii="Times New Roman" w:hAnsi="Times New Roman"/>
      <w:sz w:val="24"/>
      <w:szCs w:val="24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18B4"/>
    <w:pPr>
      <w:spacing w:after="0" w:line="240" w:lineRule="auto"/>
    </w:pPr>
    <w:rPr>
      <w:lang w:val="sv-SE"/>
    </w:rPr>
  </w:style>
  <w:style w:type="table" w:styleId="TableGrid">
    <w:name w:val="Table Grid"/>
    <w:basedOn w:val="TableNormal"/>
    <w:uiPriority w:val="39"/>
    <w:rsid w:val="00D018B4"/>
    <w:pPr>
      <w:spacing w:after="0" w:line="240" w:lineRule="auto"/>
    </w:pPr>
    <w:rPr>
      <w:lang w:val="sv-S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2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2021-02-18T10:02:00Z</dcterms:created>
  <dcterms:modified xsi:type="dcterms:W3CDTF">2021-02-18T10:04:00Z</dcterms:modified>
</cp:coreProperties>
</file>