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069CE" w14:textId="1DD20950" w:rsidR="0028567E" w:rsidRDefault="00504D4A" w:rsidP="005773D0">
      <w:pPr>
        <w:jc w:val="center"/>
        <w:rPr>
          <w:rFonts w:ascii="Times New Roman" w:hAnsi="Times New Roman" w:cs="Times New Roman"/>
          <w:sz w:val="24"/>
          <w:szCs w:val="24"/>
        </w:rPr>
      </w:pPr>
      <w:r>
        <w:rPr>
          <w:rFonts w:ascii="Times New Roman" w:hAnsi="Times New Roman" w:cs="Times New Roman"/>
          <w:sz w:val="24"/>
          <w:szCs w:val="24"/>
        </w:rPr>
        <w:t xml:space="preserve">Online </w:t>
      </w:r>
      <w:r w:rsidR="00E11AB5">
        <w:rPr>
          <w:rFonts w:ascii="Times New Roman" w:hAnsi="Times New Roman" w:cs="Times New Roman"/>
          <w:sz w:val="24"/>
          <w:szCs w:val="24"/>
        </w:rPr>
        <w:t>method</w:t>
      </w:r>
      <w:r>
        <w:rPr>
          <w:rFonts w:ascii="Times New Roman" w:hAnsi="Times New Roman" w:cs="Times New Roman"/>
          <w:sz w:val="24"/>
          <w:szCs w:val="24"/>
        </w:rPr>
        <w:t xml:space="preserve"> supplement:</w:t>
      </w:r>
    </w:p>
    <w:p w14:paraId="53EB8E98" w14:textId="77777777" w:rsidR="005F56CD" w:rsidRDefault="005F56CD" w:rsidP="005773D0">
      <w:pPr>
        <w:spacing w:line="480" w:lineRule="auto"/>
        <w:jc w:val="center"/>
        <w:rPr>
          <w:rFonts w:ascii="Times New Roman" w:hAnsi="Times New Roman" w:cs="Times New Roman"/>
          <w:b/>
          <w:sz w:val="32"/>
          <w:szCs w:val="32"/>
        </w:rPr>
      </w:pPr>
      <w:r w:rsidRPr="005F56CD">
        <w:rPr>
          <w:rFonts w:ascii="Times New Roman" w:hAnsi="Times New Roman" w:cs="Times New Roman"/>
          <w:b/>
          <w:sz w:val="32"/>
          <w:szCs w:val="32"/>
        </w:rPr>
        <w:t>PI3Kδ inhibition prevents IL33, ILC2s and inflammatory eosinophils in persistent airway inflammation</w:t>
      </w:r>
    </w:p>
    <w:p w14:paraId="4BEB2FFB" w14:textId="443C2F33" w:rsidR="005773D0" w:rsidRDefault="005773D0" w:rsidP="005773D0">
      <w:pPr>
        <w:spacing w:line="480" w:lineRule="auto"/>
        <w:jc w:val="center"/>
        <w:rPr>
          <w:rFonts w:ascii="Times New Roman" w:hAnsi="Times New Roman" w:cs="Times New Roman"/>
          <w:sz w:val="24"/>
        </w:rPr>
      </w:pPr>
      <w:r w:rsidRPr="00E57969">
        <w:rPr>
          <w:rFonts w:ascii="Times New Roman" w:hAnsi="Times New Roman" w:cs="Times New Roman"/>
          <w:sz w:val="24"/>
        </w:rPr>
        <w:t>Sorif Uddin</w:t>
      </w:r>
      <w:r>
        <w:rPr>
          <w:rFonts w:ascii="Times New Roman" w:hAnsi="Times New Roman" w:cs="Times New Roman"/>
          <w:sz w:val="24"/>
        </w:rPr>
        <w:t>; Augustin Amour; David Lewis; Chris</w:t>
      </w:r>
      <w:r w:rsidR="00BD48C4">
        <w:rPr>
          <w:rFonts w:ascii="Times New Roman" w:hAnsi="Times New Roman" w:cs="Times New Roman"/>
          <w:sz w:val="24"/>
        </w:rPr>
        <w:t xml:space="preserve"> D</w:t>
      </w:r>
      <w:r>
        <w:rPr>
          <w:rFonts w:ascii="Times New Roman" w:hAnsi="Times New Roman" w:cs="Times New Roman"/>
          <w:sz w:val="24"/>
        </w:rPr>
        <w:t xml:space="preserve"> Edwards; </w:t>
      </w:r>
      <w:r w:rsidR="00EA0471">
        <w:rPr>
          <w:rFonts w:ascii="Times New Roman" w:hAnsi="Times New Roman" w:cs="Times New Roman"/>
          <w:sz w:val="24"/>
        </w:rPr>
        <w:t>Matthew G Williamson; S</w:t>
      </w:r>
      <w:r>
        <w:rPr>
          <w:rFonts w:ascii="Times New Roman" w:hAnsi="Times New Roman" w:cs="Times New Roman"/>
          <w:sz w:val="24"/>
        </w:rPr>
        <w:t>imon Hall; Lisa Lione and Edith M Hessel</w:t>
      </w:r>
    </w:p>
    <w:p w14:paraId="189C9ACF" w14:textId="77777777" w:rsidR="005773D0" w:rsidRDefault="005773D0">
      <w:pPr>
        <w:rPr>
          <w:rFonts w:ascii="Times New Roman" w:hAnsi="Times New Roman" w:cs="Times New Roman"/>
          <w:sz w:val="24"/>
          <w:szCs w:val="24"/>
        </w:rPr>
      </w:pPr>
    </w:p>
    <w:p w14:paraId="4AEBBCE2" w14:textId="77777777" w:rsidR="00B133C1" w:rsidRPr="00B133C1" w:rsidRDefault="00B133C1" w:rsidP="00504D4A">
      <w:pPr>
        <w:autoSpaceDE w:val="0"/>
        <w:autoSpaceDN w:val="0"/>
        <w:adjustRightInd w:val="0"/>
        <w:spacing w:after="0" w:line="480" w:lineRule="auto"/>
        <w:rPr>
          <w:rFonts w:ascii="Times New Roman" w:hAnsi="Times New Roman" w:cs="Times New Roman"/>
          <w:sz w:val="24"/>
        </w:rPr>
      </w:pPr>
      <w:r w:rsidRPr="00ED2317">
        <w:rPr>
          <w:rFonts w:ascii="Times New Roman" w:hAnsi="Times New Roman" w:cs="Times New Roman"/>
          <w:b/>
          <w:sz w:val="24"/>
        </w:rPr>
        <w:t>Sample collection and processing</w:t>
      </w:r>
      <w:r>
        <w:rPr>
          <w:rFonts w:ascii="Times New Roman" w:hAnsi="Times New Roman" w:cs="Times New Roman"/>
          <w:b/>
          <w:sz w:val="24"/>
        </w:rPr>
        <w:t xml:space="preserve"> procedures</w:t>
      </w:r>
    </w:p>
    <w:p w14:paraId="50BA0118" w14:textId="77777777" w:rsidR="00504D4A" w:rsidRPr="00E177B4" w:rsidRDefault="00504D4A" w:rsidP="00504D4A">
      <w:pPr>
        <w:autoSpaceDE w:val="0"/>
        <w:autoSpaceDN w:val="0"/>
        <w:adjustRightInd w:val="0"/>
        <w:spacing w:after="0" w:line="480" w:lineRule="auto"/>
        <w:rPr>
          <w:rFonts w:ascii="Times New Roman" w:hAnsi="Times New Roman" w:cs="Times New Roman"/>
          <w:b/>
          <w:i/>
          <w:sz w:val="24"/>
          <w:u w:val="single"/>
        </w:rPr>
      </w:pPr>
      <w:r w:rsidRPr="00E177B4">
        <w:rPr>
          <w:rFonts w:ascii="Times New Roman" w:hAnsi="Times New Roman" w:cs="Times New Roman"/>
          <w:b/>
          <w:i/>
          <w:sz w:val="24"/>
          <w:u w:val="single"/>
        </w:rPr>
        <w:t>Sample collection:</w:t>
      </w:r>
    </w:p>
    <w:p w14:paraId="0AC8CB24" w14:textId="77777777" w:rsidR="00504D4A" w:rsidRPr="00E177B4" w:rsidRDefault="00504D4A" w:rsidP="00504D4A">
      <w:pPr>
        <w:autoSpaceDE w:val="0"/>
        <w:autoSpaceDN w:val="0"/>
        <w:adjustRightInd w:val="0"/>
        <w:spacing w:after="0" w:line="480" w:lineRule="auto"/>
        <w:rPr>
          <w:rFonts w:ascii="Times New Roman" w:hAnsi="Times New Roman" w:cs="Times New Roman"/>
          <w:i/>
          <w:sz w:val="24"/>
        </w:rPr>
      </w:pPr>
      <w:r w:rsidRPr="00E177B4">
        <w:rPr>
          <w:rFonts w:ascii="Times New Roman" w:hAnsi="Times New Roman" w:cs="Times New Roman"/>
          <w:i/>
          <w:sz w:val="24"/>
        </w:rPr>
        <w:t>Circulating blood sample (for</w:t>
      </w:r>
      <w:r>
        <w:rPr>
          <w:rFonts w:ascii="Times New Roman" w:hAnsi="Times New Roman" w:cs="Times New Roman"/>
          <w:i/>
          <w:sz w:val="24"/>
        </w:rPr>
        <w:t xml:space="preserve"> PK analysis</w:t>
      </w:r>
      <w:r w:rsidRPr="00E177B4">
        <w:rPr>
          <w:rFonts w:ascii="Times New Roman" w:hAnsi="Times New Roman" w:cs="Times New Roman"/>
          <w:i/>
          <w:sz w:val="24"/>
        </w:rPr>
        <w:t>)</w:t>
      </w:r>
    </w:p>
    <w:p w14:paraId="5425DA40" w14:textId="77777777" w:rsidR="00504D4A" w:rsidRDefault="00504D4A" w:rsidP="00504D4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Live circulating blood samples were collected from mice at terminal time-points from a tail vein after placing mice into a warm (30</w:t>
      </w:r>
      <w:r w:rsidRPr="003176BE">
        <w:rPr>
          <w:rFonts w:ascii="Times New Roman" w:hAnsi="Times New Roman" w:cs="Times New Roman"/>
          <w:sz w:val="24"/>
          <w:vertAlign w:val="superscript"/>
        </w:rPr>
        <w:t>o</w:t>
      </w:r>
      <w:r>
        <w:rPr>
          <w:rFonts w:ascii="Times New Roman" w:hAnsi="Times New Roman" w:cs="Times New Roman"/>
          <w:sz w:val="24"/>
        </w:rPr>
        <w:t>C) environment for 10 minutes. For PK analysis, 10</w:t>
      </w:r>
      <w:r>
        <w:rPr>
          <w:rFonts w:ascii="Times New Roman" w:hAnsi="Times New Roman" w:cs="Times New Roman"/>
          <w:sz w:val="24"/>
        </w:rPr>
        <w:sym w:font="Symbol" w:char="F06D"/>
      </w:r>
      <w:r>
        <w:rPr>
          <w:rFonts w:ascii="Times New Roman" w:hAnsi="Times New Roman" w:cs="Times New Roman"/>
          <w:sz w:val="24"/>
        </w:rPr>
        <w:t>l of blood was placed into the same volume of distilled sterile water and frozen on dry ice and stored at -80</w:t>
      </w:r>
      <w:r w:rsidRPr="00361DF8">
        <w:rPr>
          <w:rFonts w:ascii="Times New Roman" w:hAnsi="Times New Roman" w:cs="Times New Roman"/>
          <w:sz w:val="24"/>
          <w:vertAlign w:val="superscript"/>
        </w:rPr>
        <w:t>o</w:t>
      </w:r>
      <w:r>
        <w:rPr>
          <w:rFonts w:ascii="Times New Roman" w:hAnsi="Times New Roman" w:cs="Times New Roman"/>
          <w:sz w:val="24"/>
        </w:rPr>
        <w:t>C until later analysis.</w:t>
      </w:r>
    </w:p>
    <w:p w14:paraId="4B32AF9A" w14:textId="77777777" w:rsidR="00504D4A" w:rsidRDefault="00504D4A" w:rsidP="00504D4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Mice were then sacrificed using an intra-peritoneal overdose of sodium pentobarbitone (200mg/ml, </w:t>
      </w:r>
      <w:r>
        <w:rPr>
          <w:rFonts w:ascii="Times New Roman" w:eastAsia="Times New Roman" w:hAnsi="Times New Roman" w:cs="Times New Roman"/>
          <w:sz w:val="24"/>
          <w:szCs w:val="24"/>
          <w:lang w:eastAsia="en-GB"/>
        </w:rPr>
        <w:t>Vetoquinol, UK</w:t>
      </w:r>
      <w:r>
        <w:rPr>
          <w:rFonts w:ascii="Times New Roman" w:hAnsi="Times New Roman" w:cs="Times New Roman"/>
          <w:sz w:val="24"/>
        </w:rPr>
        <w:t>) and all sample/tissue collection procedures were carried out in mice after confirmation of death by severance of the spinal column without damaging the trachea.</w:t>
      </w:r>
    </w:p>
    <w:p w14:paraId="7287856D" w14:textId="77777777" w:rsidR="00504D4A" w:rsidRDefault="00504D4A" w:rsidP="00504D4A">
      <w:pPr>
        <w:autoSpaceDE w:val="0"/>
        <w:autoSpaceDN w:val="0"/>
        <w:adjustRightInd w:val="0"/>
        <w:spacing w:after="0" w:line="480" w:lineRule="auto"/>
        <w:rPr>
          <w:rFonts w:ascii="Times New Roman" w:hAnsi="Times New Roman" w:cs="Times New Roman"/>
          <w:sz w:val="24"/>
        </w:rPr>
      </w:pPr>
    </w:p>
    <w:p w14:paraId="5416A8AC" w14:textId="77777777" w:rsidR="00504D4A" w:rsidRPr="00D7147C" w:rsidRDefault="00504D4A" w:rsidP="00504D4A">
      <w:pPr>
        <w:autoSpaceDE w:val="0"/>
        <w:autoSpaceDN w:val="0"/>
        <w:adjustRightInd w:val="0"/>
        <w:spacing w:after="0" w:line="480" w:lineRule="auto"/>
        <w:rPr>
          <w:rFonts w:ascii="Times New Roman" w:hAnsi="Times New Roman" w:cs="Times New Roman"/>
          <w:i/>
          <w:sz w:val="24"/>
        </w:rPr>
      </w:pPr>
      <w:r w:rsidRPr="00D7147C">
        <w:rPr>
          <w:rFonts w:ascii="Times New Roman" w:hAnsi="Times New Roman" w:cs="Times New Roman"/>
          <w:i/>
          <w:sz w:val="24"/>
        </w:rPr>
        <w:t>Collection of blood for serum</w:t>
      </w:r>
    </w:p>
    <w:p w14:paraId="0451B4EA" w14:textId="77777777" w:rsidR="00504D4A" w:rsidRDefault="00504D4A" w:rsidP="00504D4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Blood samples were obtained from severed jugular veins and allowed to clot before processing to obtain serum.</w:t>
      </w:r>
    </w:p>
    <w:p w14:paraId="4D963419" w14:textId="77777777" w:rsidR="00504D4A" w:rsidRDefault="00504D4A" w:rsidP="00504D4A">
      <w:pPr>
        <w:autoSpaceDE w:val="0"/>
        <w:autoSpaceDN w:val="0"/>
        <w:adjustRightInd w:val="0"/>
        <w:spacing w:after="0" w:line="480" w:lineRule="auto"/>
        <w:rPr>
          <w:rFonts w:ascii="Times New Roman" w:hAnsi="Times New Roman" w:cs="Times New Roman"/>
          <w:sz w:val="24"/>
        </w:rPr>
      </w:pPr>
    </w:p>
    <w:p w14:paraId="22712E22" w14:textId="77777777" w:rsidR="0013377B" w:rsidRDefault="0013377B" w:rsidP="00504D4A">
      <w:pPr>
        <w:autoSpaceDE w:val="0"/>
        <w:autoSpaceDN w:val="0"/>
        <w:adjustRightInd w:val="0"/>
        <w:spacing w:after="0" w:line="480" w:lineRule="auto"/>
        <w:rPr>
          <w:rFonts w:ascii="Times New Roman" w:hAnsi="Times New Roman" w:cs="Times New Roman"/>
          <w:i/>
          <w:sz w:val="24"/>
        </w:rPr>
      </w:pPr>
    </w:p>
    <w:p w14:paraId="0607B519" w14:textId="77777777" w:rsidR="0013377B" w:rsidRDefault="0013377B" w:rsidP="00504D4A">
      <w:pPr>
        <w:autoSpaceDE w:val="0"/>
        <w:autoSpaceDN w:val="0"/>
        <w:adjustRightInd w:val="0"/>
        <w:spacing w:after="0" w:line="480" w:lineRule="auto"/>
        <w:rPr>
          <w:rFonts w:ascii="Times New Roman" w:hAnsi="Times New Roman" w:cs="Times New Roman"/>
          <w:i/>
          <w:sz w:val="24"/>
        </w:rPr>
      </w:pPr>
    </w:p>
    <w:p w14:paraId="16597AAD" w14:textId="6B03A617" w:rsidR="00504D4A" w:rsidRPr="00B61EBE" w:rsidRDefault="00504D4A" w:rsidP="00504D4A">
      <w:pPr>
        <w:autoSpaceDE w:val="0"/>
        <w:autoSpaceDN w:val="0"/>
        <w:adjustRightInd w:val="0"/>
        <w:spacing w:after="0" w:line="480" w:lineRule="auto"/>
        <w:rPr>
          <w:rFonts w:ascii="Times New Roman" w:hAnsi="Times New Roman" w:cs="Times New Roman"/>
          <w:i/>
          <w:sz w:val="24"/>
        </w:rPr>
      </w:pPr>
      <w:r w:rsidRPr="00B61EBE">
        <w:rPr>
          <w:rFonts w:ascii="Times New Roman" w:hAnsi="Times New Roman" w:cs="Times New Roman"/>
          <w:i/>
          <w:sz w:val="24"/>
        </w:rPr>
        <w:lastRenderedPageBreak/>
        <w:t>Broncho-Alveolar Lavage (BAL)</w:t>
      </w:r>
    </w:p>
    <w:p w14:paraId="01C3FF4A" w14:textId="77777777" w:rsidR="00504D4A" w:rsidRDefault="00504D4A" w:rsidP="00504D4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BAL was performed by instillation, via a tracheal cannula, of 1ml Dulbeccos-phosphate buffered saline (D-PBS, without magnesium and calcium, Gibco UK), containing 10mM EDTA (Sigma-Aldrich, UK), 0.1% BSA (Sigma-Aldrich, UK) and Complete-EDTA free protease inhibitor cocktail (Roche, UK), followed by gentle aspiration. The process was repeated once more using the same aspirated BAL fluid and the final volume recorded.</w:t>
      </w:r>
    </w:p>
    <w:p w14:paraId="57257573" w14:textId="77777777" w:rsidR="00504D4A" w:rsidRDefault="00504D4A" w:rsidP="00504D4A">
      <w:pPr>
        <w:autoSpaceDE w:val="0"/>
        <w:autoSpaceDN w:val="0"/>
        <w:adjustRightInd w:val="0"/>
        <w:spacing w:after="0" w:line="480" w:lineRule="auto"/>
        <w:rPr>
          <w:rFonts w:ascii="Times New Roman" w:hAnsi="Times New Roman" w:cs="Times New Roman"/>
          <w:i/>
          <w:sz w:val="24"/>
        </w:rPr>
      </w:pPr>
    </w:p>
    <w:p w14:paraId="5317A621" w14:textId="77777777" w:rsidR="00504D4A" w:rsidRPr="00B61EBE" w:rsidRDefault="00504D4A" w:rsidP="00504D4A">
      <w:pPr>
        <w:autoSpaceDE w:val="0"/>
        <w:autoSpaceDN w:val="0"/>
        <w:adjustRightInd w:val="0"/>
        <w:spacing w:after="0" w:line="480" w:lineRule="auto"/>
        <w:rPr>
          <w:rFonts w:ascii="Times New Roman" w:hAnsi="Times New Roman" w:cs="Times New Roman"/>
          <w:i/>
          <w:sz w:val="24"/>
        </w:rPr>
      </w:pPr>
      <w:r w:rsidRPr="00B61EBE">
        <w:rPr>
          <w:rFonts w:ascii="Times New Roman" w:hAnsi="Times New Roman" w:cs="Times New Roman"/>
          <w:i/>
          <w:sz w:val="24"/>
        </w:rPr>
        <w:t>Lungs</w:t>
      </w:r>
    </w:p>
    <w:p w14:paraId="4D4D194D" w14:textId="77777777" w:rsidR="00504D4A" w:rsidRDefault="00504D4A" w:rsidP="00504D4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Lungs were removed from the thoracic cavity and split into multi-lobed (right) and single lobed (left) lungs. The multi-lobed lung was placed in D-PBS and was used for flow cytometric analysis of cell populations. Where necessary, the single-lobed lung was frozen on dry ice and stored at -80</w:t>
      </w:r>
      <w:r w:rsidRPr="002B3999">
        <w:rPr>
          <w:rFonts w:ascii="Times New Roman" w:hAnsi="Times New Roman" w:cs="Times New Roman"/>
          <w:sz w:val="24"/>
          <w:vertAlign w:val="superscript"/>
        </w:rPr>
        <w:t>o</w:t>
      </w:r>
      <w:r>
        <w:rPr>
          <w:rFonts w:ascii="Times New Roman" w:hAnsi="Times New Roman" w:cs="Times New Roman"/>
          <w:sz w:val="24"/>
        </w:rPr>
        <w:t>C for later PK analysis.</w:t>
      </w:r>
    </w:p>
    <w:p w14:paraId="21D08C98" w14:textId="77777777" w:rsidR="00504D4A" w:rsidRDefault="00504D4A" w:rsidP="00504D4A">
      <w:pPr>
        <w:autoSpaceDE w:val="0"/>
        <w:autoSpaceDN w:val="0"/>
        <w:adjustRightInd w:val="0"/>
        <w:spacing w:after="0" w:line="480" w:lineRule="auto"/>
        <w:rPr>
          <w:rFonts w:ascii="Times New Roman" w:hAnsi="Times New Roman" w:cs="Times New Roman"/>
          <w:sz w:val="24"/>
        </w:rPr>
      </w:pPr>
    </w:p>
    <w:p w14:paraId="58AE7317" w14:textId="77777777" w:rsidR="00504D4A" w:rsidRPr="00B4740B" w:rsidRDefault="00504D4A" w:rsidP="00504D4A">
      <w:pPr>
        <w:autoSpaceDE w:val="0"/>
        <w:autoSpaceDN w:val="0"/>
        <w:adjustRightInd w:val="0"/>
        <w:spacing w:after="0" w:line="480" w:lineRule="auto"/>
        <w:rPr>
          <w:rFonts w:ascii="Times New Roman" w:hAnsi="Times New Roman" w:cs="Times New Roman"/>
          <w:b/>
          <w:i/>
          <w:sz w:val="24"/>
        </w:rPr>
      </w:pPr>
      <w:r w:rsidRPr="00B4740B">
        <w:rPr>
          <w:rFonts w:ascii="Times New Roman" w:hAnsi="Times New Roman" w:cs="Times New Roman"/>
          <w:b/>
          <w:i/>
          <w:sz w:val="24"/>
        </w:rPr>
        <w:t>Sample processing:</w:t>
      </w:r>
    </w:p>
    <w:p w14:paraId="37822B52" w14:textId="77777777" w:rsidR="00504D4A" w:rsidRDefault="00504D4A" w:rsidP="00504D4A">
      <w:pPr>
        <w:autoSpaceDE w:val="0"/>
        <w:autoSpaceDN w:val="0"/>
        <w:adjustRightInd w:val="0"/>
        <w:spacing w:after="0" w:line="480" w:lineRule="auto"/>
        <w:rPr>
          <w:rFonts w:ascii="Times New Roman" w:hAnsi="Times New Roman" w:cs="Times New Roman"/>
          <w:sz w:val="24"/>
        </w:rPr>
      </w:pPr>
      <w:r w:rsidRPr="00B4740B">
        <w:rPr>
          <w:rFonts w:ascii="Times New Roman" w:hAnsi="Times New Roman" w:cs="Times New Roman"/>
          <w:i/>
          <w:sz w:val="24"/>
        </w:rPr>
        <w:t>Serum</w:t>
      </w:r>
    </w:p>
    <w:p w14:paraId="17C4CD32" w14:textId="77777777" w:rsidR="00504D4A" w:rsidRDefault="00504D4A" w:rsidP="00504D4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Clotted blood samples were centrifuged at 7000g for 3 minutes to obtain serum which was then stored at -80</w:t>
      </w:r>
      <w:r w:rsidRPr="00DE72DC">
        <w:rPr>
          <w:rFonts w:ascii="Times New Roman" w:hAnsi="Times New Roman" w:cs="Times New Roman"/>
          <w:sz w:val="24"/>
          <w:vertAlign w:val="superscript"/>
        </w:rPr>
        <w:t>o</w:t>
      </w:r>
      <w:r>
        <w:rPr>
          <w:rFonts w:ascii="Times New Roman" w:hAnsi="Times New Roman" w:cs="Times New Roman"/>
          <w:sz w:val="24"/>
        </w:rPr>
        <w:t>C.</w:t>
      </w:r>
    </w:p>
    <w:p w14:paraId="7400B9EC" w14:textId="77777777" w:rsidR="00504D4A" w:rsidRDefault="00504D4A" w:rsidP="00504D4A">
      <w:pPr>
        <w:autoSpaceDE w:val="0"/>
        <w:autoSpaceDN w:val="0"/>
        <w:adjustRightInd w:val="0"/>
        <w:spacing w:after="0" w:line="480" w:lineRule="auto"/>
        <w:rPr>
          <w:rFonts w:ascii="Times New Roman" w:hAnsi="Times New Roman" w:cs="Times New Roman"/>
          <w:sz w:val="24"/>
        </w:rPr>
      </w:pPr>
    </w:p>
    <w:p w14:paraId="5AE98CDE" w14:textId="77777777" w:rsidR="00504D4A" w:rsidRPr="0079313A" w:rsidRDefault="00504D4A" w:rsidP="00504D4A">
      <w:pPr>
        <w:autoSpaceDE w:val="0"/>
        <w:autoSpaceDN w:val="0"/>
        <w:adjustRightInd w:val="0"/>
        <w:spacing w:after="0" w:line="480" w:lineRule="auto"/>
        <w:rPr>
          <w:rFonts w:ascii="Times New Roman" w:hAnsi="Times New Roman" w:cs="Times New Roman"/>
          <w:i/>
          <w:sz w:val="24"/>
        </w:rPr>
      </w:pPr>
      <w:r w:rsidRPr="0079313A">
        <w:rPr>
          <w:rFonts w:ascii="Times New Roman" w:hAnsi="Times New Roman" w:cs="Times New Roman"/>
          <w:i/>
          <w:sz w:val="24"/>
        </w:rPr>
        <w:t>BAL</w:t>
      </w:r>
    </w:p>
    <w:p w14:paraId="4CCDFD7C" w14:textId="77777777" w:rsidR="00504D4A" w:rsidRDefault="00504D4A" w:rsidP="00504D4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Samples of BAL were centrifuged at 370g for 5 minutes after which supernatants were removed and stored at -80</w:t>
      </w:r>
      <w:r w:rsidRPr="00FC02A8">
        <w:rPr>
          <w:rFonts w:ascii="Times New Roman" w:hAnsi="Times New Roman" w:cs="Times New Roman"/>
          <w:sz w:val="24"/>
          <w:vertAlign w:val="superscript"/>
        </w:rPr>
        <w:t>o</w:t>
      </w:r>
      <w:r>
        <w:rPr>
          <w:rFonts w:ascii="Times New Roman" w:hAnsi="Times New Roman" w:cs="Times New Roman"/>
          <w:sz w:val="24"/>
        </w:rPr>
        <w:t>C for later cytokine analysis. Cell pellets were resuspended in the original BAL volume using D-PBS containing 1% BSA.</w:t>
      </w:r>
    </w:p>
    <w:p w14:paraId="158259E9" w14:textId="77777777" w:rsidR="00504D4A" w:rsidRDefault="00504D4A" w:rsidP="00504D4A">
      <w:pPr>
        <w:autoSpaceDE w:val="0"/>
        <w:autoSpaceDN w:val="0"/>
        <w:adjustRightInd w:val="0"/>
        <w:spacing w:after="0" w:line="480" w:lineRule="auto"/>
        <w:rPr>
          <w:rFonts w:ascii="Times New Roman" w:hAnsi="Times New Roman" w:cs="Times New Roman"/>
          <w:sz w:val="24"/>
        </w:rPr>
      </w:pPr>
    </w:p>
    <w:p w14:paraId="58B5C69F" w14:textId="77777777" w:rsidR="0013377B" w:rsidRDefault="0013377B" w:rsidP="00504D4A">
      <w:pPr>
        <w:autoSpaceDE w:val="0"/>
        <w:autoSpaceDN w:val="0"/>
        <w:adjustRightInd w:val="0"/>
        <w:spacing w:after="0" w:line="480" w:lineRule="auto"/>
        <w:rPr>
          <w:rFonts w:ascii="Times New Roman" w:hAnsi="Times New Roman" w:cs="Times New Roman"/>
          <w:i/>
          <w:sz w:val="24"/>
        </w:rPr>
      </w:pPr>
    </w:p>
    <w:p w14:paraId="7CFFB522" w14:textId="77777777" w:rsidR="0013377B" w:rsidRDefault="0013377B" w:rsidP="00504D4A">
      <w:pPr>
        <w:autoSpaceDE w:val="0"/>
        <w:autoSpaceDN w:val="0"/>
        <w:adjustRightInd w:val="0"/>
        <w:spacing w:after="0" w:line="480" w:lineRule="auto"/>
        <w:rPr>
          <w:rFonts w:ascii="Times New Roman" w:hAnsi="Times New Roman" w:cs="Times New Roman"/>
          <w:i/>
          <w:sz w:val="24"/>
        </w:rPr>
      </w:pPr>
    </w:p>
    <w:p w14:paraId="44C00DA5" w14:textId="50919B4D" w:rsidR="00504D4A" w:rsidRPr="00681EE1" w:rsidRDefault="00504D4A" w:rsidP="00504D4A">
      <w:pPr>
        <w:autoSpaceDE w:val="0"/>
        <w:autoSpaceDN w:val="0"/>
        <w:adjustRightInd w:val="0"/>
        <w:spacing w:after="0" w:line="480" w:lineRule="auto"/>
        <w:rPr>
          <w:rFonts w:ascii="Times New Roman" w:hAnsi="Times New Roman" w:cs="Times New Roman"/>
          <w:i/>
          <w:sz w:val="24"/>
        </w:rPr>
      </w:pPr>
      <w:r w:rsidRPr="00681EE1">
        <w:rPr>
          <w:rFonts w:ascii="Times New Roman" w:hAnsi="Times New Roman" w:cs="Times New Roman"/>
          <w:i/>
          <w:sz w:val="24"/>
        </w:rPr>
        <w:t>Lung</w:t>
      </w:r>
      <w:r>
        <w:rPr>
          <w:rFonts w:ascii="Times New Roman" w:hAnsi="Times New Roman" w:cs="Times New Roman"/>
          <w:i/>
          <w:sz w:val="24"/>
        </w:rPr>
        <w:t>s</w:t>
      </w:r>
    </w:p>
    <w:p w14:paraId="16D85028" w14:textId="0A0EDD98" w:rsidR="002753BE" w:rsidRDefault="00504D4A"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Multi-lobed lungs were transferred to </w:t>
      </w:r>
      <w:r w:rsidRPr="009F3509">
        <w:rPr>
          <w:rFonts w:ascii="Times New Roman" w:hAnsi="Times New Roman" w:cs="Times New Roman"/>
          <w:sz w:val="24"/>
        </w:rPr>
        <w:t>GentleMACS</w:t>
      </w:r>
      <w:r w:rsidRPr="009F3509">
        <w:rPr>
          <w:rFonts w:ascii="Times New Roman" w:hAnsi="Times New Roman" w:cs="Times New Roman"/>
          <w:sz w:val="24"/>
          <w:vertAlign w:val="superscript"/>
        </w:rPr>
        <w:t>TM</w:t>
      </w:r>
      <w:r w:rsidRPr="009F3509">
        <w:rPr>
          <w:rFonts w:ascii="Times New Roman" w:hAnsi="Times New Roman" w:cs="Times New Roman"/>
          <w:sz w:val="24"/>
        </w:rPr>
        <w:t xml:space="preserve"> C-Tube</w:t>
      </w:r>
      <w:r>
        <w:rPr>
          <w:rFonts w:ascii="Times New Roman" w:hAnsi="Times New Roman" w:cs="Times New Roman"/>
          <w:sz w:val="24"/>
        </w:rPr>
        <w:t>s</w:t>
      </w:r>
      <w:r w:rsidRPr="009F3509">
        <w:rPr>
          <w:rFonts w:ascii="Times New Roman" w:hAnsi="Times New Roman" w:cs="Times New Roman"/>
          <w:sz w:val="24"/>
        </w:rPr>
        <w:t xml:space="preserve"> (Miltenyi Biotec</w:t>
      </w:r>
      <w:r>
        <w:rPr>
          <w:rFonts w:ascii="Times New Roman" w:hAnsi="Times New Roman" w:cs="Times New Roman"/>
          <w:sz w:val="24"/>
        </w:rPr>
        <w:t>h, UK</w:t>
      </w:r>
      <w:r w:rsidRPr="009F3509">
        <w:rPr>
          <w:rFonts w:ascii="Times New Roman" w:hAnsi="Times New Roman" w:cs="Times New Roman"/>
          <w:sz w:val="24"/>
        </w:rPr>
        <w:t>)</w:t>
      </w:r>
      <w:r>
        <w:rPr>
          <w:rFonts w:ascii="Times New Roman" w:hAnsi="Times New Roman" w:cs="Times New Roman"/>
          <w:sz w:val="24"/>
        </w:rPr>
        <w:t xml:space="preserve"> and the lungs were processed to single cell suspensions according to manufacturer’s instructions using the </w:t>
      </w:r>
      <w:r w:rsidRPr="0084470C">
        <w:rPr>
          <w:rFonts w:ascii="Times New Roman" w:hAnsi="Times New Roman"/>
          <w:sz w:val="24"/>
          <w:szCs w:val="24"/>
          <w:lang w:val="en-US"/>
        </w:rPr>
        <w:t>GentleMACS</w:t>
      </w:r>
      <w:r w:rsidRPr="0084470C">
        <w:rPr>
          <w:rFonts w:ascii="Times New Roman" w:hAnsi="Times New Roman"/>
          <w:sz w:val="24"/>
          <w:szCs w:val="24"/>
          <w:vertAlign w:val="superscript"/>
          <w:lang w:val="en-US"/>
        </w:rPr>
        <w:t>TM</w:t>
      </w:r>
      <w:r w:rsidRPr="0084470C">
        <w:rPr>
          <w:rFonts w:ascii="Times New Roman" w:hAnsi="Times New Roman"/>
          <w:sz w:val="24"/>
          <w:szCs w:val="24"/>
          <w:lang w:val="en-US"/>
        </w:rPr>
        <w:t xml:space="preserve"> Dissociator</w:t>
      </w:r>
      <w:r>
        <w:rPr>
          <w:rFonts w:ascii="Times New Roman" w:hAnsi="Times New Roman" w:cs="Times New Roman"/>
          <w:sz w:val="24"/>
        </w:rPr>
        <w:t xml:space="preserve"> (</w:t>
      </w:r>
      <w:r w:rsidRPr="009F3509">
        <w:rPr>
          <w:rFonts w:ascii="Times New Roman" w:hAnsi="Times New Roman" w:cs="Times New Roman"/>
          <w:sz w:val="24"/>
        </w:rPr>
        <w:t>Miltenyi Biotec</w:t>
      </w:r>
      <w:r>
        <w:rPr>
          <w:rFonts w:ascii="Times New Roman" w:hAnsi="Times New Roman" w:cs="Times New Roman"/>
          <w:sz w:val="24"/>
        </w:rPr>
        <w:t>h, UK) and mouse lung dissociation kits (</w:t>
      </w:r>
      <w:r w:rsidRPr="009F3509">
        <w:rPr>
          <w:rFonts w:ascii="Times New Roman" w:hAnsi="Times New Roman" w:cs="Times New Roman"/>
          <w:sz w:val="24"/>
        </w:rPr>
        <w:t>Miltenyi Biotec</w:t>
      </w:r>
      <w:r>
        <w:rPr>
          <w:rFonts w:ascii="Times New Roman" w:hAnsi="Times New Roman" w:cs="Times New Roman"/>
          <w:sz w:val="24"/>
        </w:rPr>
        <w:t>h, UK).</w:t>
      </w:r>
    </w:p>
    <w:p w14:paraId="7757C87D" w14:textId="77777777" w:rsidR="00CA20A3" w:rsidRDefault="00CA20A3" w:rsidP="00B133C1">
      <w:pPr>
        <w:autoSpaceDE w:val="0"/>
        <w:autoSpaceDN w:val="0"/>
        <w:adjustRightInd w:val="0"/>
        <w:spacing w:after="0" w:line="480" w:lineRule="auto"/>
        <w:rPr>
          <w:rFonts w:ascii="Times New Roman" w:hAnsi="Times New Roman" w:cs="Times New Roman"/>
          <w:sz w:val="24"/>
        </w:rPr>
      </w:pPr>
    </w:p>
    <w:p w14:paraId="0387C083" w14:textId="77777777" w:rsidR="008A54D7" w:rsidRPr="002753BE" w:rsidRDefault="008A54D7"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b/>
          <w:sz w:val="24"/>
        </w:rPr>
        <w:t>IgE ELISA:</w:t>
      </w:r>
    </w:p>
    <w:p w14:paraId="09F11AFD" w14:textId="77777777" w:rsidR="004000A1" w:rsidRPr="004000A1" w:rsidRDefault="004000A1" w:rsidP="004000A1">
      <w:pPr>
        <w:autoSpaceDE w:val="0"/>
        <w:autoSpaceDN w:val="0"/>
        <w:adjustRightInd w:val="0"/>
        <w:spacing w:after="0" w:line="480" w:lineRule="auto"/>
        <w:rPr>
          <w:rFonts w:ascii="Times New Roman" w:hAnsi="Times New Roman" w:cs="Times New Roman"/>
          <w:i/>
          <w:sz w:val="24"/>
        </w:rPr>
      </w:pPr>
      <w:r w:rsidRPr="004000A1">
        <w:rPr>
          <w:rFonts w:ascii="Times New Roman" w:hAnsi="Times New Roman" w:cs="Times New Roman"/>
          <w:i/>
          <w:sz w:val="24"/>
        </w:rPr>
        <w:t>Total</w:t>
      </w:r>
      <w:r w:rsidR="003B0A1F">
        <w:rPr>
          <w:rFonts w:ascii="Times New Roman" w:hAnsi="Times New Roman" w:cs="Times New Roman"/>
          <w:i/>
          <w:sz w:val="24"/>
        </w:rPr>
        <w:t xml:space="preserve"> and HDM-specific</w:t>
      </w:r>
      <w:r w:rsidRPr="004000A1">
        <w:rPr>
          <w:rFonts w:ascii="Times New Roman" w:hAnsi="Times New Roman" w:cs="Times New Roman"/>
          <w:i/>
          <w:sz w:val="24"/>
        </w:rPr>
        <w:t xml:space="preserve"> IgE:</w:t>
      </w:r>
    </w:p>
    <w:p w14:paraId="01A514A3" w14:textId="7DADED16" w:rsidR="001025FA" w:rsidRDefault="001F0299" w:rsidP="004000A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Total IgE</w:t>
      </w:r>
      <w:r w:rsidR="004000A1" w:rsidRPr="004000A1">
        <w:rPr>
          <w:rFonts w:ascii="Times New Roman" w:hAnsi="Times New Roman" w:cs="Times New Roman"/>
          <w:sz w:val="24"/>
        </w:rPr>
        <w:t xml:space="preserve"> r</w:t>
      </w:r>
      <w:r>
        <w:rPr>
          <w:rFonts w:ascii="Times New Roman" w:hAnsi="Times New Roman" w:cs="Times New Roman"/>
          <w:sz w:val="24"/>
        </w:rPr>
        <w:t>esponse was</w:t>
      </w:r>
      <w:r w:rsidR="004000A1">
        <w:rPr>
          <w:rFonts w:ascii="Times New Roman" w:hAnsi="Times New Roman" w:cs="Times New Roman"/>
          <w:sz w:val="24"/>
        </w:rPr>
        <w:t xml:space="preserve"> assessed by ELISA. </w:t>
      </w:r>
      <w:r w:rsidR="004000A1" w:rsidRPr="004000A1">
        <w:rPr>
          <w:rFonts w:ascii="Times New Roman" w:hAnsi="Times New Roman" w:cs="Times New Roman"/>
          <w:sz w:val="24"/>
        </w:rPr>
        <w:t>96-well plate</w:t>
      </w:r>
      <w:r w:rsidR="004000A1">
        <w:rPr>
          <w:rFonts w:ascii="Times New Roman" w:hAnsi="Times New Roman" w:cs="Times New Roman"/>
          <w:sz w:val="24"/>
        </w:rPr>
        <w:t>s (Maxisorp; Nunc, UK</w:t>
      </w:r>
      <w:r>
        <w:rPr>
          <w:rFonts w:ascii="Times New Roman" w:hAnsi="Times New Roman" w:cs="Times New Roman"/>
          <w:sz w:val="24"/>
        </w:rPr>
        <w:t>) were coated and incubated</w:t>
      </w:r>
      <w:r w:rsidR="00351F5C">
        <w:rPr>
          <w:rFonts w:ascii="Times New Roman" w:hAnsi="Times New Roman" w:cs="Times New Roman"/>
          <w:sz w:val="24"/>
        </w:rPr>
        <w:t xml:space="preserve"> overnight</w:t>
      </w:r>
      <w:r>
        <w:rPr>
          <w:rFonts w:ascii="Times New Roman" w:hAnsi="Times New Roman" w:cs="Times New Roman"/>
          <w:sz w:val="24"/>
        </w:rPr>
        <w:t xml:space="preserve"> at 4</w:t>
      </w:r>
      <w:r w:rsidRPr="001F0299">
        <w:rPr>
          <w:rFonts w:ascii="Times New Roman" w:hAnsi="Times New Roman" w:cs="Times New Roman"/>
          <w:sz w:val="24"/>
          <w:vertAlign w:val="superscript"/>
        </w:rPr>
        <w:t>o</w:t>
      </w:r>
      <w:r w:rsidR="00351F5C">
        <w:rPr>
          <w:rFonts w:ascii="Times New Roman" w:hAnsi="Times New Roman" w:cs="Times New Roman"/>
          <w:sz w:val="24"/>
        </w:rPr>
        <w:t>C</w:t>
      </w:r>
      <w:r>
        <w:rPr>
          <w:rFonts w:ascii="Times New Roman" w:hAnsi="Times New Roman" w:cs="Times New Roman"/>
          <w:sz w:val="24"/>
        </w:rPr>
        <w:t xml:space="preserve"> with 50µl of a 1:250 diluted (in PBS) anti-IgE antibody </w:t>
      </w:r>
      <w:r w:rsidR="00141577">
        <w:rPr>
          <w:rFonts w:ascii="Times New Roman" w:hAnsi="Times New Roman" w:cs="Times New Roman"/>
          <w:sz w:val="24"/>
        </w:rPr>
        <w:t>(BD Biosciences</w:t>
      </w:r>
      <w:r>
        <w:rPr>
          <w:rFonts w:ascii="Times New Roman" w:hAnsi="Times New Roman" w:cs="Times New Roman"/>
          <w:sz w:val="24"/>
        </w:rPr>
        <w:t>, UK</w:t>
      </w:r>
      <w:r w:rsidR="00351F5C">
        <w:rPr>
          <w:rFonts w:ascii="Times New Roman" w:hAnsi="Times New Roman" w:cs="Times New Roman"/>
          <w:sz w:val="24"/>
        </w:rPr>
        <w:t>, clone: R35-72</w:t>
      </w:r>
      <w:r>
        <w:rPr>
          <w:rFonts w:ascii="Times New Roman" w:hAnsi="Times New Roman" w:cs="Times New Roman"/>
          <w:sz w:val="24"/>
        </w:rPr>
        <w:t>).</w:t>
      </w:r>
      <w:r w:rsidR="001025FA">
        <w:rPr>
          <w:rFonts w:ascii="Times New Roman" w:hAnsi="Times New Roman" w:cs="Times New Roman"/>
          <w:sz w:val="24"/>
        </w:rPr>
        <w:t xml:space="preserve"> For HDM-specific IgE, wells were coated with 50µl of a 1mg/ml solution of HDM extract and incubated as per total IgE plates. From this point onwards, both total and HDM-specific plates were treated the same.</w:t>
      </w:r>
    </w:p>
    <w:p w14:paraId="35155196" w14:textId="10BE9D1B" w:rsidR="001F0299" w:rsidRDefault="00837174" w:rsidP="004000A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Plates were then washed with PBS containing 0.05% Tween-20</w:t>
      </w:r>
      <w:r w:rsidR="00893778">
        <w:rPr>
          <w:rFonts w:ascii="Times New Roman" w:hAnsi="Times New Roman" w:cs="Times New Roman"/>
          <w:sz w:val="24"/>
        </w:rPr>
        <w:t xml:space="preserve"> (wash buffer)</w:t>
      </w:r>
      <w:r>
        <w:rPr>
          <w:rFonts w:ascii="Times New Roman" w:hAnsi="Times New Roman" w:cs="Times New Roman"/>
          <w:sz w:val="24"/>
        </w:rPr>
        <w:t xml:space="preserve"> after which plates were blocked</w:t>
      </w:r>
      <w:r w:rsidR="00675C7C">
        <w:rPr>
          <w:rFonts w:ascii="Times New Roman" w:hAnsi="Times New Roman" w:cs="Times New Roman"/>
          <w:sz w:val="24"/>
        </w:rPr>
        <w:t xml:space="preserve"> for 1 hour</w:t>
      </w:r>
      <w:r>
        <w:rPr>
          <w:rFonts w:ascii="Times New Roman" w:hAnsi="Times New Roman" w:cs="Times New Roman"/>
          <w:sz w:val="24"/>
        </w:rPr>
        <w:t xml:space="preserve"> using 100µl/well of PBS containing 4% BSA (Sigma-Aldrich, UK).</w:t>
      </w:r>
      <w:r w:rsidR="00141577">
        <w:rPr>
          <w:rFonts w:ascii="Times New Roman" w:hAnsi="Times New Roman" w:cs="Times New Roman"/>
          <w:sz w:val="24"/>
        </w:rPr>
        <w:t xml:space="preserve"> A standard calibration range of 100 – 1.5ng/ml purified mouse IgE (BD, Biosciences) was prepared using PBS containing 4% BSA</w:t>
      </w:r>
      <w:r w:rsidR="00893778">
        <w:rPr>
          <w:rFonts w:ascii="Times New Roman" w:hAnsi="Times New Roman" w:cs="Times New Roman"/>
          <w:sz w:val="24"/>
        </w:rPr>
        <w:t>.</w:t>
      </w:r>
      <w:r w:rsidR="00141577">
        <w:rPr>
          <w:rFonts w:ascii="Times New Roman" w:hAnsi="Times New Roman" w:cs="Times New Roman"/>
          <w:sz w:val="24"/>
        </w:rPr>
        <w:t xml:space="preserve">  After removing blocking reagent and without washing, 50µl of 1:2000</w:t>
      </w:r>
      <w:r w:rsidR="00E05CE8">
        <w:rPr>
          <w:rFonts w:ascii="Times New Roman" w:hAnsi="Times New Roman" w:cs="Times New Roman"/>
          <w:sz w:val="24"/>
        </w:rPr>
        <w:t xml:space="preserve"> for total IgE and 1:500 for HDM-specific IgE</w:t>
      </w:r>
      <w:r w:rsidR="00141577">
        <w:rPr>
          <w:rFonts w:ascii="Times New Roman" w:hAnsi="Times New Roman" w:cs="Times New Roman"/>
          <w:sz w:val="24"/>
        </w:rPr>
        <w:t xml:space="preserve"> diluted</w:t>
      </w:r>
      <w:r w:rsidR="00E05CE8">
        <w:rPr>
          <w:rFonts w:ascii="Times New Roman" w:hAnsi="Times New Roman" w:cs="Times New Roman"/>
          <w:sz w:val="24"/>
        </w:rPr>
        <w:t xml:space="preserve"> serum</w:t>
      </w:r>
      <w:r w:rsidR="00141577">
        <w:rPr>
          <w:rFonts w:ascii="Times New Roman" w:hAnsi="Times New Roman" w:cs="Times New Roman"/>
          <w:sz w:val="24"/>
        </w:rPr>
        <w:t xml:space="preserve"> sample</w:t>
      </w:r>
      <w:r w:rsidR="00E05CE8">
        <w:rPr>
          <w:rFonts w:ascii="Times New Roman" w:hAnsi="Times New Roman" w:cs="Times New Roman"/>
          <w:sz w:val="24"/>
        </w:rPr>
        <w:t>s</w:t>
      </w:r>
      <w:r w:rsidR="00141577">
        <w:rPr>
          <w:rFonts w:ascii="Times New Roman" w:hAnsi="Times New Roman" w:cs="Times New Roman"/>
          <w:sz w:val="24"/>
        </w:rPr>
        <w:t xml:space="preserve"> or standard</w:t>
      </w:r>
      <w:r w:rsidR="00E05CE8">
        <w:rPr>
          <w:rFonts w:ascii="Times New Roman" w:hAnsi="Times New Roman" w:cs="Times New Roman"/>
          <w:sz w:val="24"/>
        </w:rPr>
        <w:t>s</w:t>
      </w:r>
      <w:r w:rsidR="00141577">
        <w:rPr>
          <w:rFonts w:ascii="Times New Roman" w:hAnsi="Times New Roman" w:cs="Times New Roman"/>
          <w:sz w:val="24"/>
        </w:rPr>
        <w:t xml:space="preserve"> were incubated overnight at 4</w:t>
      </w:r>
      <w:r w:rsidR="00141577" w:rsidRPr="00141577">
        <w:rPr>
          <w:rFonts w:ascii="Times New Roman" w:hAnsi="Times New Roman" w:cs="Times New Roman"/>
          <w:sz w:val="24"/>
          <w:vertAlign w:val="superscript"/>
        </w:rPr>
        <w:t>o</w:t>
      </w:r>
      <w:r w:rsidR="00141577">
        <w:rPr>
          <w:rFonts w:ascii="Times New Roman" w:hAnsi="Times New Roman" w:cs="Times New Roman"/>
          <w:sz w:val="24"/>
        </w:rPr>
        <w:t>C.</w:t>
      </w:r>
      <w:r w:rsidR="00893778">
        <w:rPr>
          <w:rFonts w:ascii="Times New Roman" w:hAnsi="Times New Roman" w:cs="Times New Roman"/>
          <w:sz w:val="24"/>
        </w:rPr>
        <w:t xml:space="preserve"> Plates were then washed using wash buffer and then incubated for 1 hour at 4</w:t>
      </w:r>
      <w:r w:rsidR="00893778" w:rsidRPr="00893778">
        <w:rPr>
          <w:rFonts w:ascii="Times New Roman" w:hAnsi="Times New Roman" w:cs="Times New Roman"/>
          <w:sz w:val="24"/>
          <w:vertAlign w:val="superscript"/>
        </w:rPr>
        <w:t>o</w:t>
      </w:r>
      <w:r w:rsidR="00893778">
        <w:rPr>
          <w:rFonts w:ascii="Times New Roman" w:hAnsi="Times New Roman" w:cs="Times New Roman"/>
          <w:sz w:val="24"/>
        </w:rPr>
        <w:t xml:space="preserve">C using 50µl of a 1:250 diluted (in PBS containing 4% BSA and 0.05% Tween-20 (assay buffer)) solution of biotinylated anti-IgE antibody (BD Biosciences, clone: R35-118). After washing the plates in wash buffer, 50µl of a 1:4000 diluted (in assay buffer) solution of streptavidin-horse radish peroxidase (Amersham Bioscience, UK) was added to each well and incubated for 30 minutes at room temperature. After washing plates using </w:t>
      </w:r>
      <w:r w:rsidR="00075D0D">
        <w:rPr>
          <w:rFonts w:ascii="Times New Roman" w:hAnsi="Times New Roman" w:cs="Times New Roman"/>
          <w:sz w:val="24"/>
        </w:rPr>
        <w:t xml:space="preserve">wash buffer, 100µl of </w:t>
      </w:r>
      <w:r w:rsidR="00075D0D" w:rsidRPr="00075D0D">
        <w:rPr>
          <w:rFonts w:ascii="Times New Roman" w:hAnsi="Times New Roman" w:cs="Times New Roman"/>
          <w:sz w:val="24"/>
        </w:rPr>
        <w:t>3, 3`, 5, 5`-tetramethyl be</w:t>
      </w:r>
      <w:r w:rsidR="00075D0D">
        <w:rPr>
          <w:rFonts w:ascii="Times New Roman" w:hAnsi="Times New Roman" w:cs="Times New Roman"/>
          <w:sz w:val="24"/>
        </w:rPr>
        <w:t xml:space="preserve">nzidine Liquid substrate system (TMB, </w:t>
      </w:r>
      <w:r w:rsidR="00075D0D" w:rsidRPr="00075D0D">
        <w:rPr>
          <w:rFonts w:ascii="Times New Roman" w:hAnsi="Times New Roman" w:cs="Times New Roman"/>
          <w:sz w:val="24"/>
        </w:rPr>
        <w:t>Sigma</w:t>
      </w:r>
      <w:r w:rsidR="00075D0D">
        <w:rPr>
          <w:rFonts w:ascii="Times New Roman" w:hAnsi="Times New Roman" w:cs="Times New Roman"/>
          <w:sz w:val="24"/>
        </w:rPr>
        <w:t>-</w:t>
      </w:r>
      <w:r w:rsidR="00075D0D" w:rsidRPr="00075D0D">
        <w:rPr>
          <w:rFonts w:ascii="Times New Roman" w:hAnsi="Times New Roman" w:cs="Times New Roman"/>
          <w:sz w:val="24"/>
        </w:rPr>
        <w:t>Aldrich</w:t>
      </w:r>
      <w:r w:rsidR="00075D0D">
        <w:rPr>
          <w:rFonts w:ascii="Times New Roman" w:hAnsi="Times New Roman" w:cs="Times New Roman"/>
          <w:sz w:val="24"/>
        </w:rPr>
        <w:t>, UK) was added to each well for 5-10 minutes, or until the lowest standard had developed colour.</w:t>
      </w:r>
      <w:r w:rsidR="00872DFA">
        <w:rPr>
          <w:rFonts w:ascii="Times New Roman" w:hAnsi="Times New Roman" w:cs="Times New Roman"/>
          <w:sz w:val="24"/>
        </w:rPr>
        <w:t xml:space="preserve"> The reaction was then stopped using 100µl of 0.25M Sulphuric acid.</w:t>
      </w:r>
      <w:r w:rsidR="003641BE">
        <w:rPr>
          <w:rFonts w:ascii="Times New Roman" w:hAnsi="Times New Roman" w:cs="Times New Roman"/>
          <w:sz w:val="24"/>
        </w:rPr>
        <w:t xml:space="preserve"> Optical densities were read at 450nm.</w:t>
      </w:r>
      <w:r w:rsidR="00966560">
        <w:rPr>
          <w:rFonts w:ascii="Times New Roman" w:hAnsi="Times New Roman" w:cs="Times New Roman"/>
          <w:sz w:val="24"/>
        </w:rPr>
        <w:t xml:space="preserve"> Concentrations of total IgE were calculated from the standard curve using Softmax Pro software (Molecular devices, Sunnyvale, California, USA).</w:t>
      </w:r>
      <w:r w:rsidR="00323F4F">
        <w:rPr>
          <w:rFonts w:ascii="Times New Roman" w:hAnsi="Times New Roman" w:cs="Times New Roman"/>
          <w:sz w:val="24"/>
        </w:rPr>
        <w:t xml:space="preserve"> Raw optical density values at 450nm were plotted for HDM-specific IgE.</w:t>
      </w:r>
    </w:p>
    <w:p w14:paraId="7B9DCD73" w14:textId="77777777" w:rsidR="009662BC" w:rsidRDefault="009662BC" w:rsidP="004000A1">
      <w:pPr>
        <w:autoSpaceDE w:val="0"/>
        <w:autoSpaceDN w:val="0"/>
        <w:adjustRightInd w:val="0"/>
        <w:spacing w:after="0" w:line="480" w:lineRule="auto"/>
        <w:rPr>
          <w:rFonts w:ascii="Times New Roman" w:hAnsi="Times New Roman" w:cs="Times New Roman"/>
          <w:sz w:val="24"/>
        </w:rPr>
      </w:pPr>
    </w:p>
    <w:p w14:paraId="0DE7ACF5" w14:textId="77777777" w:rsidR="00B133C1" w:rsidRPr="0079462A" w:rsidRDefault="00B133C1" w:rsidP="00B133C1">
      <w:pPr>
        <w:autoSpaceDE w:val="0"/>
        <w:autoSpaceDN w:val="0"/>
        <w:adjustRightInd w:val="0"/>
        <w:spacing w:after="0" w:line="480" w:lineRule="auto"/>
        <w:rPr>
          <w:rFonts w:ascii="Times New Roman" w:hAnsi="Times New Roman" w:cs="Times New Roman"/>
          <w:b/>
          <w:sz w:val="24"/>
        </w:rPr>
      </w:pPr>
      <w:r w:rsidRPr="0079462A">
        <w:rPr>
          <w:rFonts w:ascii="Times New Roman" w:hAnsi="Times New Roman" w:cs="Times New Roman"/>
          <w:b/>
          <w:sz w:val="24"/>
        </w:rPr>
        <w:t>Analysis</w:t>
      </w:r>
      <w:r>
        <w:rPr>
          <w:rFonts w:ascii="Times New Roman" w:hAnsi="Times New Roman" w:cs="Times New Roman"/>
          <w:b/>
          <w:sz w:val="24"/>
        </w:rPr>
        <w:t xml:space="preserve"> and quantification</w:t>
      </w:r>
      <w:r w:rsidRPr="0079462A">
        <w:rPr>
          <w:rFonts w:ascii="Times New Roman" w:hAnsi="Times New Roman" w:cs="Times New Roman"/>
          <w:b/>
          <w:sz w:val="24"/>
        </w:rPr>
        <w:t xml:space="preserve"> of cell composition:</w:t>
      </w:r>
    </w:p>
    <w:p w14:paraId="0BE2DA3B" w14:textId="77777777" w:rsidR="00B133C1" w:rsidRPr="008D5948" w:rsidRDefault="00B133C1" w:rsidP="00B133C1">
      <w:pPr>
        <w:autoSpaceDE w:val="0"/>
        <w:autoSpaceDN w:val="0"/>
        <w:adjustRightInd w:val="0"/>
        <w:spacing w:after="0" w:line="480" w:lineRule="auto"/>
        <w:rPr>
          <w:rFonts w:ascii="Times New Roman" w:hAnsi="Times New Roman" w:cs="Times New Roman"/>
          <w:i/>
          <w:sz w:val="24"/>
        </w:rPr>
      </w:pPr>
      <w:r w:rsidRPr="008D5948">
        <w:rPr>
          <w:rFonts w:ascii="Times New Roman" w:hAnsi="Times New Roman" w:cs="Times New Roman"/>
          <w:i/>
          <w:sz w:val="24"/>
        </w:rPr>
        <w:t>Sysmex</w:t>
      </w:r>
      <w:r>
        <w:rPr>
          <w:rFonts w:ascii="Times New Roman" w:hAnsi="Times New Roman" w:cs="Times New Roman"/>
          <w:i/>
          <w:sz w:val="24"/>
        </w:rPr>
        <w:t xml:space="preserve"> XT vet 2000i analysis</w:t>
      </w:r>
      <w:r w:rsidRPr="008D5948">
        <w:rPr>
          <w:rFonts w:ascii="Times New Roman" w:hAnsi="Times New Roman" w:cs="Times New Roman"/>
          <w:i/>
          <w:sz w:val="24"/>
        </w:rPr>
        <w:t>:</w:t>
      </w:r>
    </w:p>
    <w:p w14:paraId="18DAD381"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All tissue samples containing single cell suspensions were analysed using an XT vet 2000i flow cytometer (Sysmex, UK) to obtain total and differential (eosinophil, neutrophil, lymphocyte and macrophage) cell counts. Species and tissue specific gating algorithms developed and characterised by Sysmex, UK were used to quantify cell populations.</w:t>
      </w:r>
    </w:p>
    <w:p w14:paraId="1DF0B154"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35CF9ADA" w14:textId="77777777" w:rsidR="00B133C1" w:rsidRPr="003B61F0" w:rsidRDefault="00B133C1" w:rsidP="00B133C1">
      <w:pPr>
        <w:autoSpaceDE w:val="0"/>
        <w:autoSpaceDN w:val="0"/>
        <w:adjustRightInd w:val="0"/>
        <w:spacing w:after="0" w:line="480" w:lineRule="auto"/>
        <w:rPr>
          <w:rFonts w:ascii="Times New Roman" w:hAnsi="Times New Roman" w:cs="Times New Roman"/>
          <w:i/>
          <w:sz w:val="24"/>
        </w:rPr>
      </w:pPr>
      <w:r w:rsidRPr="003B61F0">
        <w:rPr>
          <w:rFonts w:ascii="Times New Roman" w:hAnsi="Times New Roman" w:cs="Times New Roman"/>
          <w:i/>
          <w:sz w:val="24"/>
        </w:rPr>
        <w:t>FACSCantoII analysis:</w:t>
      </w:r>
    </w:p>
    <w:p w14:paraId="78746948"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For analysis of lymphocyte and myeloid subsets, a surface and intra-cellular marker staining protocol was used and samples were run on a FACSCantoII machine (Becton Dickinson, UK) running FACSDiva software version 8. Data analysis was performed using FlowJo version 7.6.5 (FlowJo LLC, US).</w:t>
      </w:r>
    </w:p>
    <w:p w14:paraId="24F7EDA3"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The staining procedure was as follows (for antibodies, clone number, suppliers, fluorochrome conjugates and dilutions please refer to supplementary tables):</w:t>
      </w:r>
    </w:p>
    <w:p w14:paraId="56645111"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Red blood cells of single cell suspensions containing 1x10</w:t>
      </w:r>
      <w:r w:rsidRPr="00B950E3">
        <w:rPr>
          <w:rFonts w:ascii="Times New Roman" w:hAnsi="Times New Roman" w:cs="Times New Roman"/>
          <w:sz w:val="24"/>
          <w:vertAlign w:val="superscript"/>
        </w:rPr>
        <w:t>6</w:t>
      </w:r>
      <w:r>
        <w:rPr>
          <w:rFonts w:ascii="Times New Roman" w:hAnsi="Times New Roman" w:cs="Times New Roman"/>
          <w:sz w:val="24"/>
        </w:rPr>
        <w:t xml:space="preserve"> cells were lysed using a 1/10 dilution in sterile distilled water of IO Test 3 solution (Beckman Coulter, UK) for 5 minutes at room temperature. The lysing solution was then washed twice by centrifugation at 370g for 5 minutes at 4</w:t>
      </w:r>
      <w:r w:rsidRPr="004B5BA1">
        <w:rPr>
          <w:rFonts w:ascii="Times New Roman" w:hAnsi="Times New Roman" w:cs="Times New Roman"/>
          <w:sz w:val="24"/>
          <w:vertAlign w:val="superscript"/>
        </w:rPr>
        <w:t>o</w:t>
      </w:r>
      <w:r>
        <w:rPr>
          <w:rFonts w:ascii="Times New Roman" w:hAnsi="Times New Roman" w:cs="Times New Roman"/>
          <w:sz w:val="24"/>
        </w:rPr>
        <w:t>C. Supernatants were discarded and cell pellets were resuspended in 20</w:t>
      </w:r>
      <w:r>
        <w:rPr>
          <w:rFonts w:ascii="Times New Roman" w:hAnsi="Times New Roman" w:cs="Times New Roman"/>
          <w:sz w:val="24"/>
        </w:rPr>
        <w:sym w:font="Symbol" w:char="F06D"/>
      </w:r>
      <w:r>
        <w:rPr>
          <w:rFonts w:ascii="Times New Roman" w:hAnsi="Times New Roman" w:cs="Times New Roman"/>
          <w:sz w:val="24"/>
        </w:rPr>
        <w:t>l Fc-Block</w:t>
      </w:r>
      <w:r w:rsidRPr="00E901C0">
        <w:rPr>
          <w:rFonts w:ascii="Times New Roman" w:hAnsi="Times New Roman" w:cs="Times New Roman"/>
          <w:sz w:val="24"/>
          <w:vertAlign w:val="superscript"/>
        </w:rPr>
        <w:t>TM</w:t>
      </w:r>
      <w:r>
        <w:rPr>
          <w:rFonts w:ascii="Times New Roman" w:hAnsi="Times New Roman" w:cs="Times New Roman"/>
          <w:sz w:val="24"/>
        </w:rPr>
        <w:t xml:space="preserve"> to block non-specific Fc</w:t>
      </w:r>
      <w:r>
        <w:rPr>
          <w:rFonts w:ascii="Times New Roman" w:hAnsi="Times New Roman" w:cs="Times New Roman"/>
          <w:sz w:val="24"/>
        </w:rPr>
        <w:sym w:font="Symbol" w:char="F067"/>
      </w:r>
      <w:r>
        <w:rPr>
          <w:rFonts w:ascii="Times New Roman" w:hAnsi="Times New Roman" w:cs="Times New Roman"/>
          <w:sz w:val="24"/>
        </w:rPr>
        <w:t xml:space="preserve"> binding sites for 10 minutes at 4</w:t>
      </w:r>
      <w:r w:rsidRPr="00E901C0">
        <w:rPr>
          <w:rFonts w:ascii="Times New Roman" w:hAnsi="Times New Roman" w:cs="Times New Roman"/>
          <w:sz w:val="24"/>
          <w:vertAlign w:val="superscript"/>
        </w:rPr>
        <w:t>o</w:t>
      </w:r>
      <w:r>
        <w:rPr>
          <w:rFonts w:ascii="Times New Roman" w:hAnsi="Times New Roman" w:cs="Times New Roman"/>
          <w:sz w:val="24"/>
        </w:rPr>
        <w:t>C. Without washing off Fc-Block</w:t>
      </w:r>
      <w:r w:rsidRPr="00E901C0">
        <w:rPr>
          <w:rFonts w:ascii="Times New Roman" w:hAnsi="Times New Roman" w:cs="Times New Roman"/>
          <w:sz w:val="24"/>
          <w:vertAlign w:val="superscript"/>
        </w:rPr>
        <w:t>TM</w:t>
      </w:r>
      <w:r>
        <w:rPr>
          <w:rFonts w:ascii="Times New Roman" w:hAnsi="Times New Roman" w:cs="Times New Roman"/>
          <w:sz w:val="24"/>
        </w:rPr>
        <w:t>, cells were stained with 50</w:t>
      </w:r>
      <w:r>
        <w:rPr>
          <w:rFonts w:ascii="Times New Roman" w:hAnsi="Times New Roman" w:cs="Times New Roman"/>
          <w:sz w:val="24"/>
        </w:rPr>
        <w:sym w:font="Symbol" w:char="F06D"/>
      </w:r>
      <w:r>
        <w:rPr>
          <w:rFonts w:ascii="Times New Roman" w:hAnsi="Times New Roman" w:cs="Times New Roman"/>
          <w:sz w:val="24"/>
        </w:rPr>
        <w:t>l surface marker antibody cocktails for 10 minutes at 4</w:t>
      </w:r>
      <w:r w:rsidRPr="002C7B6C">
        <w:rPr>
          <w:rFonts w:ascii="Times New Roman" w:hAnsi="Times New Roman" w:cs="Times New Roman"/>
          <w:sz w:val="24"/>
          <w:vertAlign w:val="superscript"/>
        </w:rPr>
        <w:t>o</w:t>
      </w:r>
      <w:r>
        <w:rPr>
          <w:rFonts w:ascii="Times New Roman" w:hAnsi="Times New Roman" w:cs="Times New Roman"/>
          <w:sz w:val="24"/>
        </w:rPr>
        <w:t>C in the dark after which cells were washed twice (as before) to remove any unbound antibodies. Cell pellets were then resuspended in 200</w:t>
      </w:r>
      <w:r>
        <w:rPr>
          <w:rFonts w:ascii="Times New Roman" w:hAnsi="Times New Roman" w:cs="Times New Roman"/>
          <w:sz w:val="24"/>
        </w:rPr>
        <w:sym w:font="Symbol" w:char="F06D"/>
      </w:r>
      <w:r>
        <w:rPr>
          <w:rFonts w:ascii="Times New Roman" w:hAnsi="Times New Roman" w:cs="Times New Roman"/>
          <w:sz w:val="24"/>
        </w:rPr>
        <w:t>l of FACS buffer (D-PBS containing 1% Foetal Calf Serum). Data was then acquired on a calibrated FACSCantoII flow cytometer (Becton Dickinson, UK) using fluorochrome compensated protocols. For protocols requiring intra-cellular staining, cell pellets were resuspended in 100</w:t>
      </w:r>
      <w:r>
        <w:rPr>
          <w:rFonts w:ascii="Times New Roman" w:hAnsi="Times New Roman" w:cs="Times New Roman"/>
          <w:sz w:val="24"/>
        </w:rPr>
        <w:sym w:font="Symbol" w:char="F06D"/>
      </w:r>
      <w:r>
        <w:rPr>
          <w:rFonts w:ascii="Times New Roman" w:hAnsi="Times New Roman" w:cs="Times New Roman"/>
          <w:sz w:val="24"/>
        </w:rPr>
        <w:t>l of Fix/Perm buffer and incubated for 30 minutes at 4</w:t>
      </w:r>
      <w:r w:rsidRPr="000778EF">
        <w:rPr>
          <w:rFonts w:ascii="Times New Roman" w:hAnsi="Times New Roman" w:cs="Times New Roman"/>
          <w:sz w:val="24"/>
          <w:vertAlign w:val="superscript"/>
        </w:rPr>
        <w:t>o</w:t>
      </w:r>
      <w:r>
        <w:rPr>
          <w:rFonts w:ascii="Times New Roman" w:hAnsi="Times New Roman" w:cs="Times New Roman"/>
          <w:sz w:val="24"/>
        </w:rPr>
        <w:t>C or left overnight. Cells were then washed twice (as before) and cell pellets were resuspended in 50</w:t>
      </w:r>
      <w:r>
        <w:rPr>
          <w:rFonts w:ascii="Times New Roman" w:hAnsi="Times New Roman" w:cs="Times New Roman"/>
          <w:sz w:val="24"/>
        </w:rPr>
        <w:sym w:font="Symbol" w:char="F06D"/>
      </w:r>
      <w:r>
        <w:rPr>
          <w:rFonts w:ascii="Times New Roman" w:hAnsi="Times New Roman" w:cs="Times New Roman"/>
          <w:sz w:val="24"/>
        </w:rPr>
        <w:t>l of intra-cellular staining solution for 1 hour at 4</w:t>
      </w:r>
      <w:r w:rsidRPr="005542B6">
        <w:rPr>
          <w:rFonts w:ascii="Times New Roman" w:hAnsi="Times New Roman" w:cs="Times New Roman"/>
          <w:sz w:val="24"/>
          <w:vertAlign w:val="superscript"/>
        </w:rPr>
        <w:t>o</w:t>
      </w:r>
      <w:r>
        <w:rPr>
          <w:rFonts w:ascii="Times New Roman" w:hAnsi="Times New Roman" w:cs="Times New Roman"/>
          <w:sz w:val="24"/>
        </w:rPr>
        <w:t>C in the dark. Cells were then washed twice (as before) and pellets resuspended in 200</w:t>
      </w:r>
      <w:r>
        <w:rPr>
          <w:rFonts w:ascii="Times New Roman" w:hAnsi="Times New Roman" w:cs="Times New Roman"/>
          <w:sz w:val="24"/>
        </w:rPr>
        <w:sym w:font="Symbol" w:char="F06D"/>
      </w:r>
      <w:r>
        <w:rPr>
          <w:rFonts w:ascii="Times New Roman" w:hAnsi="Times New Roman" w:cs="Times New Roman"/>
          <w:sz w:val="24"/>
        </w:rPr>
        <w:t>l of FACS buffer. Data was then acquired on fluorochrome compensated protocols on a calibrated FACSCantoII machine.</w:t>
      </w:r>
    </w:p>
    <w:p w14:paraId="6186E49F"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0EFD93BD"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Supplementary table 1:</w:t>
      </w:r>
    </w:p>
    <w:p w14:paraId="31196352" w14:textId="77777777" w:rsidR="00B133C1" w:rsidRPr="0011283A" w:rsidRDefault="00B133C1" w:rsidP="00B133C1">
      <w:pPr>
        <w:autoSpaceDE w:val="0"/>
        <w:autoSpaceDN w:val="0"/>
        <w:adjustRightInd w:val="0"/>
        <w:spacing w:after="0" w:line="480" w:lineRule="auto"/>
        <w:rPr>
          <w:rFonts w:ascii="Times New Roman" w:hAnsi="Times New Roman" w:cs="Times New Roman"/>
          <w:i/>
          <w:sz w:val="24"/>
        </w:rPr>
      </w:pPr>
      <w:r w:rsidRPr="0011283A">
        <w:rPr>
          <w:rFonts w:ascii="Times New Roman" w:hAnsi="Times New Roman" w:cs="Times New Roman"/>
          <w:i/>
          <w:sz w:val="24"/>
        </w:rPr>
        <w:t>Myeloid cell panel (eosinophil, neutrophil, alveolar/interstitial macrophages, dendritic cells and monocytes):</w:t>
      </w:r>
    </w:p>
    <w:tbl>
      <w:tblPr>
        <w:tblStyle w:val="TableGrid"/>
        <w:tblpPr w:leftFromText="180" w:rightFromText="180" w:vertAnchor="text" w:horzAnchor="margin" w:tblpXSpec="center" w:tblpY="229"/>
        <w:tblW w:w="7811" w:type="dxa"/>
        <w:tblLook w:val="04A0" w:firstRow="1" w:lastRow="0" w:firstColumn="1" w:lastColumn="0" w:noHBand="0" w:noVBand="1"/>
      </w:tblPr>
      <w:tblGrid>
        <w:gridCol w:w="1330"/>
        <w:gridCol w:w="1519"/>
        <w:gridCol w:w="948"/>
        <w:gridCol w:w="1556"/>
        <w:gridCol w:w="2458"/>
      </w:tblGrid>
      <w:tr w:rsidR="00B133C1" w:rsidRPr="00ED4A5A" w14:paraId="3B8BCC6E" w14:textId="77777777" w:rsidTr="005A2DFB">
        <w:trPr>
          <w:trHeight w:val="306"/>
        </w:trPr>
        <w:tc>
          <w:tcPr>
            <w:tcW w:w="1330" w:type="dxa"/>
            <w:shd w:val="clear" w:color="auto" w:fill="95B3D7" w:themeFill="accent1" w:themeFillTint="99"/>
            <w:noWrap/>
            <w:hideMark/>
          </w:tcPr>
          <w:p w14:paraId="36041A54" w14:textId="77777777" w:rsidR="00B133C1" w:rsidRPr="00ED4A5A" w:rsidRDefault="00B133C1" w:rsidP="005A2DFB">
            <w:pPr>
              <w:rPr>
                <w:b/>
                <w:bCs/>
              </w:rPr>
            </w:pPr>
            <w:r w:rsidRPr="00ED4A5A">
              <w:rPr>
                <w:b/>
                <w:bCs/>
              </w:rPr>
              <w:t>Marker</w:t>
            </w:r>
          </w:p>
        </w:tc>
        <w:tc>
          <w:tcPr>
            <w:tcW w:w="1519" w:type="dxa"/>
            <w:shd w:val="clear" w:color="auto" w:fill="95B3D7" w:themeFill="accent1" w:themeFillTint="99"/>
            <w:noWrap/>
            <w:hideMark/>
          </w:tcPr>
          <w:p w14:paraId="5672E4AD" w14:textId="77777777" w:rsidR="00B133C1" w:rsidRPr="00ED4A5A" w:rsidRDefault="00B133C1" w:rsidP="005A2DFB">
            <w:pPr>
              <w:rPr>
                <w:b/>
                <w:bCs/>
              </w:rPr>
            </w:pPr>
            <w:r w:rsidRPr="00ED4A5A">
              <w:rPr>
                <w:b/>
                <w:bCs/>
              </w:rPr>
              <w:t>Fluorochrome</w:t>
            </w:r>
          </w:p>
        </w:tc>
        <w:tc>
          <w:tcPr>
            <w:tcW w:w="948" w:type="dxa"/>
            <w:shd w:val="clear" w:color="auto" w:fill="95B3D7" w:themeFill="accent1" w:themeFillTint="99"/>
          </w:tcPr>
          <w:p w14:paraId="10BBAAB9" w14:textId="77777777" w:rsidR="00B133C1" w:rsidRPr="00ED4A5A" w:rsidRDefault="00B133C1" w:rsidP="005A2DFB">
            <w:pPr>
              <w:rPr>
                <w:b/>
                <w:bCs/>
              </w:rPr>
            </w:pPr>
            <w:r w:rsidRPr="00ED4A5A">
              <w:rPr>
                <w:b/>
                <w:bCs/>
              </w:rPr>
              <w:t>Dilution</w:t>
            </w:r>
          </w:p>
        </w:tc>
        <w:tc>
          <w:tcPr>
            <w:tcW w:w="1556" w:type="dxa"/>
            <w:shd w:val="clear" w:color="auto" w:fill="95B3D7" w:themeFill="accent1" w:themeFillTint="99"/>
            <w:noWrap/>
            <w:hideMark/>
          </w:tcPr>
          <w:p w14:paraId="0A9147F0" w14:textId="77777777" w:rsidR="00B133C1" w:rsidRPr="00ED4A5A" w:rsidRDefault="00B133C1" w:rsidP="005A2DFB">
            <w:pPr>
              <w:rPr>
                <w:b/>
                <w:bCs/>
              </w:rPr>
            </w:pPr>
            <w:r w:rsidRPr="00ED4A5A">
              <w:rPr>
                <w:b/>
                <w:bCs/>
              </w:rPr>
              <w:t>Clone</w:t>
            </w:r>
            <w:r>
              <w:rPr>
                <w:b/>
                <w:bCs/>
              </w:rPr>
              <w:t xml:space="preserve"> #</w:t>
            </w:r>
          </w:p>
        </w:tc>
        <w:tc>
          <w:tcPr>
            <w:tcW w:w="2458" w:type="dxa"/>
            <w:shd w:val="clear" w:color="auto" w:fill="95B3D7" w:themeFill="accent1" w:themeFillTint="99"/>
            <w:noWrap/>
            <w:hideMark/>
          </w:tcPr>
          <w:p w14:paraId="028175AB" w14:textId="77777777" w:rsidR="00B133C1" w:rsidRPr="00ED4A5A" w:rsidRDefault="00B133C1" w:rsidP="005A2DFB">
            <w:pPr>
              <w:rPr>
                <w:b/>
                <w:bCs/>
              </w:rPr>
            </w:pPr>
            <w:r>
              <w:rPr>
                <w:b/>
                <w:bCs/>
              </w:rPr>
              <w:t>Supplier</w:t>
            </w:r>
          </w:p>
        </w:tc>
      </w:tr>
      <w:tr w:rsidR="00B133C1" w:rsidRPr="00ED4A5A" w14:paraId="75534AB9" w14:textId="77777777" w:rsidTr="005A2DFB">
        <w:trPr>
          <w:trHeight w:val="306"/>
        </w:trPr>
        <w:tc>
          <w:tcPr>
            <w:tcW w:w="1330" w:type="dxa"/>
            <w:noWrap/>
            <w:hideMark/>
          </w:tcPr>
          <w:p w14:paraId="7D2E7159" w14:textId="77777777" w:rsidR="00B133C1" w:rsidRPr="00ED4A5A" w:rsidRDefault="00B133C1" w:rsidP="005A2DFB">
            <w:r w:rsidRPr="00ED4A5A">
              <w:t>CD45</w:t>
            </w:r>
          </w:p>
        </w:tc>
        <w:tc>
          <w:tcPr>
            <w:tcW w:w="1519" w:type="dxa"/>
            <w:noWrap/>
            <w:hideMark/>
          </w:tcPr>
          <w:p w14:paraId="79BF6EEC" w14:textId="77777777" w:rsidR="00B133C1" w:rsidRPr="00ED4A5A" w:rsidRDefault="00B133C1" w:rsidP="005A2DFB">
            <w:r w:rsidRPr="00ED4A5A">
              <w:t>V500</w:t>
            </w:r>
          </w:p>
        </w:tc>
        <w:tc>
          <w:tcPr>
            <w:tcW w:w="948" w:type="dxa"/>
          </w:tcPr>
          <w:p w14:paraId="400F3CDC" w14:textId="77777777" w:rsidR="00B133C1" w:rsidRPr="00ED4A5A" w:rsidRDefault="00B133C1" w:rsidP="005A2DFB">
            <w:r>
              <w:t>1:200</w:t>
            </w:r>
          </w:p>
        </w:tc>
        <w:tc>
          <w:tcPr>
            <w:tcW w:w="1556" w:type="dxa"/>
            <w:noWrap/>
            <w:hideMark/>
          </w:tcPr>
          <w:p w14:paraId="239E97C5" w14:textId="77777777" w:rsidR="00B133C1" w:rsidRPr="00ED4A5A" w:rsidRDefault="00B133C1" w:rsidP="005A2DFB">
            <w:r>
              <w:t>30-F11</w:t>
            </w:r>
          </w:p>
        </w:tc>
        <w:tc>
          <w:tcPr>
            <w:tcW w:w="2458" w:type="dxa"/>
            <w:noWrap/>
            <w:hideMark/>
          </w:tcPr>
          <w:p w14:paraId="16311DDC" w14:textId="77777777" w:rsidR="00B133C1" w:rsidRPr="00ED4A5A" w:rsidRDefault="00B133C1" w:rsidP="005A2DFB">
            <w:r>
              <w:t>Becton Dickinson, UK</w:t>
            </w:r>
          </w:p>
        </w:tc>
      </w:tr>
      <w:tr w:rsidR="00B133C1" w:rsidRPr="00ED4A5A" w14:paraId="02AE941C" w14:textId="77777777" w:rsidTr="005A2DFB">
        <w:trPr>
          <w:trHeight w:val="306"/>
        </w:trPr>
        <w:tc>
          <w:tcPr>
            <w:tcW w:w="1330" w:type="dxa"/>
            <w:noWrap/>
            <w:hideMark/>
          </w:tcPr>
          <w:p w14:paraId="17669831" w14:textId="77777777" w:rsidR="00B133C1" w:rsidRPr="00ED4A5A" w:rsidRDefault="00B133C1" w:rsidP="005A2DFB">
            <w:r w:rsidRPr="00ED4A5A">
              <w:t>CD11b</w:t>
            </w:r>
          </w:p>
        </w:tc>
        <w:tc>
          <w:tcPr>
            <w:tcW w:w="1519" w:type="dxa"/>
            <w:noWrap/>
            <w:hideMark/>
          </w:tcPr>
          <w:p w14:paraId="55E94260" w14:textId="77777777" w:rsidR="00B133C1" w:rsidRPr="00ED4A5A" w:rsidRDefault="00B133C1" w:rsidP="005A2DFB">
            <w:r w:rsidRPr="00ED4A5A">
              <w:t>FITC</w:t>
            </w:r>
          </w:p>
        </w:tc>
        <w:tc>
          <w:tcPr>
            <w:tcW w:w="948" w:type="dxa"/>
          </w:tcPr>
          <w:p w14:paraId="70A44E04" w14:textId="77777777" w:rsidR="00B133C1" w:rsidRPr="00ED4A5A" w:rsidRDefault="00B133C1" w:rsidP="005A2DFB">
            <w:r>
              <w:t>1:200</w:t>
            </w:r>
          </w:p>
        </w:tc>
        <w:tc>
          <w:tcPr>
            <w:tcW w:w="1556" w:type="dxa"/>
            <w:noWrap/>
            <w:hideMark/>
          </w:tcPr>
          <w:p w14:paraId="6A51D3EE" w14:textId="77777777" w:rsidR="00B133C1" w:rsidRPr="00ED4A5A" w:rsidRDefault="00B133C1" w:rsidP="005A2DFB">
            <w:r>
              <w:t>M1/70</w:t>
            </w:r>
          </w:p>
        </w:tc>
        <w:tc>
          <w:tcPr>
            <w:tcW w:w="2458" w:type="dxa"/>
            <w:noWrap/>
            <w:hideMark/>
          </w:tcPr>
          <w:p w14:paraId="603C41A0" w14:textId="77777777" w:rsidR="00B133C1" w:rsidRPr="00ED4A5A" w:rsidRDefault="00B133C1" w:rsidP="005A2DFB">
            <w:r>
              <w:t>Biolegend, UK</w:t>
            </w:r>
          </w:p>
        </w:tc>
      </w:tr>
      <w:tr w:rsidR="00B133C1" w:rsidRPr="00ED4A5A" w14:paraId="23CC4743" w14:textId="77777777" w:rsidTr="005A2DFB">
        <w:trPr>
          <w:trHeight w:val="306"/>
        </w:trPr>
        <w:tc>
          <w:tcPr>
            <w:tcW w:w="1330" w:type="dxa"/>
            <w:noWrap/>
            <w:hideMark/>
          </w:tcPr>
          <w:p w14:paraId="7E74A8BF" w14:textId="77777777" w:rsidR="00B133C1" w:rsidRPr="00ED4A5A" w:rsidRDefault="00B133C1" w:rsidP="005A2DFB">
            <w:r w:rsidRPr="00ED4A5A">
              <w:t>CD64</w:t>
            </w:r>
          </w:p>
        </w:tc>
        <w:tc>
          <w:tcPr>
            <w:tcW w:w="1519" w:type="dxa"/>
            <w:noWrap/>
            <w:hideMark/>
          </w:tcPr>
          <w:p w14:paraId="5C7A9888" w14:textId="77777777" w:rsidR="00B133C1" w:rsidRPr="00ED4A5A" w:rsidRDefault="00B133C1" w:rsidP="005A2DFB">
            <w:r w:rsidRPr="00ED4A5A">
              <w:t>PE-Cy7</w:t>
            </w:r>
          </w:p>
        </w:tc>
        <w:tc>
          <w:tcPr>
            <w:tcW w:w="948" w:type="dxa"/>
          </w:tcPr>
          <w:p w14:paraId="663A6E99" w14:textId="77777777" w:rsidR="00B133C1" w:rsidRPr="00ED4A5A" w:rsidRDefault="00B133C1" w:rsidP="005A2DFB">
            <w:r>
              <w:t>1:200</w:t>
            </w:r>
          </w:p>
        </w:tc>
        <w:tc>
          <w:tcPr>
            <w:tcW w:w="1556" w:type="dxa"/>
            <w:noWrap/>
            <w:hideMark/>
          </w:tcPr>
          <w:p w14:paraId="6AB1D193" w14:textId="77777777" w:rsidR="00B133C1" w:rsidRPr="00ED4A5A" w:rsidRDefault="00B133C1" w:rsidP="005A2DFB">
            <w:r>
              <w:t>X54-5/7.1</w:t>
            </w:r>
          </w:p>
        </w:tc>
        <w:tc>
          <w:tcPr>
            <w:tcW w:w="2458" w:type="dxa"/>
            <w:noWrap/>
            <w:hideMark/>
          </w:tcPr>
          <w:p w14:paraId="42C1E71E" w14:textId="77777777" w:rsidR="00B133C1" w:rsidRPr="00ED4A5A" w:rsidRDefault="00B133C1" w:rsidP="005A2DFB">
            <w:r>
              <w:t>Biolegend, UK</w:t>
            </w:r>
          </w:p>
        </w:tc>
      </w:tr>
      <w:tr w:rsidR="00B133C1" w:rsidRPr="00ED4A5A" w14:paraId="07CF7CF7" w14:textId="77777777" w:rsidTr="005A2DFB">
        <w:trPr>
          <w:trHeight w:val="306"/>
        </w:trPr>
        <w:tc>
          <w:tcPr>
            <w:tcW w:w="1330" w:type="dxa"/>
            <w:noWrap/>
            <w:hideMark/>
          </w:tcPr>
          <w:p w14:paraId="6ED69540" w14:textId="77777777" w:rsidR="00B133C1" w:rsidRPr="00230D0D" w:rsidRDefault="00B133C1" w:rsidP="005A2DFB">
            <w:r w:rsidRPr="00230D0D">
              <w:t>CD24</w:t>
            </w:r>
          </w:p>
        </w:tc>
        <w:tc>
          <w:tcPr>
            <w:tcW w:w="1519" w:type="dxa"/>
            <w:noWrap/>
            <w:hideMark/>
          </w:tcPr>
          <w:p w14:paraId="3928B621" w14:textId="77777777" w:rsidR="00B133C1" w:rsidRPr="00230D0D" w:rsidRDefault="00B133C1" w:rsidP="005A2DFB">
            <w:r w:rsidRPr="00230D0D">
              <w:t>APC-Cy7</w:t>
            </w:r>
          </w:p>
        </w:tc>
        <w:tc>
          <w:tcPr>
            <w:tcW w:w="948" w:type="dxa"/>
          </w:tcPr>
          <w:p w14:paraId="69DFEFD2" w14:textId="77777777" w:rsidR="00B133C1" w:rsidRPr="00230D0D" w:rsidRDefault="00B133C1" w:rsidP="005A2DFB">
            <w:r w:rsidRPr="00230D0D">
              <w:t>1:200</w:t>
            </w:r>
          </w:p>
        </w:tc>
        <w:tc>
          <w:tcPr>
            <w:tcW w:w="1556" w:type="dxa"/>
            <w:noWrap/>
            <w:hideMark/>
          </w:tcPr>
          <w:p w14:paraId="4F003157" w14:textId="77777777" w:rsidR="00B133C1" w:rsidRPr="00230D0D" w:rsidRDefault="00B133C1" w:rsidP="005A2DFB">
            <w:r w:rsidRPr="00230D0D">
              <w:t>M1/69</w:t>
            </w:r>
          </w:p>
        </w:tc>
        <w:tc>
          <w:tcPr>
            <w:tcW w:w="2458" w:type="dxa"/>
            <w:noWrap/>
            <w:hideMark/>
          </w:tcPr>
          <w:p w14:paraId="5571BF94" w14:textId="77777777" w:rsidR="00B133C1" w:rsidRPr="00230D0D" w:rsidRDefault="00B133C1" w:rsidP="005A2DFB">
            <w:r>
              <w:t>eBios</w:t>
            </w:r>
            <w:r w:rsidRPr="00230D0D">
              <w:t>cience</w:t>
            </w:r>
            <w:r>
              <w:t>, US</w:t>
            </w:r>
          </w:p>
        </w:tc>
      </w:tr>
      <w:tr w:rsidR="00B133C1" w:rsidRPr="00ED4A5A" w14:paraId="2715474D" w14:textId="77777777" w:rsidTr="005A2DFB">
        <w:trPr>
          <w:trHeight w:val="306"/>
        </w:trPr>
        <w:tc>
          <w:tcPr>
            <w:tcW w:w="1330" w:type="dxa"/>
            <w:noWrap/>
            <w:hideMark/>
          </w:tcPr>
          <w:p w14:paraId="3DF9CE4C" w14:textId="77777777" w:rsidR="00B133C1" w:rsidRPr="00ED4A5A" w:rsidRDefault="00B133C1" w:rsidP="005A2DFB">
            <w:r w:rsidRPr="00ED4A5A">
              <w:t>MHCII</w:t>
            </w:r>
          </w:p>
        </w:tc>
        <w:tc>
          <w:tcPr>
            <w:tcW w:w="1519" w:type="dxa"/>
            <w:noWrap/>
            <w:hideMark/>
          </w:tcPr>
          <w:p w14:paraId="336C06C9" w14:textId="77777777" w:rsidR="00B133C1" w:rsidRPr="00ED4A5A" w:rsidRDefault="00B133C1" w:rsidP="005A2DFB">
            <w:r w:rsidRPr="00ED4A5A">
              <w:t>PerCp-Cy5.5</w:t>
            </w:r>
          </w:p>
        </w:tc>
        <w:tc>
          <w:tcPr>
            <w:tcW w:w="948" w:type="dxa"/>
          </w:tcPr>
          <w:p w14:paraId="524D2A4E" w14:textId="77777777" w:rsidR="00B133C1" w:rsidRPr="00ED4A5A" w:rsidRDefault="00B133C1" w:rsidP="005A2DFB">
            <w:r>
              <w:t>1:200</w:t>
            </w:r>
          </w:p>
        </w:tc>
        <w:tc>
          <w:tcPr>
            <w:tcW w:w="1556" w:type="dxa"/>
            <w:noWrap/>
            <w:hideMark/>
          </w:tcPr>
          <w:p w14:paraId="755CD1A4" w14:textId="77777777" w:rsidR="00B133C1" w:rsidRPr="00ED4A5A" w:rsidRDefault="00B133C1" w:rsidP="005A2DFB">
            <w:r w:rsidRPr="00ED4A5A">
              <w:t>M5/114.15-2</w:t>
            </w:r>
            <w:r>
              <w:t>*</w:t>
            </w:r>
          </w:p>
        </w:tc>
        <w:tc>
          <w:tcPr>
            <w:tcW w:w="2458" w:type="dxa"/>
            <w:noWrap/>
            <w:hideMark/>
          </w:tcPr>
          <w:p w14:paraId="04E38295" w14:textId="77777777" w:rsidR="00B133C1" w:rsidRPr="00ED4A5A" w:rsidRDefault="00B133C1" w:rsidP="005A2DFB">
            <w:r>
              <w:t>Biolegend 107626</w:t>
            </w:r>
          </w:p>
        </w:tc>
      </w:tr>
      <w:tr w:rsidR="00B133C1" w:rsidRPr="00ED4A5A" w14:paraId="57772637" w14:textId="77777777" w:rsidTr="005A2DFB">
        <w:trPr>
          <w:trHeight w:val="306"/>
        </w:trPr>
        <w:tc>
          <w:tcPr>
            <w:tcW w:w="1330" w:type="dxa"/>
            <w:noWrap/>
            <w:hideMark/>
          </w:tcPr>
          <w:p w14:paraId="765D1F26" w14:textId="77777777" w:rsidR="00B133C1" w:rsidRPr="00ED4A5A" w:rsidRDefault="00B133C1" w:rsidP="005A2DFB">
            <w:r w:rsidRPr="00ED4A5A">
              <w:t>CD11c</w:t>
            </w:r>
          </w:p>
        </w:tc>
        <w:tc>
          <w:tcPr>
            <w:tcW w:w="1519" w:type="dxa"/>
            <w:noWrap/>
            <w:hideMark/>
          </w:tcPr>
          <w:p w14:paraId="6D80EE43" w14:textId="77777777" w:rsidR="00B133C1" w:rsidRPr="00ED4A5A" w:rsidRDefault="00B133C1" w:rsidP="005A2DFB">
            <w:r w:rsidRPr="00ED4A5A">
              <w:t>APC</w:t>
            </w:r>
          </w:p>
        </w:tc>
        <w:tc>
          <w:tcPr>
            <w:tcW w:w="948" w:type="dxa"/>
          </w:tcPr>
          <w:p w14:paraId="06416B1E" w14:textId="77777777" w:rsidR="00B133C1" w:rsidRPr="00ED4A5A" w:rsidRDefault="00B133C1" w:rsidP="005A2DFB">
            <w:r>
              <w:t>1:400</w:t>
            </w:r>
          </w:p>
        </w:tc>
        <w:tc>
          <w:tcPr>
            <w:tcW w:w="1556" w:type="dxa"/>
            <w:noWrap/>
            <w:hideMark/>
          </w:tcPr>
          <w:p w14:paraId="16B70B3C" w14:textId="77777777" w:rsidR="00B133C1" w:rsidRPr="00ED4A5A" w:rsidRDefault="00B133C1" w:rsidP="005A2DFB">
            <w:r>
              <w:t>N418</w:t>
            </w:r>
          </w:p>
        </w:tc>
        <w:tc>
          <w:tcPr>
            <w:tcW w:w="2458" w:type="dxa"/>
            <w:noWrap/>
            <w:hideMark/>
          </w:tcPr>
          <w:p w14:paraId="0736AC28" w14:textId="77777777" w:rsidR="00B133C1" w:rsidRPr="00ED4A5A" w:rsidRDefault="00B133C1" w:rsidP="005A2DFB">
            <w:r>
              <w:t>Biolegend, UK</w:t>
            </w:r>
          </w:p>
        </w:tc>
      </w:tr>
      <w:tr w:rsidR="00B133C1" w:rsidRPr="00ED4A5A" w14:paraId="0A741662" w14:textId="77777777" w:rsidTr="005A2DFB">
        <w:trPr>
          <w:trHeight w:val="306"/>
        </w:trPr>
        <w:tc>
          <w:tcPr>
            <w:tcW w:w="1330" w:type="dxa"/>
            <w:noWrap/>
            <w:hideMark/>
          </w:tcPr>
          <w:p w14:paraId="1101E1DA" w14:textId="77777777" w:rsidR="00B133C1" w:rsidRPr="00ED4A5A" w:rsidRDefault="00B133C1" w:rsidP="005A2DFB">
            <w:r>
              <w:t>Ly</w:t>
            </w:r>
            <w:r w:rsidRPr="00ED4A5A">
              <w:t>6</w:t>
            </w:r>
            <w:r>
              <w:t>-G</w:t>
            </w:r>
          </w:p>
        </w:tc>
        <w:tc>
          <w:tcPr>
            <w:tcW w:w="1519" w:type="dxa"/>
            <w:noWrap/>
            <w:hideMark/>
          </w:tcPr>
          <w:p w14:paraId="104221D2" w14:textId="77777777" w:rsidR="00B133C1" w:rsidRPr="00ED4A5A" w:rsidRDefault="00B133C1" w:rsidP="005A2DFB">
            <w:r w:rsidRPr="00ED4A5A">
              <w:t>BV421</w:t>
            </w:r>
          </w:p>
        </w:tc>
        <w:tc>
          <w:tcPr>
            <w:tcW w:w="948" w:type="dxa"/>
          </w:tcPr>
          <w:p w14:paraId="54181C8D" w14:textId="77777777" w:rsidR="00B133C1" w:rsidRPr="00ED4A5A" w:rsidRDefault="00B133C1" w:rsidP="005A2DFB">
            <w:r>
              <w:t>1:400</w:t>
            </w:r>
          </w:p>
        </w:tc>
        <w:tc>
          <w:tcPr>
            <w:tcW w:w="1556" w:type="dxa"/>
            <w:noWrap/>
            <w:hideMark/>
          </w:tcPr>
          <w:p w14:paraId="3C0C2DF5" w14:textId="77777777" w:rsidR="00B133C1" w:rsidRPr="00ED4A5A" w:rsidRDefault="00B133C1" w:rsidP="005A2DFB">
            <w:r>
              <w:t>1A8</w:t>
            </w:r>
          </w:p>
        </w:tc>
        <w:tc>
          <w:tcPr>
            <w:tcW w:w="2458" w:type="dxa"/>
            <w:noWrap/>
            <w:hideMark/>
          </w:tcPr>
          <w:p w14:paraId="3A4BD696" w14:textId="77777777" w:rsidR="00B133C1" w:rsidRPr="00ED4A5A" w:rsidRDefault="00B133C1" w:rsidP="005A2DFB">
            <w:r>
              <w:t>Biolegend, UK</w:t>
            </w:r>
          </w:p>
        </w:tc>
      </w:tr>
      <w:tr w:rsidR="00B133C1" w:rsidRPr="00ED4A5A" w14:paraId="389781E4" w14:textId="77777777" w:rsidTr="005A2DFB">
        <w:trPr>
          <w:trHeight w:val="306"/>
        </w:trPr>
        <w:tc>
          <w:tcPr>
            <w:tcW w:w="1330" w:type="dxa"/>
            <w:noWrap/>
            <w:hideMark/>
          </w:tcPr>
          <w:p w14:paraId="228B5192" w14:textId="77777777" w:rsidR="00B133C1" w:rsidRPr="00ED4A5A" w:rsidRDefault="00B133C1" w:rsidP="005A2DFB">
            <w:r>
              <w:t>Siglec-</w:t>
            </w:r>
            <w:r w:rsidRPr="00ED4A5A">
              <w:t>F</w:t>
            </w:r>
          </w:p>
        </w:tc>
        <w:tc>
          <w:tcPr>
            <w:tcW w:w="1519" w:type="dxa"/>
            <w:noWrap/>
            <w:hideMark/>
          </w:tcPr>
          <w:p w14:paraId="55C508B5" w14:textId="77777777" w:rsidR="00B133C1" w:rsidRPr="00ED4A5A" w:rsidRDefault="00B133C1" w:rsidP="005A2DFB">
            <w:r w:rsidRPr="00ED4A5A">
              <w:t>PE</w:t>
            </w:r>
          </w:p>
        </w:tc>
        <w:tc>
          <w:tcPr>
            <w:tcW w:w="948" w:type="dxa"/>
          </w:tcPr>
          <w:p w14:paraId="02EBEA37" w14:textId="77777777" w:rsidR="00B133C1" w:rsidRPr="00ED4A5A" w:rsidRDefault="00B133C1" w:rsidP="005A2DFB">
            <w:r>
              <w:t>1:50</w:t>
            </w:r>
          </w:p>
        </w:tc>
        <w:tc>
          <w:tcPr>
            <w:tcW w:w="1556" w:type="dxa"/>
            <w:noWrap/>
            <w:hideMark/>
          </w:tcPr>
          <w:p w14:paraId="2F84E705" w14:textId="77777777" w:rsidR="00B133C1" w:rsidRPr="00ED4A5A" w:rsidRDefault="00B133C1" w:rsidP="005A2DFB">
            <w:r>
              <w:t>ES22-10DB</w:t>
            </w:r>
          </w:p>
        </w:tc>
        <w:tc>
          <w:tcPr>
            <w:tcW w:w="2458" w:type="dxa"/>
            <w:noWrap/>
            <w:hideMark/>
          </w:tcPr>
          <w:p w14:paraId="189F76A6" w14:textId="77777777" w:rsidR="00B133C1" w:rsidRPr="00ED4A5A" w:rsidRDefault="00B133C1" w:rsidP="005A2DFB">
            <w:r>
              <w:t>Miltenyi biotech, UK</w:t>
            </w:r>
          </w:p>
        </w:tc>
      </w:tr>
    </w:tbl>
    <w:p w14:paraId="275EDB86"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7D187965"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2EF6101A"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30D48B64"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64F43BEA"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08AB6FE1"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33EFC57C"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Gating strategy was as described in </w:t>
      </w:r>
      <w:r w:rsidRPr="00C05F27">
        <w:rPr>
          <w:rFonts w:ascii="Times New Roman" w:hAnsi="Times New Roman" w:cs="Times New Roman"/>
          <w:sz w:val="24"/>
        </w:rPr>
        <w:t xml:space="preserve">Misharin, Morales-Nebreda, Mutlu </w:t>
      </w:r>
      <w:r w:rsidRPr="00C05F27">
        <w:rPr>
          <w:rFonts w:ascii="Times New Roman" w:hAnsi="Times New Roman" w:cs="Times New Roman"/>
          <w:i/>
          <w:sz w:val="24"/>
        </w:rPr>
        <w:t>et al</w:t>
      </w:r>
      <w:r w:rsidRPr="00C05F27">
        <w:rPr>
          <w:rFonts w:ascii="Times New Roman" w:hAnsi="Times New Roman" w:cs="Times New Roman"/>
          <w:sz w:val="24"/>
        </w:rPr>
        <w:t xml:space="preserve">, 2013. </w:t>
      </w:r>
      <w:r>
        <w:rPr>
          <w:rFonts w:ascii="Times New Roman" w:hAnsi="Times New Roman" w:cs="Times New Roman"/>
          <w:sz w:val="24"/>
        </w:rPr>
        <w:t>Gating of intact and single cells (forward scatter Height versus Area) was based on forward and side scatter characteristics. Leucocyte populations were identified as CD45</w:t>
      </w:r>
      <w:r w:rsidRPr="002B1C56">
        <w:rPr>
          <w:rFonts w:ascii="Times New Roman" w:hAnsi="Times New Roman" w:cs="Times New Roman"/>
          <w:sz w:val="24"/>
          <w:vertAlign w:val="superscript"/>
        </w:rPr>
        <w:t>+</w:t>
      </w:r>
      <w:r>
        <w:rPr>
          <w:rFonts w:ascii="Times New Roman" w:hAnsi="Times New Roman" w:cs="Times New Roman"/>
          <w:sz w:val="24"/>
        </w:rPr>
        <w:t xml:space="preserve"> in the singlet gate. Cell subsets were then quantified based on expression of cell surface markers as follows:</w:t>
      </w:r>
    </w:p>
    <w:p w14:paraId="1077E91C"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Alveolar macrophages: CD11c</w:t>
      </w:r>
      <w:r w:rsidRPr="00592A7B">
        <w:rPr>
          <w:rFonts w:ascii="Times New Roman" w:hAnsi="Times New Roman" w:cs="Times New Roman"/>
          <w:sz w:val="24"/>
          <w:vertAlign w:val="superscript"/>
        </w:rPr>
        <w:t>hi</w:t>
      </w:r>
      <w:r>
        <w:rPr>
          <w:rFonts w:ascii="Times New Roman" w:hAnsi="Times New Roman" w:cs="Times New Roman"/>
          <w:sz w:val="24"/>
        </w:rPr>
        <w:t>CD11b</w:t>
      </w:r>
      <w:r w:rsidRPr="00592A7B">
        <w:rPr>
          <w:rFonts w:ascii="Times New Roman" w:hAnsi="Times New Roman" w:cs="Times New Roman"/>
          <w:sz w:val="24"/>
          <w:vertAlign w:val="superscript"/>
        </w:rPr>
        <w:t>int</w:t>
      </w:r>
      <w:r>
        <w:rPr>
          <w:rFonts w:ascii="Times New Roman" w:hAnsi="Times New Roman" w:cs="Times New Roman"/>
          <w:sz w:val="24"/>
        </w:rPr>
        <w:t>CD64</w:t>
      </w:r>
      <w:r>
        <w:rPr>
          <w:rFonts w:ascii="Times New Roman" w:hAnsi="Times New Roman" w:cs="Times New Roman"/>
          <w:sz w:val="24"/>
          <w:vertAlign w:val="superscript"/>
        </w:rPr>
        <w:t>+</w:t>
      </w:r>
      <w:r>
        <w:rPr>
          <w:rFonts w:ascii="Times New Roman" w:hAnsi="Times New Roman" w:cs="Times New Roman"/>
          <w:sz w:val="24"/>
        </w:rPr>
        <w:t>CD24</w:t>
      </w:r>
      <w:r w:rsidRPr="00D347D1">
        <w:rPr>
          <w:rFonts w:ascii="Times New Roman" w:hAnsi="Times New Roman" w:cs="Times New Roman"/>
          <w:sz w:val="24"/>
          <w:vertAlign w:val="superscript"/>
        </w:rPr>
        <w:t>i</w:t>
      </w:r>
      <w:r w:rsidRPr="00592A7B">
        <w:rPr>
          <w:rFonts w:ascii="Times New Roman" w:hAnsi="Times New Roman" w:cs="Times New Roman"/>
          <w:sz w:val="24"/>
          <w:vertAlign w:val="superscript"/>
        </w:rPr>
        <w:t>nt</w:t>
      </w:r>
    </w:p>
    <w:p w14:paraId="6336A073"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Interstitial Macrophages: CD11c</w:t>
      </w:r>
      <w:r w:rsidRPr="00592A7B">
        <w:rPr>
          <w:rFonts w:ascii="Times New Roman" w:hAnsi="Times New Roman" w:cs="Times New Roman"/>
          <w:sz w:val="24"/>
          <w:vertAlign w:val="superscript"/>
        </w:rPr>
        <w:t>+</w:t>
      </w:r>
      <w:r>
        <w:rPr>
          <w:rFonts w:ascii="Times New Roman" w:hAnsi="Times New Roman" w:cs="Times New Roman"/>
          <w:sz w:val="24"/>
        </w:rPr>
        <w:t>CD11b</w:t>
      </w:r>
      <w:r w:rsidRPr="00592A7B">
        <w:rPr>
          <w:rFonts w:ascii="Times New Roman" w:hAnsi="Times New Roman" w:cs="Times New Roman"/>
          <w:sz w:val="24"/>
          <w:vertAlign w:val="superscript"/>
        </w:rPr>
        <w:t>+</w:t>
      </w:r>
      <w:r>
        <w:rPr>
          <w:rFonts w:ascii="Times New Roman" w:hAnsi="Times New Roman" w:cs="Times New Roman"/>
          <w:sz w:val="24"/>
        </w:rPr>
        <w:t>CD24</w:t>
      </w:r>
      <w:r w:rsidRPr="00592A7B">
        <w:rPr>
          <w:rFonts w:ascii="Times New Roman" w:hAnsi="Times New Roman" w:cs="Times New Roman"/>
          <w:sz w:val="24"/>
          <w:vertAlign w:val="superscript"/>
        </w:rPr>
        <w:t>-</w:t>
      </w:r>
      <w:r>
        <w:rPr>
          <w:rFonts w:ascii="Times New Roman" w:hAnsi="Times New Roman" w:cs="Times New Roman"/>
          <w:sz w:val="24"/>
        </w:rPr>
        <w:t>MHCII</w:t>
      </w:r>
      <w:r w:rsidRPr="00592A7B">
        <w:rPr>
          <w:rFonts w:ascii="Times New Roman" w:hAnsi="Times New Roman" w:cs="Times New Roman"/>
          <w:sz w:val="24"/>
          <w:vertAlign w:val="superscript"/>
        </w:rPr>
        <w:t>+</w:t>
      </w:r>
      <w:r>
        <w:rPr>
          <w:rFonts w:ascii="Times New Roman" w:hAnsi="Times New Roman" w:cs="Times New Roman"/>
          <w:sz w:val="24"/>
        </w:rPr>
        <w:t>CD64</w:t>
      </w:r>
      <w:r w:rsidRPr="00592A7B">
        <w:rPr>
          <w:rFonts w:ascii="Times New Roman" w:hAnsi="Times New Roman" w:cs="Times New Roman"/>
          <w:sz w:val="24"/>
          <w:vertAlign w:val="superscript"/>
        </w:rPr>
        <w:t>hi</w:t>
      </w:r>
    </w:p>
    <w:p w14:paraId="41B64E58"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Dendritic cells: CD11c</w:t>
      </w:r>
      <w:r w:rsidRPr="009953D7">
        <w:rPr>
          <w:rFonts w:ascii="Times New Roman" w:hAnsi="Times New Roman" w:cs="Times New Roman"/>
          <w:sz w:val="24"/>
          <w:vertAlign w:val="superscript"/>
        </w:rPr>
        <w:t>+</w:t>
      </w:r>
      <w:r>
        <w:rPr>
          <w:rFonts w:ascii="Times New Roman" w:hAnsi="Times New Roman" w:cs="Times New Roman"/>
          <w:sz w:val="24"/>
        </w:rPr>
        <w:t>MHCII</w:t>
      </w:r>
      <w:r w:rsidRPr="009953D7">
        <w:rPr>
          <w:rFonts w:ascii="Times New Roman" w:hAnsi="Times New Roman" w:cs="Times New Roman"/>
          <w:sz w:val="24"/>
          <w:vertAlign w:val="superscript"/>
        </w:rPr>
        <w:t>+</w:t>
      </w:r>
    </w:p>
    <w:p w14:paraId="09E85565"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Residential Eosinophils: CD11c</w:t>
      </w:r>
      <w:r w:rsidRPr="002B1C56">
        <w:rPr>
          <w:rFonts w:ascii="Times New Roman" w:hAnsi="Times New Roman" w:cs="Times New Roman"/>
          <w:sz w:val="24"/>
          <w:vertAlign w:val="superscript"/>
        </w:rPr>
        <w:t>-</w:t>
      </w:r>
      <w:r>
        <w:rPr>
          <w:rFonts w:ascii="Times New Roman" w:hAnsi="Times New Roman" w:cs="Times New Roman"/>
          <w:sz w:val="24"/>
        </w:rPr>
        <w:t>CD11b</w:t>
      </w:r>
      <w:r w:rsidRPr="002B1C56">
        <w:rPr>
          <w:rFonts w:ascii="Times New Roman" w:hAnsi="Times New Roman" w:cs="Times New Roman"/>
          <w:sz w:val="24"/>
          <w:vertAlign w:val="superscript"/>
        </w:rPr>
        <w:t>+</w:t>
      </w:r>
      <w:r>
        <w:rPr>
          <w:rFonts w:ascii="Times New Roman" w:hAnsi="Times New Roman" w:cs="Times New Roman"/>
          <w:sz w:val="24"/>
        </w:rPr>
        <w:t>MCHII</w:t>
      </w:r>
      <w:r w:rsidRPr="00EA26F4">
        <w:rPr>
          <w:rFonts w:ascii="Times New Roman" w:hAnsi="Times New Roman" w:cs="Times New Roman"/>
          <w:sz w:val="24"/>
          <w:vertAlign w:val="superscript"/>
        </w:rPr>
        <w:t>lo</w:t>
      </w:r>
      <w:r>
        <w:rPr>
          <w:rFonts w:ascii="Times New Roman" w:hAnsi="Times New Roman" w:cs="Times New Roman"/>
          <w:sz w:val="24"/>
        </w:rPr>
        <w:t>CD24</w:t>
      </w:r>
      <w:r w:rsidRPr="002B1C56">
        <w:rPr>
          <w:rFonts w:ascii="Times New Roman" w:hAnsi="Times New Roman" w:cs="Times New Roman"/>
          <w:sz w:val="24"/>
          <w:vertAlign w:val="superscript"/>
        </w:rPr>
        <w:t>+</w:t>
      </w:r>
      <w:r>
        <w:rPr>
          <w:rFonts w:ascii="Times New Roman" w:hAnsi="Times New Roman" w:cs="Times New Roman"/>
          <w:sz w:val="24"/>
        </w:rPr>
        <w:t>Siglec-F</w:t>
      </w:r>
      <w:r w:rsidRPr="002B1C56">
        <w:rPr>
          <w:rFonts w:ascii="Times New Roman" w:hAnsi="Times New Roman" w:cs="Times New Roman"/>
          <w:sz w:val="24"/>
          <w:vertAlign w:val="superscript"/>
        </w:rPr>
        <w:t>int</w:t>
      </w:r>
    </w:p>
    <w:p w14:paraId="3120CBD9"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Inflammatory eosinophils: CD11c</w:t>
      </w:r>
      <w:r w:rsidRPr="002B1C56">
        <w:rPr>
          <w:rFonts w:ascii="Times New Roman" w:hAnsi="Times New Roman" w:cs="Times New Roman"/>
          <w:sz w:val="24"/>
          <w:vertAlign w:val="superscript"/>
        </w:rPr>
        <w:t>-</w:t>
      </w:r>
      <w:r>
        <w:rPr>
          <w:rFonts w:ascii="Times New Roman" w:hAnsi="Times New Roman" w:cs="Times New Roman"/>
          <w:sz w:val="24"/>
        </w:rPr>
        <w:t>CD11b</w:t>
      </w:r>
      <w:r w:rsidRPr="002B1C56">
        <w:rPr>
          <w:rFonts w:ascii="Times New Roman" w:hAnsi="Times New Roman" w:cs="Times New Roman"/>
          <w:sz w:val="24"/>
          <w:vertAlign w:val="superscript"/>
        </w:rPr>
        <w:t>+</w:t>
      </w:r>
      <w:r>
        <w:rPr>
          <w:rFonts w:ascii="Times New Roman" w:hAnsi="Times New Roman" w:cs="Times New Roman"/>
          <w:sz w:val="24"/>
        </w:rPr>
        <w:t>MHCII</w:t>
      </w:r>
      <w:r w:rsidRPr="002B2E30">
        <w:rPr>
          <w:rFonts w:ascii="Times New Roman" w:hAnsi="Times New Roman" w:cs="Times New Roman"/>
          <w:sz w:val="24"/>
          <w:vertAlign w:val="superscript"/>
        </w:rPr>
        <w:t>lo</w:t>
      </w:r>
      <w:r>
        <w:rPr>
          <w:rFonts w:ascii="Times New Roman" w:hAnsi="Times New Roman" w:cs="Times New Roman"/>
          <w:sz w:val="24"/>
        </w:rPr>
        <w:t>CD24</w:t>
      </w:r>
      <w:r w:rsidRPr="002B1C56">
        <w:rPr>
          <w:rFonts w:ascii="Times New Roman" w:hAnsi="Times New Roman" w:cs="Times New Roman"/>
          <w:sz w:val="24"/>
          <w:vertAlign w:val="superscript"/>
        </w:rPr>
        <w:t>+</w:t>
      </w:r>
      <w:r>
        <w:rPr>
          <w:rFonts w:ascii="Times New Roman" w:hAnsi="Times New Roman" w:cs="Times New Roman"/>
          <w:sz w:val="24"/>
        </w:rPr>
        <w:t>Siglec-F</w:t>
      </w:r>
      <w:r w:rsidRPr="002B1C56">
        <w:rPr>
          <w:rFonts w:ascii="Times New Roman" w:hAnsi="Times New Roman" w:cs="Times New Roman"/>
          <w:sz w:val="24"/>
          <w:vertAlign w:val="superscript"/>
        </w:rPr>
        <w:t>hi</w:t>
      </w:r>
    </w:p>
    <w:p w14:paraId="52391A99"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Neutrophils: CD11c</w:t>
      </w:r>
      <w:r w:rsidRPr="002B1C56">
        <w:rPr>
          <w:rFonts w:ascii="Times New Roman" w:hAnsi="Times New Roman" w:cs="Times New Roman"/>
          <w:sz w:val="24"/>
          <w:vertAlign w:val="superscript"/>
        </w:rPr>
        <w:t>-</w:t>
      </w:r>
      <w:r>
        <w:rPr>
          <w:rFonts w:ascii="Times New Roman" w:hAnsi="Times New Roman" w:cs="Times New Roman"/>
          <w:sz w:val="24"/>
        </w:rPr>
        <w:t>CD11b</w:t>
      </w:r>
      <w:r w:rsidRPr="002B1C56">
        <w:rPr>
          <w:rFonts w:ascii="Times New Roman" w:hAnsi="Times New Roman" w:cs="Times New Roman"/>
          <w:sz w:val="24"/>
          <w:vertAlign w:val="superscript"/>
        </w:rPr>
        <w:t>+</w:t>
      </w:r>
      <w:r>
        <w:rPr>
          <w:rFonts w:ascii="Times New Roman" w:hAnsi="Times New Roman" w:cs="Times New Roman"/>
          <w:sz w:val="24"/>
        </w:rPr>
        <w:t>MHCII</w:t>
      </w:r>
      <w:r w:rsidRPr="00AA7B3E">
        <w:rPr>
          <w:rFonts w:ascii="Times New Roman" w:hAnsi="Times New Roman" w:cs="Times New Roman"/>
          <w:sz w:val="24"/>
          <w:vertAlign w:val="superscript"/>
        </w:rPr>
        <w:t>lo</w:t>
      </w:r>
      <w:r>
        <w:rPr>
          <w:rFonts w:ascii="Times New Roman" w:hAnsi="Times New Roman" w:cs="Times New Roman"/>
          <w:sz w:val="24"/>
        </w:rPr>
        <w:t>CD24</w:t>
      </w:r>
      <w:r w:rsidRPr="002B1C56">
        <w:rPr>
          <w:rFonts w:ascii="Times New Roman" w:hAnsi="Times New Roman" w:cs="Times New Roman"/>
          <w:sz w:val="24"/>
          <w:vertAlign w:val="superscript"/>
        </w:rPr>
        <w:t>+</w:t>
      </w:r>
      <w:r>
        <w:rPr>
          <w:rFonts w:ascii="Times New Roman" w:hAnsi="Times New Roman" w:cs="Times New Roman"/>
          <w:sz w:val="24"/>
        </w:rPr>
        <w:t>Ly6-G</w:t>
      </w:r>
      <w:r w:rsidRPr="002B1C56">
        <w:rPr>
          <w:rFonts w:ascii="Times New Roman" w:hAnsi="Times New Roman" w:cs="Times New Roman"/>
          <w:sz w:val="24"/>
          <w:vertAlign w:val="superscript"/>
        </w:rPr>
        <w:t>+</w:t>
      </w:r>
    </w:p>
    <w:p w14:paraId="4FAF437E" w14:textId="77777777" w:rsidR="007944FC" w:rsidRDefault="007944FC" w:rsidP="00B133C1">
      <w:pPr>
        <w:autoSpaceDE w:val="0"/>
        <w:autoSpaceDN w:val="0"/>
        <w:adjustRightInd w:val="0"/>
        <w:spacing w:after="0" w:line="480" w:lineRule="auto"/>
        <w:rPr>
          <w:rFonts w:ascii="Times New Roman" w:hAnsi="Times New Roman" w:cs="Times New Roman"/>
          <w:sz w:val="24"/>
        </w:rPr>
      </w:pPr>
    </w:p>
    <w:p w14:paraId="73BE4675" w14:textId="4D479F18"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Supplementary table 2:</w:t>
      </w:r>
    </w:p>
    <w:p w14:paraId="65A1DF67" w14:textId="77777777" w:rsidR="00B133C1" w:rsidRPr="0011283A" w:rsidRDefault="00B133C1" w:rsidP="00B133C1">
      <w:pPr>
        <w:autoSpaceDE w:val="0"/>
        <w:autoSpaceDN w:val="0"/>
        <w:adjustRightInd w:val="0"/>
        <w:spacing w:after="0" w:line="480" w:lineRule="auto"/>
        <w:rPr>
          <w:rFonts w:ascii="Times New Roman" w:hAnsi="Times New Roman" w:cs="Times New Roman"/>
          <w:i/>
          <w:sz w:val="24"/>
        </w:rPr>
      </w:pPr>
      <w:r w:rsidRPr="0011283A">
        <w:rPr>
          <w:rFonts w:ascii="Times New Roman" w:hAnsi="Times New Roman" w:cs="Times New Roman"/>
          <w:i/>
          <w:sz w:val="24"/>
        </w:rPr>
        <w:t>Lymphocyte panel (CD4, CD8, CD19, NK cell and T reg):</w:t>
      </w:r>
    </w:p>
    <w:tbl>
      <w:tblPr>
        <w:tblStyle w:val="TableGrid"/>
        <w:tblpPr w:leftFromText="180" w:rightFromText="180" w:vertAnchor="text" w:horzAnchor="page" w:tblpX="2270" w:tblpY="141"/>
        <w:tblW w:w="7196" w:type="dxa"/>
        <w:tblLook w:val="04A0" w:firstRow="1" w:lastRow="0" w:firstColumn="1" w:lastColumn="0" w:noHBand="0" w:noVBand="1"/>
      </w:tblPr>
      <w:tblGrid>
        <w:gridCol w:w="1384"/>
        <w:gridCol w:w="1701"/>
        <w:gridCol w:w="992"/>
        <w:gridCol w:w="993"/>
        <w:gridCol w:w="2126"/>
      </w:tblGrid>
      <w:tr w:rsidR="00B133C1" w:rsidRPr="00ED4A5A" w14:paraId="12EABFE3" w14:textId="77777777" w:rsidTr="005A2DFB">
        <w:trPr>
          <w:trHeight w:val="306"/>
        </w:trPr>
        <w:tc>
          <w:tcPr>
            <w:tcW w:w="1384" w:type="dxa"/>
            <w:shd w:val="clear" w:color="auto" w:fill="95B3D7" w:themeFill="accent1" w:themeFillTint="99"/>
            <w:noWrap/>
            <w:hideMark/>
          </w:tcPr>
          <w:p w14:paraId="0E0457A6" w14:textId="77777777" w:rsidR="00B133C1" w:rsidRPr="00ED4A5A" w:rsidRDefault="00B133C1" w:rsidP="005A2DFB">
            <w:pPr>
              <w:rPr>
                <w:b/>
                <w:bCs/>
              </w:rPr>
            </w:pPr>
            <w:r w:rsidRPr="00ED4A5A">
              <w:rPr>
                <w:b/>
                <w:bCs/>
              </w:rPr>
              <w:t>Marker</w:t>
            </w:r>
          </w:p>
        </w:tc>
        <w:tc>
          <w:tcPr>
            <w:tcW w:w="1701" w:type="dxa"/>
            <w:shd w:val="clear" w:color="auto" w:fill="95B3D7" w:themeFill="accent1" w:themeFillTint="99"/>
            <w:noWrap/>
            <w:hideMark/>
          </w:tcPr>
          <w:p w14:paraId="57A33DFD" w14:textId="77777777" w:rsidR="00B133C1" w:rsidRPr="00ED4A5A" w:rsidRDefault="00B133C1" w:rsidP="005A2DFB">
            <w:pPr>
              <w:rPr>
                <w:b/>
                <w:bCs/>
              </w:rPr>
            </w:pPr>
            <w:r w:rsidRPr="00ED4A5A">
              <w:rPr>
                <w:b/>
                <w:bCs/>
              </w:rPr>
              <w:t>Fluorochrome</w:t>
            </w:r>
          </w:p>
        </w:tc>
        <w:tc>
          <w:tcPr>
            <w:tcW w:w="992" w:type="dxa"/>
            <w:shd w:val="clear" w:color="auto" w:fill="95B3D7" w:themeFill="accent1" w:themeFillTint="99"/>
          </w:tcPr>
          <w:p w14:paraId="2C8E0614" w14:textId="77777777" w:rsidR="00B133C1" w:rsidRPr="00ED4A5A" w:rsidRDefault="00B133C1" w:rsidP="005A2DFB">
            <w:pPr>
              <w:rPr>
                <w:b/>
                <w:bCs/>
              </w:rPr>
            </w:pPr>
            <w:r w:rsidRPr="00ED4A5A">
              <w:rPr>
                <w:b/>
                <w:bCs/>
              </w:rPr>
              <w:t>Dilution</w:t>
            </w:r>
          </w:p>
        </w:tc>
        <w:tc>
          <w:tcPr>
            <w:tcW w:w="993" w:type="dxa"/>
            <w:shd w:val="clear" w:color="auto" w:fill="95B3D7" w:themeFill="accent1" w:themeFillTint="99"/>
            <w:noWrap/>
            <w:hideMark/>
          </w:tcPr>
          <w:p w14:paraId="5F8BE7B5" w14:textId="77777777" w:rsidR="00B133C1" w:rsidRPr="00ED4A5A" w:rsidRDefault="00B133C1" w:rsidP="005A2DFB">
            <w:pPr>
              <w:rPr>
                <w:b/>
                <w:bCs/>
              </w:rPr>
            </w:pPr>
            <w:r w:rsidRPr="00ED4A5A">
              <w:rPr>
                <w:b/>
                <w:bCs/>
              </w:rPr>
              <w:t>Clone</w:t>
            </w:r>
            <w:r>
              <w:rPr>
                <w:b/>
                <w:bCs/>
              </w:rPr>
              <w:t xml:space="preserve"> #</w:t>
            </w:r>
          </w:p>
        </w:tc>
        <w:tc>
          <w:tcPr>
            <w:tcW w:w="2126" w:type="dxa"/>
            <w:shd w:val="clear" w:color="auto" w:fill="95B3D7" w:themeFill="accent1" w:themeFillTint="99"/>
            <w:noWrap/>
            <w:hideMark/>
          </w:tcPr>
          <w:p w14:paraId="1544FEAC" w14:textId="77777777" w:rsidR="00B133C1" w:rsidRPr="00ED4A5A" w:rsidRDefault="00B133C1" w:rsidP="005A2DFB">
            <w:pPr>
              <w:rPr>
                <w:b/>
                <w:bCs/>
              </w:rPr>
            </w:pPr>
            <w:r>
              <w:rPr>
                <w:b/>
                <w:bCs/>
              </w:rPr>
              <w:t>Supplier</w:t>
            </w:r>
          </w:p>
        </w:tc>
      </w:tr>
      <w:tr w:rsidR="00B133C1" w:rsidRPr="00ED4A5A" w14:paraId="0870E71E" w14:textId="77777777" w:rsidTr="005A2DFB">
        <w:trPr>
          <w:trHeight w:val="306"/>
        </w:trPr>
        <w:tc>
          <w:tcPr>
            <w:tcW w:w="1384" w:type="dxa"/>
            <w:shd w:val="clear" w:color="auto" w:fill="DBE5F1" w:themeFill="accent1" w:themeFillTint="33"/>
            <w:noWrap/>
            <w:hideMark/>
          </w:tcPr>
          <w:p w14:paraId="52D0322B" w14:textId="77777777" w:rsidR="00B133C1" w:rsidRPr="00490FDA" w:rsidRDefault="00B133C1" w:rsidP="005A2DFB">
            <w:pPr>
              <w:rPr>
                <w:bCs/>
              </w:rPr>
            </w:pPr>
            <w:r w:rsidRPr="00490FDA">
              <w:rPr>
                <w:bCs/>
              </w:rPr>
              <w:t>Extracellular Staining</w:t>
            </w:r>
          </w:p>
        </w:tc>
        <w:tc>
          <w:tcPr>
            <w:tcW w:w="1701" w:type="dxa"/>
            <w:shd w:val="clear" w:color="auto" w:fill="DBE5F1" w:themeFill="accent1" w:themeFillTint="33"/>
            <w:noWrap/>
            <w:hideMark/>
          </w:tcPr>
          <w:p w14:paraId="18217922" w14:textId="77777777" w:rsidR="00B133C1" w:rsidRPr="00490FDA" w:rsidRDefault="00B133C1" w:rsidP="005A2DFB">
            <w:pPr>
              <w:rPr>
                <w:bCs/>
              </w:rPr>
            </w:pPr>
          </w:p>
        </w:tc>
        <w:tc>
          <w:tcPr>
            <w:tcW w:w="992" w:type="dxa"/>
            <w:shd w:val="clear" w:color="auto" w:fill="DBE5F1" w:themeFill="accent1" w:themeFillTint="33"/>
          </w:tcPr>
          <w:p w14:paraId="5730DB33" w14:textId="77777777" w:rsidR="00B133C1" w:rsidRPr="00490FDA" w:rsidRDefault="00B133C1" w:rsidP="005A2DFB">
            <w:pPr>
              <w:rPr>
                <w:bCs/>
              </w:rPr>
            </w:pPr>
          </w:p>
        </w:tc>
        <w:tc>
          <w:tcPr>
            <w:tcW w:w="993" w:type="dxa"/>
            <w:shd w:val="clear" w:color="auto" w:fill="DBE5F1" w:themeFill="accent1" w:themeFillTint="33"/>
            <w:noWrap/>
            <w:hideMark/>
          </w:tcPr>
          <w:p w14:paraId="0856292B" w14:textId="77777777" w:rsidR="00B133C1" w:rsidRPr="00490FDA" w:rsidRDefault="00B133C1" w:rsidP="005A2DFB">
            <w:pPr>
              <w:rPr>
                <w:bCs/>
              </w:rPr>
            </w:pPr>
          </w:p>
        </w:tc>
        <w:tc>
          <w:tcPr>
            <w:tcW w:w="2126" w:type="dxa"/>
            <w:shd w:val="clear" w:color="auto" w:fill="DBE5F1" w:themeFill="accent1" w:themeFillTint="33"/>
            <w:noWrap/>
            <w:hideMark/>
          </w:tcPr>
          <w:p w14:paraId="6C7610D7" w14:textId="77777777" w:rsidR="00B133C1" w:rsidRPr="00490FDA" w:rsidRDefault="00B133C1" w:rsidP="005A2DFB">
            <w:pPr>
              <w:rPr>
                <w:bCs/>
              </w:rPr>
            </w:pPr>
          </w:p>
        </w:tc>
      </w:tr>
      <w:tr w:rsidR="00B133C1" w:rsidRPr="00ED4A5A" w14:paraId="245823F2" w14:textId="77777777" w:rsidTr="005A2DFB">
        <w:trPr>
          <w:trHeight w:val="306"/>
        </w:trPr>
        <w:tc>
          <w:tcPr>
            <w:tcW w:w="1384" w:type="dxa"/>
            <w:noWrap/>
            <w:hideMark/>
          </w:tcPr>
          <w:p w14:paraId="6E5F29A9" w14:textId="77777777" w:rsidR="00B133C1" w:rsidRPr="00BD12EA" w:rsidRDefault="00B133C1" w:rsidP="005A2DFB">
            <w:r w:rsidRPr="00BD12EA">
              <w:t>CD45</w:t>
            </w:r>
          </w:p>
        </w:tc>
        <w:tc>
          <w:tcPr>
            <w:tcW w:w="1701" w:type="dxa"/>
            <w:noWrap/>
            <w:hideMark/>
          </w:tcPr>
          <w:p w14:paraId="53CE2856" w14:textId="77777777" w:rsidR="00B133C1" w:rsidRPr="00BD12EA" w:rsidRDefault="00B133C1" w:rsidP="005A2DFB">
            <w:r w:rsidRPr="00BD12EA">
              <w:t>Viogreen</w:t>
            </w:r>
          </w:p>
        </w:tc>
        <w:tc>
          <w:tcPr>
            <w:tcW w:w="992" w:type="dxa"/>
          </w:tcPr>
          <w:p w14:paraId="26EE5378" w14:textId="77777777" w:rsidR="00B133C1" w:rsidRPr="00BD12EA" w:rsidRDefault="00B133C1" w:rsidP="005A2DFB">
            <w:r w:rsidRPr="00BD12EA">
              <w:t>1:30</w:t>
            </w:r>
          </w:p>
        </w:tc>
        <w:tc>
          <w:tcPr>
            <w:tcW w:w="993" w:type="dxa"/>
            <w:noWrap/>
            <w:hideMark/>
          </w:tcPr>
          <w:p w14:paraId="2004EF79" w14:textId="77777777" w:rsidR="00B133C1" w:rsidRPr="00BD12EA" w:rsidRDefault="00B133C1" w:rsidP="005A2DFB">
            <w:r w:rsidRPr="00BD12EA">
              <w:t>30-F11</w:t>
            </w:r>
          </w:p>
        </w:tc>
        <w:tc>
          <w:tcPr>
            <w:tcW w:w="2126" w:type="dxa"/>
            <w:noWrap/>
            <w:hideMark/>
          </w:tcPr>
          <w:p w14:paraId="7863B65E" w14:textId="77777777" w:rsidR="00B133C1" w:rsidRPr="00BD12EA" w:rsidRDefault="00B133C1" w:rsidP="005A2DFB">
            <w:r w:rsidRPr="00BD12EA">
              <w:t xml:space="preserve">Miltenyi </w:t>
            </w:r>
            <w:r>
              <w:t>Biotech, UK</w:t>
            </w:r>
          </w:p>
        </w:tc>
      </w:tr>
      <w:tr w:rsidR="00B133C1" w:rsidRPr="00ED4A5A" w14:paraId="7141588F" w14:textId="77777777" w:rsidTr="005A2DFB">
        <w:trPr>
          <w:trHeight w:val="306"/>
        </w:trPr>
        <w:tc>
          <w:tcPr>
            <w:tcW w:w="1384" w:type="dxa"/>
            <w:noWrap/>
            <w:hideMark/>
          </w:tcPr>
          <w:p w14:paraId="6467AEB0" w14:textId="77777777" w:rsidR="00B133C1" w:rsidRPr="00BD12EA" w:rsidRDefault="00B133C1" w:rsidP="005A2DFB">
            <w:r w:rsidRPr="00BD12EA">
              <w:t>CD4</w:t>
            </w:r>
          </w:p>
        </w:tc>
        <w:tc>
          <w:tcPr>
            <w:tcW w:w="1701" w:type="dxa"/>
            <w:noWrap/>
            <w:hideMark/>
          </w:tcPr>
          <w:p w14:paraId="78A5837B" w14:textId="77777777" w:rsidR="00B133C1" w:rsidRPr="00BD12EA" w:rsidRDefault="00B133C1" w:rsidP="005A2DFB">
            <w:r>
              <w:t>APC Vio-</w:t>
            </w:r>
            <w:r w:rsidRPr="00BD12EA">
              <w:t>770</w:t>
            </w:r>
          </w:p>
        </w:tc>
        <w:tc>
          <w:tcPr>
            <w:tcW w:w="992" w:type="dxa"/>
          </w:tcPr>
          <w:p w14:paraId="00B1F4F5" w14:textId="77777777" w:rsidR="00B133C1" w:rsidRPr="00BD12EA" w:rsidRDefault="00B133C1" w:rsidP="005A2DFB">
            <w:r w:rsidRPr="00BD12EA">
              <w:t>1:30</w:t>
            </w:r>
          </w:p>
        </w:tc>
        <w:tc>
          <w:tcPr>
            <w:tcW w:w="993" w:type="dxa"/>
            <w:noWrap/>
            <w:hideMark/>
          </w:tcPr>
          <w:p w14:paraId="460F0470" w14:textId="77777777" w:rsidR="00B133C1" w:rsidRPr="00BD12EA" w:rsidRDefault="00B133C1" w:rsidP="005A2DFB">
            <w:r w:rsidRPr="00BD12EA">
              <w:t>GK1.5</w:t>
            </w:r>
          </w:p>
        </w:tc>
        <w:tc>
          <w:tcPr>
            <w:tcW w:w="2126" w:type="dxa"/>
            <w:noWrap/>
            <w:hideMark/>
          </w:tcPr>
          <w:p w14:paraId="492A27B0" w14:textId="77777777" w:rsidR="00B133C1" w:rsidRPr="00BD12EA" w:rsidRDefault="00B133C1" w:rsidP="005A2DFB">
            <w:r w:rsidRPr="00BD12EA">
              <w:t xml:space="preserve">Miltenyi </w:t>
            </w:r>
            <w:r>
              <w:t>Biotech, UK</w:t>
            </w:r>
          </w:p>
        </w:tc>
      </w:tr>
      <w:tr w:rsidR="00B133C1" w:rsidRPr="00ED4A5A" w14:paraId="78371DD0" w14:textId="77777777" w:rsidTr="005A2DFB">
        <w:trPr>
          <w:trHeight w:val="306"/>
        </w:trPr>
        <w:tc>
          <w:tcPr>
            <w:tcW w:w="1384" w:type="dxa"/>
            <w:noWrap/>
            <w:hideMark/>
          </w:tcPr>
          <w:p w14:paraId="72EF6D0B" w14:textId="77777777" w:rsidR="00B133C1" w:rsidRPr="00BD12EA" w:rsidRDefault="00B133C1" w:rsidP="005A2DFB">
            <w:pPr>
              <w:rPr>
                <w:rFonts w:cstheme="minorHAnsi"/>
              </w:rPr>
            </w:pPr>
            <w:r w:rsidRPr="00BD12EA">
              <w:t>TCR</w:t>
            </w:r>
            <w:r w:rsidRPr="00BD12EA">
              <w:rPr>
                <w:rFonts w:cstheme="minorHAnsi"/>
              </w:rPr>
              <w:t>β</w:t>
            </w:r>
          </w:p>
        </w:tc>
        <w:tc>
          <w:tcPr>
            <w:tcW w:w="1701" w:type="dxa"/>
            <w:noWrap/>
            <w:hideMark/>
          </w:tcPr>
          <w:p w14:paraId="66372C04" w14:textId="77777777" w:rsidR="00B133C1" w:rsidRPr="00BD12EA" w:rsidRDefault="00B133C1" w:rsidP="005A2DFB">
            <w:r w:rsidRPr="00BD12EA">
              <w:t>Vioblue</w:t>
            </w:r>
          </w:p>
        </w:tc>
        <w:tc>
          <w:tcPr>
            <w:tcW w:w="992" w:type="dxa"/>
          </w:tcPr>
          <w:p w14:paraId="6DA07A61" w14:textId="77777777" w:rsidR="00B133C1" w:rsidRPr="00BD12EA" w:rsidRDefault="00B133C1" w:rsidP="005A2DFB">
            <w:r w:rsidRPr="00BD12EA">
              <w:t>1:30</w:t>
            </w:r>
          </w:p>
        </w:tc>
        <w:tc>
          <w:tcPr>
            <w:tcW w:w="993" w:type="dxa"/>
            <w:noWrap/>
            <w:hideMark/>
          </w:tcPr>
          <w:p w14:paraId="4083CEC7" w14:textId="77777777" w:rsidR="00B133C1" w:rsidRPr="00BD12EA" w:rsidRDefault="00B133C1" w:rsidP="005A2DFB">
            <w:r w:rsidRPr="00BD12EA">
              <w:t>REA318</w:t>
            </w:r>
          </w:p>
        </w:tc>
        <w:tc>
          <w:tcPr>
            <w:tcW w:w="2126" w:type="dxa"/>
            <w:noWrap/>
            <w:hideMark/>
          </w:tcPr>
          <w:p w14:paraId="1BA085BB" w14:textId="77777777" w:rsidR="00B133C1" w:rsidRPr="00BD12EA" w:rsidRDefault="00B133C1" w:rsidP="005A2DFB">
            <w:r w:rsidRPr="00BD12EA">
              <w:t xml:space="preserve">Miltenyi </w:t>
            </w:r>
            <w:r>
              <w:t>Biotech, UK</w:t>
            </w:r>
          </w:p>
        </w:tc>
      </w:tr>
      <w:tr w:rsidR="00B133C1" w:rsidRPr="00ED4A5A" w14:paraId="4620EC13" w14:textId="77777777" w:rsidTr="005A2DFB">
        <w:trPr>
          <w:trHeight w:val="306"/>
        </w:trPr>
        <w:tc>
          <w:tcPr>
            <w:tcW w:w="1384" w:type="dxa"/>
            <w:noWrap/>
            <w:hideMark/>
          </w:tcPr>
          <w:p w14:paraId="757FAE51" w14:textId="77777777" w:rsidR="00B133C1" w:rsidRPr="00BD12EA" w:rsidRDefault="00B133C1" w:rsidP="005A2DFB">
            <w:r w:rsidRPr="00BD12EA">
              <w:t>CD19</w:t>
            </w:r>
          </w:p>
        </w:tc>
        <w:tc>
          <w:tcPr>
            <w:tcW w:w="1701" w:type="dxa"/>
            <w:noWrap/>
            <w:hideMark/>
          </w:tcPr>
          <w:p w14:paraId="3E4F6013" w14:textId="77777777" w:rsidR="00B133C1" w:rsidRPr="00BD12EA" w:rsidRDefault="00B133C1" w:rsidP="005A2DFB">
            <w:r>
              <w:t>Per-Cp-Vio-</w:t>
            </w:r>
            <w:r w:rsidRPr="00BD12EA">
              <w:t>700</w:t>
            </w:r>
          </w:p>
        </w:tc>
        <w:tc>
          <w:tcPr>
            <w:tcW w:w="992" w:type="dxa"/>
          </w:tcPr>
          <w:p w14:paraId="06257C1E" w14:textId="77777777" w:rsidR="00B133C1" w:rsidRPr="00BD12EA" w:rsidRDefault="00B133C1" w:rsidP="005A2DFB">
            <w:r w:rsidRPr="00BD12EA">
              <w:t>1:30</w:t>
            </w:r>
          </w:p>
        </w:tc>
        <w:tc>
          <w:tcPr>
            <w:tcW w:w="993" w:type="dxa"/>
            <w:noWrap/>
            <w:hideMark/>
          </w:tcPr>
          <w:p w14:paraId="67173BC0" w14:textId="77777777" w:rsidR="00B133C1" w:rsidRPr="00BD12EA" w:rsidRDefault="00B133C1" w:rsidP="005A2DFB">
            <w:r w:rsidRPr="00BD12EA">
              <w:t>6D5</w:t>
            </w:r>
          </w:p>
        </w:tc>
        <w:tc>
          <w:tcPr>
            <w:tcW w:w="2126" w:type="dxa"/>
            <w:noWrap/>
            <w:hideMark/>
          </w:tcPr>
          <w:p w14:paraId="015C1F14" w14:textId="77777777" w:rsidR="00B133C1" w:rsidRPr="00BD12EA" w:rsidRDefault="00B133C1" w:rsidP="005A2DFB">
            <w:r w:rsidRPr="00BD12EA">
              <w:t xml:space="preserve">Miltenyi </w:t>
            </w:r>
            <w:r>
              <w:t>Biotech, UK</w:t>
            </w:r>
          </w:p>
        </w:tc>
      </w:tr>
      <w:tr w:rsidR="00B133C1" w:rsidRPr="00ED4A5A" w14:paraId="54639B89" w14:textId="77777777" w:rsidTr="005A2DFB">
        <w:trPr>
          <w:trHeight w:val="306"/>
        </w:trPr>
        <w:tc>
          <w:tcPr>
            <w:tcW w:w="1384" w:type="dxa"/>
            <w:noWrap/>
            <w:hideMark/>
          </w:tcPr>
          <w:p w14:paraId="780D7C60" w14:textId="77777777" w:rsidR="00B133C1" w:rsidRPr="00BD12EA" w:rsidRDefault="00B133C1" w:rsidP="005A2DFB">
            <w:r w:rsidRPr="00BD12EA">
              <w:t>CD25</w:t>
            </w:r>
          </w:p>
        </w:tc>
        <w:tc>
          <w:tcPr>
            <w:tcW w:w="1701" w:type="dxa"/>
            <w:noWrap/>
            <w:hideMark/>
          </w:tcPr>
          <w:p w14:paraId="3869749F" w14:textId="77777777" w:rsidR="00B133C1" w:rsidRPr="00BD12EA" w:rsidRDefault="00B133C1" w:rsidP="005A2DFB">
            <w:r>
              <w:t>Pe-Vio-</w:t>
            </w:r>
            <w:r w:rsidRPr="00BD12EA">
              <w:t>770</w:t>
            </w:r>
          </w:p>
        </w:tc>
        <w:tc>
          <w:tcPr>
            <w:tcW w:w="992" w:type="dxa"/>
          </w:tcPr>
          <w:p w14:paraId="40ABDA71" w14:textId="77777777" w:rsidR="00B133C1" w:rsidRPr="00BD12EA" w:rsidRDefault="00B133C1" w:rsidP="005A2DFB">
            <w:r w:rsidRPr="00BD12EA">
              <w:t>1:30</w:t>
            </w:r>
          </w:p>
        </w:tc>
        <w:tc>
          <w:tcPr>
            <w:tcW w:w="993" w:type="dxa"/>
            <w:noWrap/>
            <w:hideMark/>
          </w:tcPr>
          <w:p w14:paraId="1BE8035C" w14:textId="77777777" w:rsidR="00B133C1" w:rsidRPr="00BD12EA" w:rsidRDefault="00B133C1" w:rsidP="005A2DFB">
            <w:r w:rsidRPr="00BD12EA">
              <w:t>7D4</w:t>
            </w:r>
          </w:p>
        </w:tc>
        <w:tc>
          <w:tcPr>
            <w:tcW w:w="2126" w:type="dxa"/>
            <w:noWrap/>
            <w:hideMark/>
          </w:tcPr>
          <w:p w14:paraId="2ED59FE3" w14:textId="77777777" w:rsidR="00B133C1" w:rsidRPr="00BD12EA" w:rsidRDefault="00B133C1" w:rsidP="005A2DFB">
            <w:r w:rsidRPr="00BD12EA">
              <w:t xml:space="preserve">Miltenyi </w:t>
            </w:r>
            <w:r>
              <w:t>Biotech, UK</w:t>
            </w:r>
          </w:p>
        </w:tc>
      </w:tr>
      <w:tr w:rsidR="00B133C1" w:rsidRPr="00ED4A5A" w14:paraId="4CEB1CB6" w14:textId="77777777" w:rsidTr="005A2DFB">
        <w:trPr>
          <w:trHeight w:val="306"/>
        </w:trPr>
        <w:tc>
          <w:tcPr>
            <w:tcW w:w="1384" w:type="dxa"/>
            <w:noWrap/>
            <w:hideMark/>
          </w:tcPr>
          <w:p w14:paraId="0C52A8F8" w14:textId="77777777" w:rsidR="00B133C1" w:rsidRPr="00BD12EA" w:rsidRDefault="00B133C1" w:rsidP="005A2DFB">
            <w:r>
              <w:t>CD8a</w:t>
            </w:r>
          </w:p>
        </w:tc>
        <w:tc>
          <w:tcPr>
            <w:tcW w:w="1701" w:type="dxa"/>
            <w:noWrap/>
            <w:hideMark/>
          </w:tcPr>
          <w:p w14:paraId="5A28EF89" w14:textId="77777777" w:rsidR="00B133C1" w:rsidRPr="00BD12EA" w:rsidRDefault="00B133C1" w:rsidP="005A2DFB">
            <w:r w:rsidRPr="00BD12EA">
              <w:t xml:space="preserve">APC </w:t>
            </w:r>
          </w:p>
        </w:tc>
        <w:tc>
          <w:tcPr>
            <w:tcW w:w="992" w:type="dxa"/>
          </w:tcPr>
          <w:p w14:paraId="6F7A3282" w14:textId="77777777" w:rsidR="00B133C1" w:rsidRPr="00BD12EA" w:rsidRDefault="00B133C1" w:rsidP="005A2DFB">
            <w:r w:rsidRPr="00BD12EA">
              <w:t>1:200</w:t>
            </w:r>
          </w:p>
        </w:tc>
        <w:tc>
          <w:tcPr>
            <w:tcW w:w="993" w:type="dxa"/>
            <w:noWrap/>
            <w:hideMark/>
          </w:tcPr>
          <w:p w14:paraId="3DF099F7" w14:textId="77777777" w:rsidR="00B133C1" w:rsidRPr="00BD12EA" w:rsidRDefault="00B133C1" w:rsidP="005A2DFB">
            <w:r>
              <w:t>53-6.7</w:t>
            </w:r>
          </w:p>
        </w:tc>
        <w:tc>
          <w:tcPr>
            <w:tcW w:w="2126" w:type="dxa"/>
            <w:noWrap/>
            <w:hideMark/>
          </w:tcPr>
          <w:p w14:paraId="524F7292" w14:textId="77777777" w:rsidR="00B133C1" w:rsidRPr="00BD12EA" w:rsidRDefault="00B133C1" w:rsidP="005A2DFB">
            <w:r w:rsidRPr="00BD12EA">
              <w:t>Biolegend</w:t>
            </w:r>
            <w:r>
              <w:t>, UK</w:t>
            </w:r>
          </w:p>
        </w:tc>
      </w:tr>
      <w:tr w:rsidR="00B133C1" w:rsidRPr="00ED4A5A" w14:paraId="49CFA162" w14:textId="77777777" w:rsidTr="005A2DFB">
        <w:trPr>
          <w:trHeight w:val="306"/>
        </w:trPr>
        <w:tc>
          <w:tcPr>
            <w:tcW w:w="1384" w:type="dxa"/>
            <w:noWrap/>
            <w:hideMark/>
          </w:tcPr>
          <w:p w14:paraId="72B94B81" w14:textId="77777777" w:rsidR="00B133C1" w:rsidRPr="00BD12EA" w:rsidRDefault="00B133C1" w:rsidP="005A2DFB">
            <w:r w:rsidRPr="00BD12EA">
              <w:t>CD49b</w:t>
            </w:r>
          </w:p>
        </w:tc>
        <w:tc>
          <w:tcPr>
            <w:tcW w:w="1701" w:type="dxa"/>
            <w:noWrap/>
            <w:hideMark/>
          </w:tcPr>
          <w:p w14:paraId="49928874" w14:textId="77777777" w:rsidR="00B133C1" w:rsidRPr="00BD12EA" w:rsidRDefault="00B133C1" w:rsidP="005A2DFB">
            <w:r w:rsidRPr="00BD12EA">
              <w:t>FITC</w:t>
            </w:r>
          </w:p>
        </w:tc>
        <w:tc>
          <w:tcPr>
            <w:tcW w:w="992" w:type="dxa"/>
          </w:tcPr>
          <w:p w14:paraId="158995E5" w14:textId="77777777" w:rsidR="00B133C1" w:rsidRPr="00BD12EA" w:rsidRDefault="00B133C1" w:rsidP="005A2DFB">
            <w:r w:rsidRPr="00BD12EA">
              <w:t>1:200</w:t>
            </w:r>
          </w:p>
        </w:tc>
        <w:tc>
          <w:tcPr>
            <w:tcW w:w="993" w:type="dxa"/>
            <w:noWrap/>
            <w:hideMark/>
          </w:tcPr>
          <w:p w14:paraId="5A483E2B" w14:textId="77777777" w:rsidR="00B133C1" w:rsidRPr="00BD12EA" w:rsidRDefault="00B133C1" w:rsidP="005A2DFB">
            <w:r w:rsidRPr="00BD12EA">
              <w:t>DX5</w:t>
            </w:r>
          </w:p>
        </w:tc>
        <w:tc>
          <w:tcPr>
            <w:tcW w:w="2126" w:type="dxa"/>
            <w:noWrap/>
            <w:hideMark/>
          </w:tcPr>
          <w:p w14:paraId="2085D881" w14:textId="77777777" w:rsidR="00B133C1" w:rsidRPr="00BD12EA" w:rsidRDefault="00B133C1" w:rsidP="005A2DFB">
            <w:r w:rsidRPr="00BD12EA">
              <w:t>Biolegend</w:t>
            </w:r>
            <w:r>
              <w:t>, UK</w:t>
            </w:r>
          </w:p>
        </w:tc>
      </w:tr>
      <w:tr w:rsidR="00B133C1" w:rsidRPr="00ED4A5A" w14:paraId="014F44DD" w14:textId="77777777" w:rsidTr="005A2DFB">
        <w:trPr>
          <w:trHeight w:val="306"/>
        </w:trPr>
        <w:tc>
          <w:tcPr>
            <w:tcW w:w="1384" w:type="dxa"/>
            <w:shd w:val="clear" w:color="auto" w:fill="DBE5F1" w:themeFill="accent1" w:themeFillTint="33"/>
            <w:noWrap/>
            <w:hideMark/>
          </w:tcPr>
          <w:p w14:paraId="3D6F023F" w14:textId="77777777" w:rsidR="00B133C1" w:rsidRPr="00BD12EA" w:rsidRDefault="00B133C1" w:rsidP="005A2DFB">
            <w:r w:rsidRPr="00BD12EA">
              <w:t>Intracellular Staining</w:t>
            </w:r>
          </w:p>
        </w:tc>
        <w:tc>
          <w:tcPr>
            <w:tcW w:w="1701" w:type="dxa"/>
            <w:shd w:val="clear" w:color="auto" w:fill="DBE5F1" w:themeFill="accent1" w:themeFillTint="33"/>
            <w:noWrap/>
            <w:hideMark/>
          </w:tcPr>
          <w:p w14:paraId="66B5F5F6" w14:textId="77777777" w:rsidR="00B133C1" w:rsidRPr="00BD12EA" w:rsidRDefault="00B133C1" w:rsidP="005A2DFB"/>
        </w:tc>
        <w:tc>
          <w:tcPr>
            <w:tcW w:w="992" w:type="dxa"/>
            <w:shd w:val="clear" w:color="auto" w:fill="DBE5F1" w:themeFill="accent1" w:themeFillTint="33"/>
          </w:tcPr>
          <w:p w14:paraId="6DA9DEB8" w14:textId="77777777" w:rsidR="00B133C1" w:rsidRPr="00BD12EA" w:rsidRDefault="00B133C1" w:rsidP="005A2DFB"/>
        </w:tc>
        <w:tc>
          <w:tcPr>
            <w:tcW w:w="993" w:type="dxa"/>
            <w:shd w:val="clear" w:color="auto" w:fill="DBE5F1" w:themeFill="accent1" w:themeFillTint="33"/>
            <w:noWrap/>
            <w:hideMark/>
          </w:tcPr>
          <w:p w14:paraId="28D21874" w14:textId="77777777" w:rsidR="00B133C1" w:rsidRPr="00BD12EA" w:rsidRDefault="00B133C1" w:rsidP="005A2DFB"/>
        </w:tc>
        <w:tc>
          <w:tcPr>
            <w:tcW w:w="2126" w:type="dxa"/>
            <w:shd w:val="clear" w:color="auto" w:fill="DBE5F1" w:themeFill="accent1" w:themeFillTint="33"/>
            <w:noWrap/>
            <w:hideMark/>
          </w:tcPr>
          <w:p w14:paraId="1F00EB4A" w14:textId="77777777" w:rsidR="00B133C1" w:rsidRPr="00BD12EA" w:rsidRDefault="00B133C1" w:rsidP="005A2DFB"/>
        </w:tc>
      </w:tr>
      <w:tr w:rsidR="00B133C1" w:rsidRPr="00ED4A5A" w14:paraId="565039F0" w14:textId="77777777" w:rsidTr="005A2DFB">
        <w:trPr>
          <w:trHeight w:val="306"/>
        </w:trPr>
        <w:tc>
          <w:tcPr>
            <w:tcW w:w="1384" w:type="dxa"/>
            <w:noWrap/>
            <w:hideMark/>
          </w:tcPr>
          <w:p w14:paraId="591170A1" w14:textId="77777777" w:rsidR="00B133C1" w:rsidRPr="00BD12EA" w:rsidRDefault="00B133C1" w:rsidP="005A2DFB">
            <w:r w:rsidRPr="00BD12EA">
              <w:t>FOXP3</w:t>
            </w:r>
          </w:p>
        </w:tc>
        <w:tc>
          <w:tcPr>
            <w:tcW w:w="1701" w:type="dxa"/>
            <w:noWrap/>
            <w:hideMark/>
          </w:tcPr>
          <w:p w14:paraId="0D1ABFFC" w14:textId="77777777" w:rsidR="00B133C1" w:rsidRPr="00BD12EA" w:rsidRDefault="00B133C1" w:rsidP="005A2DFB">
            <w:r w:rsidRPr="00BD12EA">
              <w:t>PE</w:t>
            </w:r>
          </w:p>
        </w:tc>
        <w:tc>
          <w:tcPr>
            <w:tcW w:w="992" w:type="dxa"/>
          </w:tcPr>
          <w:p w14:paraId="5643F046" w14:textId="77777777" w:rsidR="00B133C1" w:rsidRPr="00BD12EA" w:rsidRDefault="00B133C1" w:rsidP="005A2DFB">
            <w:r w:rsidRPr="00BD12EA">
              <w:t>1:50</w:t>
            </w:r>
          </w:p>
        </w:tc>
        <w:tc>
          <w:tcPr>
            <w:tcW w:w="993" w:type="dxa"/>
            <w:noWrap/>
            <w:hideMark/>
          </w:tcPr>
          <w:p w14:paraId="0765A372" w14:textId="77777777" w:rsidR="00B133C1" w:rsidRPr="00BD12EA" w:rsidRDefault="00B133C1" w:rsidP="005A2DFB">
            <w:r w:rsidRPr="00BD12EA">
              <w:t>FJK-16s</w:t>
            </w:r>
          </w:p>
        </w:tc>
        <w:tc>
          <w:tcPr>
            <w:tcW w:w="2126" w:type="dxa"/>
            <w:noWrap/>
            <w:hideMark/>
          </w:tcPr>
          <w:p w14:paraId="613C031C" w14:textId="77777777" w:rsidR="00B133C1" w:rsidRPr="00BD12EA" w:rsidRDefault="00B133C1" w:rsidP="005A2DFB">
            <w:r>
              <w:t>eBios</w:t>
            </w:r>
            <w:r w:rsidRPr="00230D0D">
              <w:t>cience</w:t>
            </w:r>
            <w:r>
              <w:t>, US</w:t>
            </w:r>
          </w:p>
        </w:tc>
      </w:tr>
    </w:tbl>
    <w:p w14:paraId="5ECB9430"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4300D3C6"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11C920B5"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6BF8880F"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38888C27"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697592CD"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5E8DAC1F"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7C10FF71"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33249E9E" w14:textId="77777777" w:rsidR="00B133C1" w:rsidRDefault="00B133C1" w:rsidP="00B133C1">
      <w:pPr>
        <w:autoSpaceDE w:val="0"/>
        <w:autoSpaceDN w:val="0"/>
        <w:adjustRightInd w:val="0"/>
        <w:spacing w:after="0" w:line="480" w:lineRule="auto"/>
        <w:rPr>
          <w:rFonts w:ascii="Times New Roman" w:hAnsi="Times New Roman" w:cs="Times New Roman"/>
          <w:i/>
          <w:sz w:val="24"/>
        </w:rPr>
      </w:pPr>
      <w:r>
        <w:rPr>
          <w:rFonts w:ascii="Times New Roman" w:hAnsi="Times New Roman" w:cs="Times New Roman"/>
          <w:sz w:val="24"/>
        </w:rPr>
        <w:t>Lymphocyte sub-populations were identified as CD45</w:t>
      </w:r>
      <w:r w:rsidRPr="002B1C56">
        <w:rPr>
          <w:rFonts w:ascii="Times New Roman" w:hAnsi="Times New Roman" w:cs="Times New Roman"/>
          <w:sz w:val="24"/>
          <w:vertAlign w:val="superscript"/>
        </w:rPr>
        <w:t>+</w:t>
      </w:r>
      <w:r>
        <w:rPr>
          <w:rFonts w:ascii="Times New Roman" w:hAnsi="Times New Roman" w:cs="Times New Roman"/>
          <w:sz w:val="24"/>
        </w:rPr>
        <w:t xml:space="preserve"> in the singlet gate. Cell subsets were then quantified based on expression of cell surface markers as follows:</w:t>
      </w:r>
    </w:p>
    <w:p w14:paraId="1EE5E3F3"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CD4 cells: TCR</w:t>
      </w:r>
      <w:r>
        <w:rPr>
          <w:rFonts w:ascii="Times New Roman" w:hAnsi="Times New Roman" w:cs="Times New Roman"/>
          <w:sz w:val="24"/>
        </w:rPr>
        <w:sym w:font="Symbol" w:char="F062"/>
      </w:r>
      <w:r w:rsidRPr="00026227">
        <w:rPr>
          <w:rFonts w:ascii="Times New Roman" w:hAnsi="Times New Roman" w:cs="Times New Roman"/>
          <w:sz w:val="24"/>
          <w:vertAlign w:val="superscript"/>
        </w:rPr>
        <w:t>+</w:t>
      </w:r>
      <w:r>
        <w:rPr>
          <w:rFonts w:ascii="Times New Roman" w:hAnsi="Times New Roman" w:cs="Times New Roman"/>
          <w:sz w:val="24"/>
        </w:rPr>
        <w:t>CD4</w:t>
      </w:r>
      <w:r w:rsidRPr="00026227">
        <w:rPr>
          <w:rFonts w:ascii="Times New Roman" w:hAnsi="Times New Roman" w:cs="Times New Roman"/>
          <w:sz w:val="24"/>
          <w:vertAlign w:val="superscript"/>
        </w:rPr>
        <w:t>+</w:t>
      </w:r>
    </w:p>
    <w:p w14:paraId="74669EDE"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CD8 cells: TCR</w:t>
      </w:r>
      <w:r>
        <w:rPr>
          <w:rFonts w:ascii="Times New Roman" w:hAnsi="Times New Roman" w:cs="Times New Roman"/>
          <w:sz w:val="24"/>
        </w:rPr>
        <w:sym w:font="Symbol" w:char="F062"/>
      </w:r>
      <w:r w:rsidRPr="00026227">
        <w:rPr>
          <w:rFonts w:ascii="Times New Roman" w:hAnsi="Times New Roman" w:cs="Times New Roman"/>
          <w:sz w:val="24"/>
          <w:vertAlign w:val="superscript"/>
        </w:rPr>
        <w:t>+</w:t>
      </w:r>
      <w:r>
        <w:rPr>
          <w:rFonts w:ascii="Times New Roman" w:hAnsi="Times New Roman" w:cs="Times New Roman"/>
          <w:sz w:val="24"/>
        </w:rPr>
        <w:t>CD8</w:t>
      </w:r>
      <w:r w:rsidRPr="00026227">
        <w:rPr>
          <w:rFonts w:ascii="Times New Roman" w:hAnsi="Times New Roman" w:cs="Times New Roman"/>
          <w:sz w:val="24"/>
          <w:vertAlign w:val="superscript"/>
        </w:rPr>
        <w:t>+</w:t>
      </w:r>
    </w:p>
    <w:p w14:paraId="1FE99054"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B cells: CD45</w:t>
      </w:r>
      <w:r w:rsidRPr="00026227">
        <w:rPr>
          <w:rFonts w:ascii="Times New Roman" w:hAnsi="Times New Roman" w:cs="Times New Roman"/>
          <w:sz w:val="24"/>
          <w:vertAlign w:val="superscript"/>
        </w:rPr>
        <w:t>+</w:t>
      </w:r>
      <w:r>
        <w:rPr>
          <w:rFonts w:ascii="Times New Roman" w:hAnsi="Times New Roman" w:cs="Times New Roman"/>
          <w:sz w:val="24"/>
        </w:rPr>
        <w:t>CD19</w:t>
      </w:r>
      <w:r w:rsidRPr="00026227">
        <w:rPr>
          <w:rFonts w:ascii="Times New Roman" w:hAnsi="Times New Roman" w:cs="Times New Roman"/>
          <w:sz w:val="24"/>
          <w:vertAlign w:val="superscript"/>
        </w:rPr>
        <w:t>+</w:t>
      </w:r>
    </w:p>
    <w:p w14:paraId="5E52ACB9"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NK Cells: CD45</w:t>
      </w:r>
      <w:r w:rsidRPr="00026227">
        <w:rPr>
          <w:rFonts w:ascii="Times New Roman" w:hAnsi="Times New Roman" w:cs="Times New Roman"/>
          <w:sz w:val="24"/>
          <w:vertAlign w:val="superscript"/>
        </w:rPr>
        <w:t>+</w:t>
      </w:r>
      <w:r>
        <w:rPr>
          <w:rFonts w:ascii="Times New Roman" w:hAnsi="Times New Roman" w:cs="Times New Roman"/>
          <w:sz w:val="24"/>
        </w:rPr>
        <w:t>CD49b</w:t>
      </w:r>
      <w:r w:rsidRPr="00026227">
        <w:rPr>
          <w:rFonts w:ascii="Times New Roman" w:hAnsi="Times New Roman" w:cs="Times New Roman"/>
          <w:sz w:val="24"/>
          <w:vertAlign w:val="superscript"/>
        </w:rPr>
        <w:t>+</w:t>
      </w:r>
    </w:p>
    <w:p w14:paraId="24B9169E"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T regulatory cells: TCR</w:t>
      </w:r>
      <w:r>
        <w:rPr>
          <w:rFonts w:ascii="Times New Roman" w:hAnsi="Times New Roman" w:cs="Times New Roman"/>
          <w:sz w:val="24"/>
        </w:rPr>
        <w:sym w:font="Symbol" w:char="F062"/>
      </w:r>
      <w:r w:rsidRPr="00026227">
        <w:rPr>
          <w:rFonts w:ascii="Times New Roman" w:hAnsi="Times New Roman" w:cs="Times New Roman"/>
          <w:sz w:val="24"/>
          <w:vertAlign w:val="superscript"/>
        </w:rPr>
        <w:t>+</w:t>
      </w:r>
      <w:r>
        <w:rPr>
          <w:rFonts w:ascii="Times New Roman" w:hAnsi="Times New Roman" w:cs="Times New Roman"/>
          <w:sz w:val="24"/>
        </w:rPr>
        <w:t>CD4</w:t>
      </w:r>
      <w:r w:rsidRPr="00026227">
        <w:rPr>
          <w:rFonts w:ascii="Times New Roman" w:hAnsi="Times New Roman" w:cs="Times New Roman"/>
          <w:sz w:val="24"/>
          <w:vertAlign w:val="superscript"/>
        </w:rPr>
        <w:t>+</w:t>
      </w:r>
      <w:r>
        <w:rPr>
          <w:rFonts w:ascii="Times New Roman" w:hAnsi="Times New Roman" w:cs="Times New Roman"/>
          <w:sz w:val="24"/>
        </w:rPr>
        <w:t>CD25</w:t>
      </w:r>
      <w:r w:rsidRPr="00026227">
        <w:rPr>
          <w:rFonts w:ascii="Times New Roman" w:hAnsi="Times New Roman" w:cs="Times New Roman"/>
          <w:sz w:val="24"/>
          <w:vertAlign w:val="superscript"/>
        </w:rPr>
        <w:t>+</w:t>
      </w:r>
      <w:r>
        <w:rPr>
          <w:rFonts w:ascii="Times New Roman" w:hAnsi="Times New Roman" w:cs="Times New Roman"/>
          <w:sz w:val="24"/>
        </w:rPr>
        <w:t>Foxp3</w:t>
      </w:r>
      <w:r w:rsidRPr="00026227">
        <w:rPr>
          <w:rFonts w:ascii="Times New Roman" w:hAnsi="Times New Roman" w:cs="Times New Roman"/>
          <w:sz w:val="24"/>
          <w:vertAlign w:val="superscript"/>
        </w:rPr>
        <w:t>+</w:t>
      </w:r>
    </w:p>
    <w:p w14:paraId="6BA563F8" w14:textId="77777777" w:rsidR="00B133C1" w:rsidRDefault="00B133C1" w:rsidP="00B133C1">
      <w:pPr>
        <w:autoSpaceDE w:val="0"/>
        <w:autoSpaceDN w:val="0"/>
        <w:adjustRightInd w:val="0"/>
        <w:spacing w:after="0" w:line="480" w:lineRule="auto"/>
        <w:rPr>
          <w:rFonts w:ascii="Times New Roman" w:hAnsi="Times New Roman" w:cs="Times New Roman"/>
          <w:i/>
          <w:sz w:val="24"/>
        </w:rPr>
      </w:pPr>
    </w:p>
    <w:p w14:paraId="42F90041" w14:textId="128ECFE6" w:rsidR="00B133C1" w:rsidRPr="008F2A29" w:rsidRDefault="00B133C1" w:rsidP="00B133C1">
      <w:pPr>
        <w:autoSpaceDE w:val="0"/>
        <w:autoSpaceDN w:val="0"/>
        <w:adjustRightInd w:val="0"/>
        <w:spacing w:after="0" w:line="480" w:lineRule="auto"/>
        <w:rPr>
          <w:rFonts w:ascii="Times New Roman" w:hAnsi="Times New Roman" w:cs="Times New Roman"/>
          <w:sz w:val="24"/>
        </w:rPr>
      </w:pPr>
      <w:r w:rsidRPr="008F2A29">
        <w:rPr>
          <w:rFonts w:ascii="Times New Roman" w:hAnsi="Times New Roman" w:cs="Times New Roman"/>
          <w:sz w:val="24"/>
        </w:rPr>
        <w:t>Supplementary table 3:</w:t>
      </w:r>
    </w:p>
    <w:p w14:paraId="658B8B76" w14:textId="77777777" w:rsidR="00B133C1" w:rsidRPr="000C3C90" w:rsidRDefault="00B133C1" w:rsidP="00B133C1">
      <w:pPr>
        <w:autoSpaceDE w:val="0"/>
        <w:autoSpaceDN w:val="0"/>
        <w:adjustRightInd w:val="0"/>
        <w:spacing w:after="0" w:line="480" w:lineRule="auto"/>
        <w:rPr>
          <w:rFonts w:ascii="Times New Roman" w:hAnsi="Times New Roman" w:cs="Times New Roman"/>
          <w:sz w:val="24"/>
        </w:rPr>
      </w:pPr>
      <w:r w:rsidRPr="009E3BC5">
        <w:rPr>
          <w:rFonts w:ascii="Times New Roman" w:hAnsi="Times New Roman" w:cs="Times New Roman"/>
          <w:i/>
          <w:sz w:val="24"/>
        </w:rPr>
        <w:t>T helper cell panel (TH1, TH2, TH17):</w:t>
      </w:r>
    </w:p>
    <w:tbl>
      <w:tblPr>
        <w:tblStyle w:val="TableGrid"/>
        <w:tblW w:w="7798" w:type="dxa"/>
        <w:tblInd w:w="536" w:type="dxa"/>
        <w:tblLayout w:type="fixed"/>
        <w:tblLook w:val="04A0" w:firstRow="1" w:lastRow="0" w:firstColumn="1" w:lastColumn="0" w:noHBand="0" w:noVBand="1"/>
      </w:tblPr>
      <w:tblGrid>
        <w:gridCol w:w="1702"/>
        <w:gridCol w:w="1701"/>
        <w:gridCol w:w="1134"/>
        <w:gridCol w:w="1272"/>
        <w:gridCol w:w="1989"/>
      </w:tblGrid>
      <w:tr w:rsidR="00B133C1" w14:paraId="33CEF9DD" w14:textId="77777777" w:rsidTr="005A2DFB">
        <w:tc>
          <w:tcPr>
            <w:tcW w:w="1702" w:type="dxa"/>
            <w:shd w:val="clear" w:color="auto" w:fill="95B3D7" w:themeFill="accent1" w:themeFillTint="99"/>
          </w:tcPr>
          <w:p w14:paraId="35722381" w14:textId="77777777" w:rsidR="00B133C1" w:rsidRPr="0098110A" w:rsidRDefault="00B133C1" w:rsidP="005A2DFB">
            <w:pPr>
              <w:rPr>
                <w:b/>
                <w:bCs/>
              </w:rPr>
            </w:pPr>
            <w:r w:rsidRPr="0098110A">
              <w:rPr>
                <w:b/>
                <w:bCs/>
              </w:rPr>
              <w:t>Marker</w:t>
            </w:r>
          </w:p>
        </w:tc>
        <w:tc>
          <w:tcPr>
            <w:tcW w:w="1701" w:type="dxa"/>
            <w:shd w:val="clear" w:color="auto" w:fill="95B3D7" w:themeFill="accent1" w:themeFillTint="99"/>
          </w:tcPr>
          <w:p w14:paraId="76C8EC71" w14:textId="77777777" w:rsidR="00B133C1" w:rsidRPr="0098110A" w:rsidRDefault="00B133C1" w:rsidP="005A2DFB">
            <w:pPr>
              <w:rPr>
                <w:b/>
                <w:bCs/>
              </w:rPr>
            </w:pPr>
            <w:r w:rsidRPr="0098110A">
              <w:rPr>
                <w:b/>
                <w:bCs/>
              </w:rPr>
              <w:t>Fluorochrome</w:t>
            </w:r>
          </w:p>
        </w:tc>
        <w:tc>
          <w:tcPr>
            <w:tcW w:w="1134" w:type="dxa"/>
            <w:shd w:val="clear" w:color="auto" w:fill="95B3D7" w:themeFill="accent1" w:themeFillTint="99"/>
          </w:tcPr>
          <w:p w14:paraId="1523B06D" w14:textId="77777777" w:rsidR="00B133C1" w:rsidRPr="0098110A" w:rsidRDefault="00B133C1" w:rsidP="005A2DFB">
            <w:pPr>
              <w:rPr>
                <w:b/>
                <w:bCs/>
              </w:rPr>
            </w:pPr>
            <w:r w:rsidRPr="0098110A">
              <w:rPr>
                <w:b/>
                <w:bCs/>
              </w:rPr>
              <w:t>Dilution</w:t>
            </w:r>
          </w:p>
        </w:tc>
        <w:tc>
          <w:tcPr>
            <w:tcW w:w="1272" w:type="dxa"/>
            <w:shd w:val="clear" w:color="auto" w:fill="95B3D7" w:themeFill="accent1" w:themeFillTint="99"/>
          </w:tcPr>
          <w:p w14:paraId="1534055D" w14:textId="77777777" w:rsidR="00B133C1" w:rsidRPr="0098110A" w:rsidRDefault="00B133C1" w:rsidP="005A2DFB">
            <w:pPr>
              <w:rPr>
                <w:b/>
                <w:bCs/>
              </w:rPr>
            </w:pPr>
            <w:r w:rsidRPr="0098110A">
              <w:rPr>
                <w:b/>
                <w:bCs/>
              </w:rPr>
              <w:t>Clone</w:t>
            </w:r>
            <w:r>
              <w:rPr>
                <w:b/>
                <w:bCs/>
              </w:rPr>
              <w:t xml:space="preserve"> #</w:t>
            </w:r>
          </w:p>
        </w:tc>
        <w:tc>
          <w:tcPr>
            <w:tcW w:w="1989" w:type="dxa"/>
            <w:shd w:val="clear" w:color="auto" w:fill="95B3D7" w:themeFill="accent1" w:themeFillTint="99"/>
          </w:tcPr>
          <w:p w14:paraId="07BE8A5E" w14:textId="77777777" w:rsidR="00B133C1" w:rsidRPr="0098110A" w:rsidRDefault="00B133C1" w:rsidP="005A2DFB">
            <w:pPr>
              <w:rPr>
                <w:b/>
                <w:bCs/>
              </w:rPr>
            </w:pPr>
            <w:r>
              <w:rPr>
                <w:b/>
                <w:bCs/>
              </w:rPr>
              <w:t>Supplier</w:t>
            </w:r>
          </w:p>
        </w:tc>
      </w:tr>
      <w:tr w:rsidR="00B133C1" w14:paraId="1E00A838" w14:textId="77777777" w:rsidTr="005A2DFB">
        <w:tc>
          <w:tcPr>
            <w:tcW w:w="1702" w:type="dxa"/>
          </w:tcPr>
          <w:p w14:paraId="2654523A" w14:textId="77777777" w:rsidR="00B133C1" w:rsidRPr="004E5448" w:rsidRDefault="00B133C1" w:rsidP="005A2DFB">
            <w:r>
              <w:t>CD45</w:t>
            </w:r>
          </w:p>
        </w:tc>
        <w:tc>
          <w:tcPr>
            <w:tcW w:w="1701" w:type="dxa"/>
          </w:tcPr>
          <w:p w14:paraId="0BE344BA" w14:textId="77777777" w:rsidR="00B133C1" w:rsidRPr="004E5448" w:rsidRDefault="00B133C1" w:rsidP="005A2DFB">
            <w:r>
              <w:t>V500</w:t>
            </w:r>
          </w:p>
        </w:tc>
        <w:tc>
          <w:tcPr>
            <w:tcW w:w="1134" w:type="dxa"/>
          </w:tcPr>
          <w:p w14:paraId="28D05C41" w14:textId="77777777" w:rsidR="00B133C1" w:rsidRPr="004E5448" w:rsidRDefault="00B133C1" w:rsidP="005A2DFB">
            <w:r>
              <w:t>1:200</w:t>
            </w:r>
          </w:p>
        </w:tc>
        <w:tc>
          <w:tcPr>
            <w:tcW w:w="1272" w:type="dxa"/>
          </w:tcPr>
          <w:p w14:paraId="5C6FE46E" w14:textId="77777777" w:rsidR="00B133C1" w:rsidRPr="004E5448" w:rsidRDefault="00B133C1" w:rsidP="005A2DFB">
            <w:r>
              <w:t>30-F11</w:t>
            </w:r>
          </w:p>
        </w:tc>
        <w:tc>
          <w:tcPr>
            <w:tcW w:w="1989" w:type="dxa"/>
          </w:tcPr>
          <w:p w14:paraId="4B9B405A" w14:textId="77777777" w:rsidR="00B133C1" w:rsidRPr="004E5448" w:rsidRDefault="00B133C1" w:rsidP="005A2DFB">
            <w:r>
              <w:t>BD Biosciences, UK</w:t>
            </w:r>
          </w:p>
        </w:tc>
      </w:tr>
      <w:tr w:rsidR="00B133C1" w14:paraId="6C820FF2" w14:textId="77777777" w:rsidTr="005A2DFB">
        <w:tc>
          <w:tcPr>
            <w:tcW w:w="1702" w:type="dxa"/>
          </w:tcPr>
          <w:p w14:paraId="1A4238EC" w14:textId="77777777" w:rsidR="00B133C1" w:rsidRPr="004E5448" w:rsidRDefault="00B133C1" w:rsidP="005A2DFB">
            <w:r>
              <w:t>CD4</w:t>
            </w:r>
          </w:p>
        </w:tc>
        <w:tc>
          <w:tcPr>
            <w:tcW w:w="1701" w:type="dxa"/>
          </w:tcPr>
          <w:p w14:paraId="798E81A2" w14:textId="77777777" w:rsidR="00B133C1" w:rsidRPr="004E5448" w:rsidRDefault="00B133C1" w:rsidP="005A2DFB">
            <w:r>
              <w:t>APC ALEXA-750</w:t>
            </w:r>
          </w:p>
        </w:tc>
        <w:tc>
          <w:tcPr>
            <w:tcW w:w="1134" w:type="dxa"/>
          </w:tcPr>
          <w:p w14:paraId="6B102420" w14:textId="77777777" w:rsidR="00B133C1" w:rsidRPr="004E5448" w:rsidRDefault="00B133C1" w:rsidP="005A2DFB">
            <w:r>
              <w:t>1:200</w:t>
            </w:r>
          </w:p>
        </w:tc>
        <w:tc>
          <w:tcPr>
            <w:tcW w:w="1272" w:type="dxa"/>
          </w:tcPr>
          <w:p w14:paraId="6546DEA0" w14:textId="77777777" w:rsidR="00B133C1" w:rsidRPr="004E5448" w:rsidRDefault="00B133C1" w:rsidP="005A2DFB">
            <w:r>
              <w:t>RM4-5</w:t>
            </w:r>
          </w:p>
        </w:tc>
        <w:tc>
          <w:tcPr>
            <w:tcW w:w="1989" w:type="dxa"/>
          </w:tcPr>
          <w:p w14:paraId="6AD79BD4" w14:textId="77777777" w:rsidR="00B133C1" w:rsidRPr="004E5448" w:rsidRDefault="00B133C1" w:rsidP="005A2DFB">
            <w:r>
              <w:t>Invitrogen, UK</w:t>
            </w:r>
          </w:p>
        </w:tc>
      </w:tr>
      <w:tr w:rsidR="00B133C1" w14:paraId="45DDF5F6" w14:textId="77777777" w:rsidTr="005A2DFB">
        <w:tc>
          <w:tcPr>
            <w:tcW w:w="1702" w:type="dxa"/>
          </w:tcPr>
          <w:p w14:paraId="54AAA189" w14:textId="77777777" w:rsidR="00B133C1" w:rsidRPr="004E5448" w:rsidRDefault="00B133C1" w:rsidP="005A2DFB">
            <w:r>
              <w:t>TCR</w:t>
            </w:r>
            <w:r>
              <w:rPr>
                <w:rFonts w:cstheme="minorHAnsi"/>
              </w:rPr>
              <w:t>β</w:t>
            </w:r>
          </w:p>
        </w:tc>
        <w:tc>
          <w:tcPr>
            <w:tcW w:w="1701" w:type="dxa"/>
          </w:tcPr>
          <w:p w14:paraId="3103F0E4" w14:textId="77777777" w:rsidR="00B133C1" w:rsidRPr="004E5448" w:rsidRDefault="00B133C1" w:rsidP="005A2DFB">
            <w:r>
              <w:t>BV421</w:t>
            </w:r>
          </w:p>
        </w:tc>
        <w:tc>
          <w:tcPr>
            <w:tcW w:w="1134" w:type="dxa"/>
          </w:tcPr>
          <w:p w14:paraId="7F3D38C9" w14:textId="77777777" w:rsidR="00B133C1" w:rsidRPr="004E5448" w:rsidRDefault="00B133C1" w:rsidP="005A2DFB">
            <w:r>
              <w:t>1:200</w:t>
            </w:r>
          </w:p>
        </w:tc>
        <w:tc>
          <w:tcPr>
            <w:tcW w:w="1272" w:type="dxa"/>
          </w:tcPr>
          <w:p w14:paraId="6AB86EAE" w14:textId="77777777" w:rsidR="00B133C1" w:rsidRPr="004E5448" w:rsidRDefault="00B133C1" w:rsidP="005A2DFB">
            <w:r>
              <w:t>H57-597</w:t>
            </w:r>
          </w:p>
        </w:tc>
        <w:tc>
          <w:tcPr>
            <w:tcW w:w="1989" w:type="dxa"/>
          </w:tcPr>
          <w:p w14:paraId="407AE632" w14:textId="77777777" w:rsidR="00B133C1" w:rsidRDefault="00B133C1" w:rsidP="005A2DFB">
            <w:r w:rsidRPr="00436F65">
              <w:t>BD Biosciences</w:t>
            </w:r>
            <w:r>
              <w:t>, UK</w:t>
            </w:r>
          </w:p>
        </w:tc>
      </w:tr>
      <w:tr w:rsidR="00B133C1" w14:paraId="02C68F65" w14:textId="77777777" w:rsidTr="005A2DFB">
        <w:tc>
          <w:tcPr>
            <w:tcW w:w="1702" w:type="dxa"/>
          </w:tcPr>
          <w:p w14:paraId="6F31CA7C" w14:textId="77777777" w:rsidR="00B133C1" w:rsidRPr="007D21EA" w:rsidRDefault="00B133C1" w:rsidP="005A2DFB">
            <w:r w:rsidRPr="007D21EA">
              <w:t>CD4</w:t>
            </w:r>
            <w:r>
              <w:t>4</w:t>
            </w:r>
          </w:p>
        </w:tc>
        <w:tc>
          <w:tcPr>
            <w:tcW w:w="1701" w:type="dxa"/>
          </w:tcPr>
          <w:p w14:paraId="6431FB5E" w14:textId="77777777" w:rsidR="00B133C1" w:rsidRPr="007D21EA" w:rsidRDefault="00B133C1" w:rsidP="005A2DFB">
            <w:r w:rsidRPr="007D21EA">
              <w:t>PE-Cy7</w:t>
            </w:r>
          </w:p>
        </w:tc>
        <w:tc>
          <w:tcPr>
            <w:tcW w:w="1134" w:type="dxa"/>
          </w:tcPr>
          <w:p w14:paraId="6C853CF5" w14:textId="77777777" w:rsidR="00B133C1" w:rsidRPr="007D21EA" w:rsidRDefault="00B133C1" w:rsidP="005A2DFB">
            <w:r w:rsidRPr="007D21EA">
              <w:t>1:200</w:t>
            </w:r>
          </w:p>
        </w:tc>
        <w:tc>
          <w:tcPr>
            <w:tcW w:w="1272" w:type="dxa"/>
          </w:tcPr>
          <w:p w14:paraId="4E806DDA" w14:textId="77777777" w:rsidR="00B133C1" w:rsidRPr="004E5448" w:rsidRDefault="00B133C1" w:rsidP="005A2DFB">
            <w:r>
              <w:t>IM7</w:t>
            </w:r>
          </w:p>
        </w:tc>
        <w:tc>
          <w:tcPr>
            <w:tcW w:w="1989" w:type="dxa"/>
          </w:tcPr>
          <w:p w14:paraId="30031EEF" w14:textId="77777777" w:rsidR="00B133C1" w:rsidRDefault="00B133C1" w:rsidP="005A2DFB">
            <w:r w:rsidRPr="00436F65">
              <w:t>BD Biosciences</w:t>
            </w:r>
            <w:r>
              <w:t>, UK</w:t>
            </w:r>
          </w:p>
        </w:tc>
      </w:tr>
      <w:tr w:rsidR="00B133C1" w14:paraId="2F36BFF0" w14:textId="77777777" w:rsidTr="005A2DFB">
        <w:tc>
          <w:tcPr>
            <w:tcW w:w="1702" w:type="dxa"/>
          </w:tcPr>
          <w:p w14:paraId="1677BDA2" w14:textId="77777777" w:rsidR="00B133C1" w:rsidRDefault="00B133C1" w:rsidP="005A2DFB">
            <w:r>
              <w:t>CD196 (CCR6)</w:t>
            </w:r>
          </w:p>
        </w:tc>
        <w:tc>
          <w:tcPr>
            <w:tcW w:w="1701" w:type="dxa"/>
          </w:tcPr>
          <w:p w14:paraId="0AB29C37" w14:textId="77777777" w:rsidR="00B133C1" w:rsidRPr="004E5448" w:rsidRDefault="00B133C1" w:rsidP="005A2DFB">
            <w:r>
              <w:t>ALEXA-647</w:t>
            </w:r>
          </w:p>
        </w:tc>
        <w:tc>
          <w:tcPr>
            <w:tcW w:w="1134" w:type="dxa"/>
          </w:tcPr>
          <w:p w14:paraId="011FA27B" w14:textId="77777777" w:rsidR="00B133C1" w:rsidRPr="004E5448" w:rsidRDefault="00B133C1" w:rsidP="005A2DFB">
            <w:r>
              <w:t>1:200</w:t>
            </w:r>
          </w:p>
        </w:tc>
        <w:tc>
          <w:tcPr>
            <w:tcW w:w="1272" w:type="dxa"/>
          </w:tcPr>
          <w:p w14:paraId="35A8FA83" w14:textId="77777777" w:rsidR="00B133C1" w:rsidRPr="004E5448" w:rsidRDefault="00B133C1" w:rsidP="005A2DFB">
            <w:r>
              <w:t>140706</w:t>
            </w:r>
          </w:p>
        </w:tc>
        <w:tc>
          <w:tcPr>
            <w:tcW w:w="1989" w:type="dxa"/>
          </w:tcPr>
          <w:p w14:paraId="2E9F456A" w14:textId="77777777" w:rsidR="00B133C1" w:rsidRDefault="00B133C1" w:rsidP="005A2DFB">
            <w:r w:rsidRPr="00436F65">
              <w:t>BD Biosciences</w:t>
            </w:r>
            <w:r>
              <w:t>, UK</w:t>
            </w:r>
          </w:p>
        </w:tc>
      </w:tr>
      <w:tr w:rsidR="00B133C1" w14:paraId="5AC00A4A" w14:textId="77777777" w:rsidTr="005A2DFB">
        <w:tc>
          <w:tcPr>
            <w:tcW w:w="1702" w:type="dxa"/>
          </w:tcPr>
          <w:p w14:paraId="626E1827" w14:textId="77777777" w:rsidR="00B133C1" w:rsidRPr="004E5448" w:rsidRDefault="00B133C1" w:rsidP="005A2DFB">
            <w:r>
              <w:t>CD183 (CXCR3)</w:t>
            </w:r>
          </w:p>
        </w:tc>
        <w:tc>
          <w:tcPr>
            <w:tcW w:w="1701" w:type="dxa"/>
          </w:tcPr>
          <w:p w14:paraId="34A17253" w14:textId="77777777" w:rsidR="00B133C1" w:rsidRPr="004E5448" w:rsidRDefault="00B133C1" w:rsidP="005A2DFB">
            <w:r>
              <w:t>PE</w:t>
            </w:r>
          </w:p>
        </w:tc>
        <w:tc>
          <w:tcPr>
            <w:tcW w:w="1134" w:type="dxa"/>
          </w:tcPr>
          <w:p w14:paraId="30ABB20B" w14:textId="77777777" w:rsidR="00B133C1" w:rsidRPr="004E5448" w:rsidRDefault="00B133C1" w:rsidP="005A2DFB">
            <w:r>
              <w:t>1:200</w:t>
            </w:r>
          </w:p>
        </w:tc>
        <w:tc>
          <w:tcPr>
            <w:tcW w:w="1272" w:type="dxa"/>
          </w:tcPr>
          <w:p w14:paraId="45DA2C4F" w14:textId="77777777" w:rsidR="00B133C1" w:rsidRPr="004E5448" w:rsidRDefault="00B133C1" w:rsidP="005A2DFB">
            <w:r>
              <w:t>CXCR3-173</w:t>
            </w:r>
          </w:p>
        </w:tc>
        <w:tc>
          <w:tcPr>
            <w:tcW w:w="1989" w:type="dxa"/>
          </w:tcPr>
          <w:p w14:paraId="5DE2A425" w14:textId="77777777" w:rsidR="00B133C1" w:rsidRDefault="00B133C1" w:rsidP="005A2DFB">
            <w:r w:rsidRPr="00436F65">
              <w:t>BD Biosciences</w:t>
            </w:r>
            <w:r>
              <w:t>, UK</w:t>
            </w:r>
          </w:p>
        </w:tc>
      </w:tr>
      <w:tr w:rsidR="00B133C1" w14:paraId="7731AD3A" w14:textId="77777777" w:rsidTr="005A2DFB">
        <w:tc>
          <w:tcPr>
            <w:tcW w:w="1702" w:type="dxa"/>
          </w:tcPr>
          <w:p w14:paraId="14579379" w14:textId="77777777" w:rsidR="00B133C1" w:rsidRPr="00244827" w:rsidRDefault="00B133C1" w:rsidP="005A2DFB">
            <w:r w:rsidRPr="00244827">
              <w:t>CD62L</w:t>
            </w:r>
          </w:p>
        </w:tc>
        <w:tc>
          <w:tcPr>
            <w:tcW w:w="1701" w:type="dxa"/>
          </w:tcPr>
          <w:p w14:paraId="7EC15395" w14:textId="77777777" w:rsidR="00B133C1" w:rsidRPr="00244827" w:rsidRDefault="00B133C1" w:rsidP="005A2DFB">
            <w:r w:rsidRPr="00244827">
              <w:t>FITC</w:t>
            </w:r>
          </w:p>
        </w:tc>
        <w:tc>
          <w:tcPr>
            <w:tcW w:w="1134" w:type="dxa"/>
          </w:tcPr>
          <w:p w14:paraId="59B07808" w14:textId="77777777" w:rsidR="00B133C1" w:rsidRPr="00244827" w:rsidRDefault="00B133C1" w:rsidP="005A2DFB">
            <w:r w:rsidRPr="00244827">
              <w:t>1:200</w:t>
            </w:r>
          </w:p>
        </w:tc>
        <w:tc>
          <w:tcPr>
            <w:tcW w:w="1272" w:type="dxa"/>
          </w:tcPr>
          <w:p w14:paraId="61F9C350" w14:textId="77777777" w:rsidR="00B133C1" w:rsidRPr="004E5448" w:rsidRDefault="00B133C1" w:rsidP="005A2DFB">
            <w:r>
              <w:t>MEL-14</w:t>
            </w:r>
          </w:p>
        </w:tc>
        <w:tc>
          <w:tcPr>
            <w:tcW w:w="1989" w:type="dxa"/>
          </w:tcPr>
          <w:p w14:paraId="45C6D04B" w14:textId="77777777" w:rsidR="00B133C1" w:rsidRDefault="00B133C1" w:rsidP="005A2DFB">
            <w:r w:rsidRPr="00436F65">
              <w:t>BD Biosciences</w:t>
            </w:r>
            <w:r>
              <w:t>, UK</w:t>
            </w:r>
          </w:p>
        </w:tc>
      </w:tr>
    </w:tbl>
    <w:p w14:paraId="47CF7E0F"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7E23E62E"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Lymphocyte sub-populations were identified as CD45</w:t>
      </w:r>
      <w:r w:rsidRPr="002B1C56">
        <w:rPr>
          <w:rFonts w:ascii="Times New Roman" w:hAnsi="Times New Roman" w:cs="Times New Roman"/>
          <w:sz w:val="24"/>
          <w:vertAlign w:val="superscript"/>
        </w:rPr>
        <w:t>+</w:t>
      </w:r>
      <w:r>
        <w:rPr>
          <w:rFonts w:ascii="Times New Roman" w:hAnsi="Times New Roman" w:cs="Times New Roman"/>
          <w:sz w:val="24"/>
        </w:rPr>
        <w:t xml:space="preserve"> in the singlet gate. Cell subsets were then quantified based on expression of cell surface markers as follows:</w:t>
      </w:r>
    </w:p>
    <w:p w14:paraId="42425FA8" w14:textId="77777777" w:rsidR="00B133C1" w:rsidRPr="00B236B5"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TH1 cells: TCR</w:t>
      </w:r>
      <w:r>
        <w:rPr>
          <w:rFonts w:ascii="Times New Roman" w:hAnsi="Times New Roman" w:cs="Times New Roman"/>
          <w:sz w:val="24"/>
        </w:rPr>
        <w:sym w:font="Symbol" w:char="F062"/>
      </w:r>
      <w:r w:rsidRPr="00B236B5">
        <w:rPr>
          <w:rFonts w:ascii="Times New Roman" w:hAnsi="Times New Roman" w:cs="Times New Roman"/>
          <w:sz w:val="24"/>
          <w:vertAlign w:val="superscript"/>
        </w:rPr>
        <w:t>+</w:t>
      </w:r>
      <w:r>
        <w:rPr>
          <w:rFonts w:ascii="Times New Roman" w:hAnsi="Times New Roman" w:cs="Times New Roman"/>
          <w:sz w:val="24"/>
        </w:rPr>
        <w:t>CD4</w:t>
      </w:r>
      <w:r w:rsidRPr="00B236B5">
        <w:rPr>
          <w:rFonts w:ascii="Times New Roman" w:hAnsi="Times New Roman" w:cs="Times New Roman"/>
          <w:sz w:val="24"/>
          <w:vertAlign w:val="superscript"/>
        </w:rPr>
        <w:t>+</w:t>
      </w:r>
      <w:r>
        <w:rPr>
          <w:rFonts w:ascii="Times New Roman" w:hAnsi="Times New Roman" w:cs="Times New Roman"/>
          <w:sz w:val="24"/>
        </w:rPr>
        <w:t>CD44</w:t>
      </w:r>
      <w:r w:rsidRPr="00B236B5">
        <w:rPr>
          <w:rFonts w:ascii="Times New Roman" w:hAnsi="Times New Roman" w:cs="Times New Roman"/>
          <w:sz w:val="24"/>
          <w:vertAlign w:val="superscript"/>
        </w:rPr>
        <w:t>+</w:t>
      </w:r>
      <w:r>
        <w:rPr>
          <w:rFonts w:ascii="Times New Roman" w:hAnsi="Times New Roman" w:cs="Times New Roman"/>
          <w:sz w:val="24"/>
        </w:rPr>
        <w:t>CD62L</w:t>
      </w:r>
      <w:r w:rsidRPr="00B236B5">
        <w:rPr>
          <w:rFonts w:ascii="Times New Roman" w:hAnsi="Times New Roman" w:cs="Times New Roman"/>
          <w:sz w:val="24"/>
          <w:vertAlign w:val="superscript"/>
        </w:rPr>
        <w:t>-</w:t>
      </w:r>
      <w:r>
        <w:rPr>
          <w:rFonts w:ascii="Times New Roman" w:hAnsi="Times New Roman" w:cs="Times New Roman"/>
          <w:sz w:val="24"/>
        </w:rPr>
        <w:t>CD183</w:t>
      </w:r>
      <w:r w:rsidRPr="00B236B5">
        <w:rPr>
          <w:rFonts w:ascii="Times New Roman" w:hAnsi="Times New Roman" w:cs="Times New Roman"/>
          <w:sz w:val="24"/>
          <w:vertAlign w:val="superscript"/>
        </w:rPr>
        <w:t>+</w:t>
      </w:r>
    </w:p>
    <w:p w14:paraId="075C8E12" w14:textId="77777777"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TH2 cells: TCR</w:t>
      </w:r>
      <w:r>
        <w:rPr>
          <w:rFonts w:ascii="Times New Roman" w:hAnsi="Times New Roman" w:cs="Times New Roman"/>
          <w:sz w:val="24"/>
        </w:rPr>
        <w:sym w:font="Symbol" w:char="F062"/>
      </w:r>
      <w:r w:rsidRPr="00B236B5">
        <w:rPr>
          <w:rFonts w:ascii="Times New Roman" w:hAnsi="Times New Roman" w:cs="Times New Roman"/>
          <w:sz w:val="24"/>
          <w:vertAlign w:val="superscript"/>
        </w:rPr>
        <w:t>+</w:t>
      </w:r>
      <w:r>
        <w:rPr>
          <w:rFonts w:ascii="Times New Roman" w:hAnsi="Times New Roman" w:cs="Times New Roman"/>
          <w:sz w:val="24"/>
        </w:rPr>
        <w:t>CD4</w:t>
      </w:r>
      <w:r w:rsidRPr="00B236B5">
        <w:rPr>
          <w:rFonts w:ascii="Times New Roman" w:hAnsi="Times New Roman" w:cs="Times New Roman"/>
          <w:sz w:val="24"/>
          <w:vertAlign w:val="superscript"/>
        </w:rPr>
        <w:t>+</w:t>
      </w:r>
      <w:r>
        <w:rPr>
          <w:rFonts w:ascii="Times New Roman" w:hAnsi="Times New Roman" w:cs="Times New Roman"/>
          <w:sz w:val="24"/>
        </w:rPr>
        <w:t>CD44</w:t>
      </w:r>
      <w:r w:rsidRPr="00B236B5">
        <w:rPr>
          <w:rFonts w:ascii="Times New Roman" w:hAnsi="Times New Roman" w:cs="Times New Roman"/>
          <w:sz w:val="24"/>
          <w:vertAlign w:val="superscript"/>
        </w:rPr>
        <w:t>+</w:t>
      </w:r>
      <w:r>
        <w:rPr>
          <w:rFonts w:ascii="Times New Roman" w:hAnsi="Times New Roman" w:cs="Times New Roman"/>
          <w:sz w:val="24"/>
        </w:rPr>
        <w:t>CD62L</w:t>
      </w:r>
      <w:r w:rsidRPr="00B236B5">
        <w:rPr>
          <w:rFonts w:ascii="Times New Roman" w:hAnsi="Times New Roman" w:cs="Times New Roman"/>
          <w:sz w:val="24"/>
          <w:vertAlign w:val="superscript"/>
        </w:rPr>
        <w:t>-</w:t>
      </w:r>
      <w:r>
        <w:rPr>
          <w:rFonts w:ascii="Times New Roman" w:hAnsi="Times New Roman" w:cs="Times New Roman"/>
          <w:sz w:val="24"/>
        </w:rPr>
        <w:t>CD183</w:t>
      </w:r>
      <w:r w:rsidRPr="00B236B5">
        <w:rPr>
          <w:rFonts w:ascii="Times New Roman" w:hAnsi="Times New Roman" w:cs="Times New Roman"/>
          <w:sz w:val="24"/>
          <w:vertAlign w:val="superscript"/>
        </w:rPr>
        <w:t>-</w:t>
      </w:r>
      <w:r>
        <w:rPr>
          <w:rFonts w:ascii="Times New Roman" w:hAnsi="Times New Roman" w:cs="Times New Roman"/>
          <w:sz w:val="24"/>
        </w:rPr>
        <w:t>CD196</w:t>
      </w:r>
      <w:r w:rsidRPr="00B236B5">
        <w:rPr>
          <w:rFonts w:ascii="Times New Roman" w:hAnsi="Times New Roman" w:cs="Times New Roman"/>
          <w:sz w:val="24"/>
          <w:vertAlign w:val="superscript"/>
        </w:rPr>
        <w:t>-</w:t>
      </w:r>
    </w:p>
    <w:p w14:paraId="04C2FA72" w14:textId="77777777" w:rsidR="00B133C1" w:rsidRPr="00B236B5"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TH17 cells: TCR</w:t>
      </w:r>
      <w:r>
        <w:rPr>
          <w:rFonts w:ascii="Times New Roman" w:hAnsi="Times New Roman" w:cs="Times New Roman"/>
          <w:sz w:val="24"/>
        </w:rPr>
        <w:sym w:font="Symbol" w:char="F062"/>
      </w:r>
      <w:r w:rsidRPr="00B236B5">
        <w:rPr>
          <w:rFonts w:ascii="Times New Roman" w:hAnsi="Times New Roman" w:cs="Times New Roman"/>
          <w:sz w:val="24"/>
          <w:vertAlign w:val="superscript"/>
        </w:rPr>
        <w:t>+</w:t>
      </w:r>
      <w:r>
        <w:rPr>
          <w:rFonts w:ascii="Times New Roman" w:hAnsi="Times New Roman" w:cs="Times New Roman"/>
          <w:sz w:val="24"/>
        </w:rPr>
        <w:t>CD4</w:t>
      </w:r>
      <w:r w:rsidRPr="00B236B5">
        <w:rPr>
          <w:rFonts w:ascii="Times New Roman" w:hAnsi="Times New Roman" w:cs="Times New Roman"/>
          <w:sz w:val="24"/>
          <w:vertAlign w:val="superscript"/>
        </w:rPr>
        <w:t>+</w:t>
      </w:r>
      <w:r>
        <w:rPr>
          <w:rFonts w:ascii="Times New Roman" w:hAnsi="Times New Roman" w:cs="Times New Roman"/>
          <w:sz w:val="24"/>
        </w:rPr>
        <w:t>CD44</w:t>
      </w:r>
      <w:r w:rsidRPr="00B236B5">
        <w:rPr>
          <w:rFonts w:ascii="Times New Roman" w:hAnsi="Times New Roman" w:cs="Times New Roman"/>
          <w:sz w:val="24"/>
          <w:vertAlign w:val="superscript"/>
        </w:rPr>
        <w:t>+</w:t>
      </w:r>
      <w:r>
        <w:rPr>
          <w:rFonts w:ascii="Times New Roman" w:hAnsi="Times New Roman" w:cs="Times New Roman"/>
          <w:sz w:val="24"/>
        </w:rPr>
        <w:t>CD62L</w:t>
      </w:r>
      <w:r>
        <w:rPr>
          <w:rFonts w:ascii="Times New Roman" w:hAnsi="Times New Roman" w:cs="Times New Roman"/>
          <w:sz w:val="24"/>
          <w:vertAlign w:val="superscript"/>
        </w:rPr>
        <w:t>-</w:t>
      </w:r>
      <w:r>
        <w:rPr>
          <w:rFonts w:ascii="Times New Roman" w:hAnsi="Times New Roman" w:cs="Times New Roman"/>
          <w:sz w:val="24"/>
        </w:rPr>
        <w:t>CD196</w:t>
      </w:r>
      <w:r>
        <w:rPr>
          <w:rFonts w:ascii="Times New Roman" w:hAnsi="Times New Roman" w:cs="Times New Roman"/>
          <w:sz w:val="24"/>
          <w:vertAlign w:val="superscript"/>
        </w:rPr>
        <w:t>+</w:t>
      </w:r>
    </w:p>
    <w:p w14:paraId="470E99D7"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0BE5FA38"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3C6857AF"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22484134"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3E99AF94"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579CBFCA"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6742F5C9"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2D5441D0"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4A1C3C32"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45C6ABB4"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6CDE0A4F" w14:textId="77777777" w:rsidR="0030145D" w:rsidRDefault="0030145D" w:rsidP="00B133C1">
      <w:pPr>
        <w:autoSpaceDE w:val="0"/>
        <w:autoSpaceDN w:val="0"/>
        <w:adjustRightInd w:val="0"/>
        <w:spacing w:after="0" w:line="480" w:lineRule="auto"/>
        <w:rPr>
          <w:rFonts w:ascii="Times New Roman" w:hAnsi="Times New Roman" w:cs="Times New Roman"/>
          <w:sz w:val="24"/>
        </w:rPr>
      </w:pPr>
    </w:p>
    <w:p w14:paraId="1630B050" w14:textId="71B5F752" w:rsidR="00B133C1"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Supplementary table 4:</w:t>
      </w:r>
    </w:p>
    <w:p w14:paraId="64E8B36B" w14:textId="77777777" w:rsidR="00B133C1" w:rsidRPr="008019C7" w:rsidRDefault="00B133C1" w:rsidP="00B133C1">
      <w:pPr>
        <w:autoSpaceDE w:val="0"/>
        <w:autoSpaceDN w:val="0"/>
        <w:adjustRightInd w:val="0"/>
        <w:spacing w:after="0" w:line="480" w:lineRule="auto"/>
        <w:rPr>
          <w:rFonts w:ascii="Times New Roman" w:hAnsi="Times New Roman" w:cs="Times New Roman"/>
          <w:i/>
          <w:sz w:val="24"/>
        </w:rPr>
      </w:pPr>
      <w:r w:rsidRPr="008019C7">
        <w:rPr>
          <w:rFonts w:ascii="Times New Roman" w:hAnsi="Times New Roman" w:cs="Times New Roman"/>
          <w:i/>
          <w:sz w:val="24"/>
        </w:rPr>
        <w:t>Innate lymphoid type 2 cells:</w:t>
      </w:r>
    </w:p>
    <w:tbl>
      <w:tblPr>
        <w:tblStyle w:val="TableGrid"/>
        <w:tblpPr w:leftFromText="180" w:rightFromText="180" w:vertAnchor="text" w:horzAnchor="margin" w:tblpXSpec="center" w:tblpY="240"/>
        <w:tblW w:w="7479" w:type="dxa"/>
        <w:tblLook w:val="04A0" w:firstRow="1" w:lastRow="0" w:firstColumn="1" w:lastColumn="0" w:noHBand="0" w:noVBand="1"/>
      </w:tblPr>
      <w:tblGrid>
        <w:gridCol w:w="1330"/>
        <w:gridCol w:w="1519"/>
        <w:gridCol w:w="948"/>
        <w:gridCol w:w="1131"/>
        <w:gridCol w:w="2551"/>
      </w:tblGrid>
      <w:tr w:rsidR="00B133C1" w:rsidRPr="00ED4A5A" w14:paraId="1119FCA6" w14:textId="77777777" w:rsidTr="005A2DFB">
        <w:trPr>
          <w:trHeight w:val="306"/>
        </w:trPr>
        <w:tc>
          <w:tcPr>
            <w:tcW w:w="1330" w:type="dxa"/>
            <w:shd w:val="clear" w:color="auto" w:fill="95B3D7" w:themeFill="accent1" w:themeFillTint="99"/>
            <w:noWrap/>
            <w:hideMark/>
          </w:tcPr>
          <w:p w14:paraId="4E37FF37" w14:textId="77777777" w:rsidR="00B133C1" w:rsidRPr="00ED4A5A" w:rsidRDefault="00B133C1" w:rsidP="005A2DFB">
            <w:pPr>
              <w:rPr>
                <w:b/>
                <w:bCs/>
              </w:rPr>
            </w:pPr>
            <w:r w:rsidRPr="00ED4A5A">
              <w:rPr>
                <w:b/>
                <w:bCs/>
              </w:rPr>
              <w:t>Marker</w:t>
            </w:r>
          </w:p>
        </w:tc>
        <w:tc>
          <w:tcPr>
            <w:tcW w:w="1519" w:type="dxa"/>
            <w:shd w:val="clear" w:color="auto" w:fill="95B3D7" w:themeFill="accent1" w:themeFillTint="99"/>
            <w:noWrap/>
            <w:hideMark/>
          </w:tcPr>
          <w:p w14:paraId="5546B7AC" w14:textId="77777777" w:rsidR="00B133C1" w:rsidRPr="00ED4A5A" w:rsidRDefault="00B133C1" w:rsidP="005A2DFB">
            <w:pPr>
              <w:rPr>
                <w:b/>
                <w:bCs/>
              </w:rPr>
            </w:pPr>
            <w:r w:rsidRPr="00ED4A5A">
              <w:rPr>
                <w:b/>
                <w:bCs/>
              </w:rPr>
              <w:t>Fluorochrome</w:t>
            </w:r>
          </w:p>
        </w:tc>
        <w:tc>
          <w:tcPr>
            <w:tcW w:w="948" w:type="dxa"/>
            <w:shd w:val="clear" w:color="auto" w:fill="95B3D7" w:themeFill="accent1" w:themeFillTint="99"/>
          </w:tcPr>
          <w:p w14:paraId="15012165" w14:textId="77777777" w:rsidR="00B133C1" w:rsidRPr="00ED4A5A" w:rsidRDefault="00B133C1" w:rsidP="005A2DFB">
            <w:pPr>
              <w:rPr>
                <w:b/>
                <w:bCs/>
              </w:rPr>
            </w:pPr>
            <w:r w:rsidRPr="00ED4A5A">
              <w:rPr>
                <w:b/>
                <w:bCs/>
              </w:rPr>
              <w:t>Dilution</w:t>
            </w:r>
          </w:p>
        </w:tc>
        <w:tc>
          <w:tcPr>
            <w:tcW w:w="1131" w:type="dxa"/>
            <w:shd w:val="clear" w:color="auto" w:fill="95B3D7" w:themeFill="accent1" w:themeFillTint="99"/>
            <w:noWrap/>
            <w:hideMark/>
          </w:tcPr>
          <w:p w14:paraId="676AE659" w14:textId="77777777" w:rsidR="00B133C1" w:rsidRPr="00ED4A5A" w:rsidRDefault="00B133C1" w:rsidP="005A2DFB">
            <w:pPr>
              <w:rPr>
                <w:b/>
                <w:bCs/>
              </w:rPr>
            </w:pPr>
            <w:r w:rsidRPr="00ED4A5A">
              <w:rPr>
                <w:b/>
                <w:bCs/>
              </w:rPr>
              <w:t>Clone</w:t>
            </w:r>
            <w:r>
              <w:rPr>
                <w:b/>
                <w:bCs/>
              </w:rPr>
              <w:t xml:space="preserve"> #</w:t>
            </w:r>
          </w:p>
        </w:tc>
        <w:tc>
          <w:tcPr>
            <w:tcW w:w="2551" w:type="dxa"/>
            <w:shd w:val="clear" w:color="auto" w:fill="95B3D7" w:themeFill="accent1" w:themeFillTint="99"/>
            <w:noWrap/>
            <w:hideMark/>
          </w:tcPr>
          <w:p w14:paraId="0B13C930" w14:textId="77777777" w:rsidR="00B133C1" w:rsidRPr="00ED4A5A" w:rsidRDefault="00B133C1" w:rsidP="005A2DFB">
            <w:pPr>
              <w:rPr>
                <w:b/>
                <w:bCs/>
              </w:rPr>
            </w:pPr>
            <w:r>
              <w:rPr>
                <w:b/>
                <w:bCs/>
              </w:rPr>
              <w:t>Supplier</w:t>
            </w:r>
          </w:p>
        </w:tc>
      </w:tr>
      <w:tr w:rsidR="00B133C1" w:rsidRPr="00ED4A5A" w14:paraId="163EA6B7" w14:textId="77777777" w:rsidTr="005A2DFB">
        <w:trPr>
          <w:trHeight w:val="306"/>
        </w:trPr>
        <w:tc>
          <w:tcPr>
            <w:tcW w:w="1330" w:type="dxa"/>
            <w:noWrap/>
            <w:vAlign w:val="center"/>
            <w:hideMark/>
          </w:tcPr>
          <w:p w14:paraId="2CFE275A" w14:textId="77777777" w:rsidR="00B133C1" w:rsidRPr="004F5617" w:rsidRDefault="00B133C1" w:rsidP="005A2DFB">
            <w:r w:rsidRPr="004F5617">
              <w:t>7AAD</w:t>
            </w:r>
          </w:p>
        </w:tc>
        <w:tc>
          <w:tcPr>
            <w:tcW w:w="1519" w:type="dxa"/>
            <w:noWrap/>
            <w:vAlign w:val="center"/>
            <w:hideMark/>
          </w:tcPr>
          <w:p w14:paraId="2D386045" w14:textId="77777777" w:rsidR="00B133C1" w:rsidRPr="004F5617" w:rsidRDefault="00B133C1" w:rsidP="005A2DFB">
            <w:r>
              <w:t>PerCP-Cy</w:t>
            </w:r>
            <w:r w:rsidRPr="004F5617">
              <w:t>5.5</w:t>
            </w:r>
          </w:p>
        </w:tc>
        <w:tc>
          <w:tcPr>
            <w:tcW w:w="948" w:type="dxa"/>
            <w:vAlign w:val="center"/>
          </w:tcPr>
          <w:p w14:paraId="66D1EFDC" w14:textId="77777777" w:rsidR="00B133C1" w:rsidRPr="004F5617" w:rsidRDefault="00B133C1" w:rsidP="005A2DFB">
            <w:r>
              <w:t xml:space="preserve">5ul </w:t>
            </w:r>
            <w:r w:rsidRPr="004F5617">
              <w:t>per sa</w:t>
            </w:r>
            <w:r>
              <w:t>mple</w:t>
            </w:r>
          </w:p>
        </w:tc>
        <w:tc>
          <w:tcPr>
            <w:tcW w:w="1131" w:type="dxa"/>
            <w:noWrap/>
            <w:vAlign w:val="center"/>
            <w:hideMark/>
          </w:tcPr>
          <w:p w14:paraId="1EEBBEFD" w14:textId="77777777" w:rsidR="00B133C1" w:rsidRPr="004F5617" w:rsidRDefault="00B133C1" w:rsidP="005A2DFB"/>
        </w:tc>
        <w:tc>
          <w:tcPr>
            <w:tcW w:w="2551" w:type="dxa"/>
            <w:noWrap/>
            <w:vAlign w:val="center"/>
            <w:hideMark/>
          </w:tcPr>
          <w:p w14:paraId="550AB13F" w14:textId="77777777" w:rsidR="00B133C1" w:rsidRPr="004F5617" w:rsidRDefault="00B133C1" w:rsidP="005A2DFB">
            <w:r w:rsidRPr="004F5617">
              <w:t xml:space="preserve">BD </w:t>
            </w:r>
            <w:r>
              <w:t>Biosciences, UK</w:t>
            </w:r>
          </w:p>
        </w:tc>
      </w:tr>
      <w:tr w:rsidR="00B133C1" w:rsidRPr="00ED4A5A" w14:paraId="58A1D265" w14:textId="77777777" w:rsidTr="005A2DFB">
        <w:trPr>
          <w:trHeight w:val="306"/>
        </w:trPr>
        <w:tc>
          <w:tcPr>
            <w:tcW w:w="1330" w:type="dxa"/>
            <w:noWrap/>
            <w:vAlign w:val="center"/>
            <w:hideMark/>
          </w:tcPr>
          <w:p w14:paraId="7C8E7260" w14:textId="77777777" w:rsidR="00B133C1" w:rsidRPr="004F5617" w:rsidRDefault="00B133C1" w:rsidP="005A2DFB">
            <w:r w:rsidRPr="004F5617">
              <w:t>CD5</w:t>
            </w:r>
          </w:p>
        </w:tc>
        <w:tc>
          <w:tcPr>
            <w:tcW w:w="1519" w:type="dxa"/>
            <w:noWrap/>
            <w:vAlign w:val="center"/>
            <w:hideMark/>
          </w:tcPr>
          <w:p w14:paraId="7FC6BA0B" w14:textId="77777777" w:rsidR="00B133C1" w:rsidRPr="004F5617" w:rsidRDefault="00B133C1" w:rsidP="005A2DFB">
            <w:r w:rsidRPr="004F5617">
              <w:t>PE-Cy7</w:t>
            </w:r>
          </w:p>
        </w:tc>
        <w:tc>
          <w:tcPr>
            <w:tcW w:w="948" w:type="dxa"/>
            <w:vAlign w:val="center"/>
          </w:tcPr>
          <w:p w14:paraId="05DC2ADD" w14:textId="77777777" w:rsidR="00B133C1" w:rsidRPr="004F5617" w:rsidRDefault="00B133C1" w:rsidP="005A2DFB">
            <w:r w:rsidRPr="004F5617">
              <w:t>1:400</w:t>
            </w:r>
          </w:p>
        </w:tc>
        <w:tc>
          <w:tcPr>
            <w:tcW w:w="1131" w:type="dxa"/>
            <w:noWrap/>
            <w:vAlign w:val="center"/>
            <w:hideMark/>
          </w:tcPr>
          <w:p w14:paraId="6A65254B" w14:textId="77777777" w:rsidR="00B133C1" w:rsidRPr="004F5617" w:rsidRDefault="00B133C1" w:rsidP="005A2DFB">
            <w:r w:rsidRPr="004F5617">
              <w:t>53-7.3</w:t>
            </w:r>
          </w:p>
        </w:tc>
        <w:tc>
          <w:tcPr>
            <w:tcW w:w="2551" w:type="dxa"/>
            <w:noWrap/>
            <w:vAlign w:val="center"/>
            <w:hideMark/>
          </w:tcPr>
          <w:p w14:paraId="45549340" w14:textId="77777777" w:rsidR="00B133C1" w:rsidRPr="004F5617" w:rsidRDefault="00B133C1" w:rsidP="005A2DFB">
            <w:r>
              <w:t>Biole</w:t>
            </w:r>
            <w:r w:rsidRPr="004F5617">
              <w:t>gend</w:t>
            </w:r>
            <w:r>
              <w:t>, UK</w:t>
            </w:r>
          </w:p>
        </w:tc>
      </w:tr>
      <w:tr w:rsidR="00B133C1" w:rsidRPr="00ED4A5A" w14:paraId="60FDC6C0" w14:textId="77777777" w:rsidTr="005A2DFB">
        <w:trPr>
          <w:trHeight w:val="306"/>
        </w:trPr>
        <w:tc>
          <w:tcPr>
            <w:tcW w:w="1330" w:type="dxa"/>
            <w:noWrap/>
            <w:vAlign w:val="center"/>
            <w:hideMark/>
          </w:tcPr>
          <w:p w14:paraId="531145DB" w14:textId="77777777" w:rsidR="00B133C1" w:rsidRPr="004F5617" w:rsidRDefault="00B133C1" w:rsidP="005A2DFB">
            <w:r w:rsidRPr="004F5617">
              <w:t>CD3</w:t>
            </w:r>
          </w:p>
        </w:tc>
        <w:tc>
          <w:tcPr>
            <w:tcW w:w="1519" w:type="dxa"/>
            <w:noWrap/>
            <w:vAlign w:val="center"/>
            <w:hideMark/>
          </w:tcPr>
          <w:p w14:paraId="58B1C23E" w14:textId="77777777" w:rsidR="00B133C1" w:rsidRPr="004F5617" w:rsidRDefault="00B133C1" w:rsidP="005A2DFB">
            <w:r w:rsidRPr="004F5617">
              <w:t>PE-Cy7</w:t>
            </w:r>
          </w:p>
        </w:tc>
        <w:tc>
          <w:tcPr>
            <w:tcW w:w="948" w:type="dxa"/>
          </w:tcPr>
          <w:p w14:paraId="36759CA4" w14:textId="77777777" w:rsidR="00B133C1" w:rsidRPr="004F5617" w:rsidRDefault="00B133C1" w:rsidP="005A2DFB">
            <w:r w:rsidRPr="004F5617">
              <w:t>1:400</w:t>
            </w:r>
          </w:p>
        </w:tc>
        <w:tc>
          <w:tcPr>
            <w:tcW w:w="1131" w:type="dxa"/>
            <w:noWrap/>
            <w:vAlign w:val="center"/>
            <w:hideMark/>
          </w:tcPr>
          <w:p w14:paraId="59070A6E" w14:textId="77777777" w:rsidR="00B133C1" w:rsidRPr="004F5617" w:rsidRDefault="00B133C1" w:rsidP="005A2DFB">
            <w:r w:rsidRPr="004F5617">
              <w:t>17-A2</w:t>
            </w:r>
          </w:p>
        </w:tc>
        <w:tc>
          <w:tcPr>
            <w:tcW w:w="2551" w:type="dxa"/>
            <w:noWrap/>
            <w:hideMark/>
          </w:tcPr>
          <w:p w14:paraId="7E280968" w14:textId="77777777" w:rsidR="00B133C1" w:rsidRPr="00157E02" w:rsidRDefault="00B133C1" w:rsidP="005A2DFB">
            <w:r w:rsidRPr="00157E02">
              <w:t>Biolegend</w:t>
            </w:r>
            <w:r>
              <w:t>, UK</w:t>
            </w:r>
          </w:p>
        </w:tc>
      </w:tr>
      <w:tr w:rsidR="00B133C1" w:rsidRPr="00ED4A5A" w14:paraId="326AC07E" w14:textId="77777777" w:rsidTr="005A2DFB">
        <w:trPr>
          <w:trHeight w:val="306"/>
        </w:trPr>
        <w:tc>
          <w:tcPr>
            <w:tcW w:w="1330" w:type="dxa"/>
            <w:noWrap/>
            <w:vAlign w:val="center"/>
            <w:hideMark/>
          </w:tcPr>
          <w:p w14:paraId="02BEAA37" w14:textId="77777777" w:rsidR="00B133C1" w:rsidRPr="004F5617" w:rsidRDefault="00B133C1" w:rsidP="005A2DFB">
            <w:r w:rsidRPr="004F5617">
              <w:t>CD49b</w:t>
            </w:r>
          </w:p>
        </w:tc>
        <w:tc>
          <w:tcPr>
            <w:tcW w:w="1519" w:type="dxa"/>
            <w:noWrap/>
            <w:vAlign w:val="center"/>
            <w:hideMark/>
          </w:tcPr>
          <w:p w14:paraId="6794BA1F" w14:textId="77777777" w:rsidR="00B133C1" w:rsidRPr="004F5617" w:rsidRDefault="00B133C1" w:rsidP="005A2DFB">
            <w:r w:rsidRPr="004F5617">
              <w:t>PE-Cy7</w:t>
            </w:r>
          </w:p>
        </w:tc>
        <w:tc>
          <w:tcPr>
            <w:tcW w:w="948" w:type="dxa"/>
          </w:tcPr>
          <w:p w14:paraId="4FB535AB" w14:textId="77777777" w:rsidR="00B133C1" w:rsidRPr="004F5617" w:rsidRDefault="00B133C1" w:rsidP="005A2DFB">
            <w:r w:rsidRPr="004F5617">
              <w:t>1:400</w:t>
            </w:r>
          </w:p>
        </w:tc>
        <w:tc>
          <w:tcPr>
            <w:tcW w:w="1131" w:type="dxa"/>
            <w:noWrap/>
            <w:vAlign w:val="center"/>
            <w:hideMark/>
          </w:tcPr>
          <w:p w14:paraId="75D8BC02" w14:textId="77777777" w:rsidR="00B133C1" w:rsidRPr="004F5617" w:rsidRDefault="00B133C1" w:rsidP="005A2DFB">
            <w:r w:rsidRPr="004F5617">
              <w:t>DX-5</w:t>
            </w:r>
          </w:p>
        </w:tc>
        <w:tc>
          <w:tcPr>
            <w:tcW w:w="2551" w:type="dxa"/>
            <w:noWrap/>
            <w:hideMark/>
          </w:tcPr>
          <w:p w14:paraId="16B17F3B" w14:textId="77777777" w:rsidR="00B133C1" w:rsidRPr="00157E02" w:rsidRDefault="00B133C1" w:rsidP="005A2DFB">
            <w:r w:rsidRPr="00157E02">
              <w:t>Biolegend</w:t>
            </w:r>
            <w:r>
              <w:t>, UK</w:t>
            </w:r>
          </w:p>
        </w:tc>
      </w:tr>
      <w:tr w:rsidR="00B133C1" w:rsidRPr="00ED4A5A" w14:paraId="07B27A4F" w14:textId="77777777" w:rsidTr="005A2DFB">
        <w:trPr>
          <w:trHeight w:val="306"/>
        </w:trPr>
        <w:tc>
          <w:tcPr>
            <w:tcW w:w="1330" w:type="dxa"/>
            <w:noWrap/>
            <w:vAlign w:val="center"/>
            <w:hideMark/>
          </w:tcPr>
          <w:p w14:paraId="4467753E" w14:textId="77777777" w:rsidR="00B133C1" w:rsidRPr="004F5617" w:rsidRDefault="00B133C1" w:rsidP="005A2DFB">
            <w:r w:rsidRPr="004F5617">
              <w:t>CD27</w:t>
            </w:r>
          </w:p>
        </w:tc>
        <w:tc>
          <w:tcPr>
            <w:tcW w:w="1519" w:type="dxa"/>
            <w:noWrap/>
            <w:vAlign w:val="center"/>
            <w:hideMark/>
          </w:tcPr>
          <w:p w14:paraId="5009B2B3" w14:textId="77777777" w:rsidR="00B133C1" w:rsidRPr="004F5617" w:rsidRDefault="00B133C1" w:rsidP="005A2DFB">
            <w:r w:rsidRPr="004F5617">
              <w:t>PE-Cy7</w:t>
            </w:r>
          </w:p>
        </w:tc>
        <w:tc>
          <w:tcPr>
            <w:tcW w:w="948" w:type="dxa"/>
          </w:tcPr>
          <w:p w14:paraId="1F195B70" w14:textId="77777777" w:rsidR="00B133C1" w:rsidRPr="004F5617" w:rsidRDefault="00B133C1" w:rsidP="005A2DFB">
            <w:r w:rsidRPr="004F5617">
              <w:t>1:400</w:t>
            </w:r>
          </w:p>
        </w:tc>
        <w:tc>
          <w:tcPr>
            <w:tcW w:w="1131" w:type="dxa"/>
            <w:noWrap/>
            <w:vAlign w:val="center"/>
            <w:hideMark/>
          </w:tcPr>
          <w:p w14:paraId="2AD5AC6F" w14:textId="77777777" w:rsidR="00B133C1" w:rsidRPr="004F5617" w:rsidRDefault="00B133C1" w:rsidP="005A2DFB">
            <w:r w:rsidRPr="004F5617">
              <w:t>LG-3A10</w:t>
            </w:r>
          </w:p>
        </w:tc>
        <w:tc>
          <w:tcPr>
            <w:tcW w:w="2551" w:type="dxa"/>
            <w:noWrap/>
            <w:hideMark/>
          </w:tcPr>
          <w:p w14:paraId="6244E282" w14:textId="77777777" w:rsidR="00B133C1" w:rsidRPr="00157E02" w:rsidRDefault="00B133C1" w:rsidP="005A2DFB">
            <w:r w:rsidRPr="00157E02">
              <w:t>Biolegend</w:t>
            </w:r>
            <w:r>
              <w:t>, UK</w:t>
            </w:r>
          </w:p>
        </w:tc>
      </w:tr>
      <w:tr w:rsidR="00B133C1" w:rsidRPr="00ED4A5A" w14:paraId="21081BDC" w14:textId="77777777" w:rsidTr="005A2DFB">
        <w:trPr>
          <w:trHeight w:val="306"/>
        </w:trPr>
        <w:tc>
          <w:tcPr>
            <w:tcW w:w="1330" w:type="dxa"/>
            <w:noWrap/>
            <w:vAlign w:val="center"/>
            <w:hideMark/>
          </w:tcPr>
          <w:p w14:paraId="650ADD72" w14:textId="77777777" w:rsidR="00B133C1" w:rsidRPr="004F5617" w:rsidRDefault="00B133C1" w:rsidP="005A2DFB">
            <w:r w:rsidRPr="004F5617">
              <w:t>TCR</w:t>
            </w:r>
            <w:r w:rsidRPr="004F5617">
              <w:rPr>
                <w:rFonts w:ascii="Symbol" w:hAnsi="Symbol"/>
              </w:rPr>
              <w:t></w:t>
            </w:r>
          </w:p>
        </w:tc>
        <w:tc>
          <w:tcPr>
            <w:tcW w:w="1519" w:type="dxa"/>
            <w:noWrap/>
            <w:vAlign w:val="center"/>
            <w:hideMark/>
          </w:tcPr>
          <w:p w14:paraId="6CDE59D2" w14:textId="77777777" w:rsidR="00B133C1" w:rsidRPr="004F5617" w:rsidRDefault="00B133C1" w:rsidP="005A2DFB">
            <w:r w:rsidRPr="004F5617">
              <w:t>PE-Cy7</w:t>
            </w:r>
          </w:p>
        </w:tc>
        <w:tc>
          <w:tcPr>
            <w:tcW w:w="948" w:type="dxa"/>
          </w:tcPr>
          <w:p w14:paraId="2928AD59" w14:textId="77777777" w:rsidR="00B133C1" w:rsidRPr="004F5617" w:rsidRDefault="00B133C1" w:rsidP="005A2DFB">
            <w:r w:rsidRPr="004F5617">
              <w:t>1:400</w:t>
            </w:r>
          </w:p>
        </w:tc>
        <w:tc>
          <w:tcPr>
            <w:tcW w:w="1131" w:type="dxa"/>
            <w:noWrap/>
            <w:vAlign w:val="center"/>
            <w:hideMark/>
          </w:tcPr>
          <w:p w14:paraId="188F0414" w14:textId="77777777" w:rsidR="00B133C1" w:rsidRPr="004F5617" w:rsidRDefault="00B133C1" w:rsidP="005A2DFB">
            <w:r w:rsidRPr="004F5617">
              <w:t>H57-597</w:t>
            </w:r>
          </w:p>
        </w:tc>
        <w:tc>
          <w:tcPr>
            <w:tcW w:w="2551" w:type="dxa"/>
            <w:noWrap/>
            <w:hideMark/>
          </w:tcPr>
          <w:p w14:paraId="419C3773" w14:textId="77777777" w:rsidR="00B133C1" w:rsidRPr="00157E02" w:rsidRDefault="00B133C1" w:rsidP="005A2DFB">
            <w:r w:rsidRPr="00157E02">
              <w:t>Biolegend</w:t>
            </w:r>
            <w:r>
              <w:t>, UK</w:t>
            </w:r>
          </w:p>
        </w:tc>
      </w:tr>
      <w:tr w:rsidR="00B133C1" w:rsidRPr="00ED4A5A" w14:paraId="1B5B9ED9" w14:textId="77777777" w:rsidTr="005A2DFB">
        <w:trPr>
          <w:trHeight w:val="306"/>
        </w:trPr>
        <w:tc>
          <w:tcPr>
            <w:tcW w:w="1330" w:type="dxa"/>
            <w:noWrap/>
            <w:vAlign w:val="center"/>
            <w:hideMark/>
          </w:tcPr>
          <w:p w14:paraId="4F217BAC" w14:textId="77777777" w:rsidR="00B133C1" w:rsidRPr="004F5617" w:rsidRDefault="00B133C1" w:rsidP="005A2DFB">
            <w:r w:rsidRPr="004F5617">
              <w:t>CD11b</w:t>
            </w:r>
          </w:p>
        </w:tc>
        <w:tc>
          <w:tcPr>
            <w:tcW w:w="1519" w:type="dxa"/>
            <w:noWrap/>
            <w:vAlign w:val="center"/>
            <w:hideMark/>
          </w:tcPr>
          <w:p w14:paraId="52924A87" w14:textId="77777777" w:rsidR="00B133C1" w:rsidRPr="004F5617" w:rsidRDefault="00B133C1" w:rsidP="005A2DFB">
            <w:r w:rsidRPr="004F5617">
              <w:t>APC-Cy7</w:t>
            </w:r>
          </w:p>
        </w:tc>
        <w:tc>
          <w:tcPr>
            <w:tcW w:w="948" w:type="dxa"/>
          </w:tcPr>
          <w:p w14:paraId="5141FD1A" w14:textId="77777777" w:rsidR="00B133C1" w:rsidRPr="004F5617" w:rsidRDefault="00B133C1" w:rsidP="005A2DFB">
            <w:r w:rsidRPr="004F5617">
              <w:t>1:400</w:t>
            </w:r>
          </w:p>
        </w:tc>
        <w:tc>
          <w:tcPr>
            <w:tcW w:w="1131" w:type="dxa"/>
            <w:noWrap/>
            <w:vAlign w:val="center"/>
            <w:hideMark/>
          </w:tcPr>
          <w:p w14:paraId="6B97A309" w14:textId="77777777" w:rsidR="00B133C1" w:rsidRPr="004F5617" w:rsidRDefault="00B133C1" w:rsidP="005A2DFB">
            <w:r w:rsidRPr="004F5617">
              <w:t>M1/70</w:t>
            </w:r>
          </w:p>
        </w:tc>
        <w:tc>
          <w:tcPr>
            <w:tcW w:w="2551" w:type="dxa"/>
            <w:noWrap/>
            <w:hideMark/>
          </w:tcPr>
          <w:p w14:paraId="3356933F" w14:textId="77777777" w:rsidR="00B133C1" w:rsidRPr="00157E02" w:rsidRDefault="00B133C1" w:rsidP="005A2DFB">
            <w:r w:rsidRPr="00157E02">
              <w:t>Biolegend</w:t>
            </w:r>
            <w:r>
              <w:t>, UK</w:t>
            </w:r>
          </w:p>
        </w:tc>
      </w:tr>
      <w:tr w:rsidR="00B133C1" w:rsidRPr="00ED4A5A" w14:paraId="3D663C5C" w14:textId="77777777" w:rsidTr="005A2DFB">
        <w:trPr>
          <w:trHeight w:val="306"/>
        </w:trPr>
        <w:tc>
          <w:tcPr>
            <w:tcW w:w="1330" w:type="dxa"/>
            <w:noWrap/>
            <w:vAlign w:val="center"/>
            <w:hideMark/>
          </w:tcPr>
          <w:p w14:paraId="24E99ED6" w14:textId="77777777" w:rsidR="00B133C1" w:rsidRPr="004F5617" w:rsidRDefault="00B133C1" w:rsidP="005A2DFB">
            <w:r w:rsidRPr="004F5617">
              <w:t>CD11c</w:t>
            </w:r>
          </w:p>
        </w:tc>
        <w:tc>
          <w:tcPr>
            <w:tcW w:w="1519" w:type="dxa"/>
            <w:noWrap/>
            <w:vAlign w:val="center"/>
            <w:hideMark/>
          </w:tcPr>
          <w:p w14:paraId="317F2D78" w14:textId="77777777" w:rsidR="00B133C1" w:rsidRPr="004F5617" w:rsidRDefault="00B133C1" w:rsidP="005A2DFB">
            <w:r w:rsidRPr="004F5617">
              <w:t>APC-Cy7</w:t>
            </w:r>
          </w:p>
        </w:tc>
        <w:tc>
          <w:tcPr>
            <w:tcW w:w="948" w:type="dxa"/>
          </w:tcPr>
          <w:p w14:paraId="77001122" w14:textId="77777777" w:rsidR="00B133C1" w:rsidRPr="004F5617" w:rsidRDefault="00B133C1" w:rsidP="005A2DFB">
            <w:r w:rsidRPr="004F5617">
              <w:t>1:400</w:t>
            </w:r>
          </w:p>
        </w:tc>
        <w:tc>
          <w:tcPr>
            <w:tcW w:w="1131" w:type="dxa"/>
            <w:noWrap/>
            <w:vAlign w:val="center"/>
            <w:hideMark/>
          </w:tcPr>
          <w:p w14:paraId="589E3C90" w14:textId="77777777" w:rsidR="00B133C1" w:rsidRPr="004F5617" w:rsidRDefault="00B133C1" w:rsidP="005A2DFB">
            <w:r w:rsidRPr="004F5617">
              <w:t>N418</w:t>
            </w:r>
          </w:p>
        </w:tc>
        <w:tc>
          <w:tcPr>
            <w:tcW w:w="2551" w:type="dxa"/>
            <w:noWrap/>
            <w:hideMark/>
          </w:tcPr>
          <w:p w14:paraId="498639DA" w14:textId="77777777" w:rsidR="00B133C1" w:rsidRPr="00157E02" w:rsidRDefault="00B133C1" w:rsidP="005A2DFB">
            <w:r w:rsidRPr="00157E02">
              <w:t>Biolegend</w:t>
            </w:r>
            <w:r>
              <w:t>, UK</w:t>
            </w:r>
          </w:p>
        </w:tc>
      </w:tr>
      <w:tr w:rsidR="00B133C1" w:rsidRPr="00ED4A5A" w14:paraId="742647E9" w14:textId="77777777" w:rsidTr="005A2DFB">
        <w:trPr>
          <w:trHeight w:val="306"/>
        </w:trPr>
        <w:tc>
          <w:tcPr>
            <w:tcW w:w="1330" w:type="dxa"/>
            <w:noWrap/>
            <w:vAlign w:val="center"/>
            <w:hideMark/>
          </w:tcPr>
          <w:p w14:paraId="162658EF" w14:textId="77777777" w:rsidR="00B133C1" w:rsidRPr="004F5617" w:rsidRDefault="00B133C1" w:rsidP="005A2DFB">
            <w:r w:rsidRPr="004F5617">
              <w:t>B220</w:t>
            </w:r>
          </w:p>
        </w:tc>
        <w:tc>
          <w:tcPr>
            <w:tcW w:w="1519" w:type="dxa"/>
            <w:noWrap/>
            <w:vAlign w:val="center"/>
            <w:hideMark/>
          </w:tcPr>
          <w:p w14:paraId="582E958D" w14:textId="77777777" w:rsidR="00B133C1" w:rsidRPr="004F5617" w:rsidRDefault="00B133C1" w:rsidP="005A2DFB">
            <w:r w:rsidRPr="004F5617">
              <w:t>APC-Cy7</w:t>
            </w:r>
          </w:p>
        </w:tc>
        <w:tc>
          <w:tcPr>
            <w:tcW w:w="948" w:type="dxa"/>
          </w:tcPr>
          <w:p w14:paraId="0E2C1C11" w14:textId="77777777" w:rsidR="00B133C1" w:rsidRPr="004F5617" w:rsidRDefault="00B133C1" w:rsidP="005A2DFB">
            <w:r w:rsidRPr="004F5617">
              <w:t>1:400</w:t>
            </w:r>
          </w:p>
        </w:tc>
        <w:tc>
          <w:tcPr>
            <w:tcW w:w="1131" w:type="dxa"/>
            <w:noWrap/>
            <w:vAlign w:val="center"/>
            <w:hideMark/>
          </w:tcPr>
          <w:p w14:paraId="4D3D637C" w14:textId="77777777" w:rsidR="00B133C1" w:rsidRPr="004F5617" w:rsidRDefault="00B133C1" w:rsidP="005A2DFB">
            <w:r w:rsidRPr="004F5617">
              <w:t>RA3-6B2</w:t>
            </w:r>
          </w:p>
        </w:tc>
        <w:tc>
          <w:tcPr>
            <w:tcW w:w="2551" w:type="dxa"/>
            <w:noWrap/>
            <w:hideMark/>
          </w:tcPr>
          <w:p w14:paraId="471E6570" w14:textId="77777777" w:rsidR="00B133C1" w:rsidRPr="00157E02" w:rsidRDefault="00B133C1" w:rsidP="005A2DFB">
            <w:r w:rsidRPr="00157E02">
              <w:t>Biolegend</w:t>
            </w:r>
            <w:r>
              <w:t>, UK</w:t>
            </w:r>
          </w:p>
        </w:tc>
      </w:tr>
      <w:tr w:rsidR="00B133C1" w:rsidRPr="00ED4A5A" w14:paraId="24EEB010" w14:textId="77777777" w:rsidTr="005A2DFB">
        <w:trPr>
          <w:trHeight w:val="306"/>
        </w:trPr>
        <w:tc>
          <w:tcPr>
            <w:tcW w:w="1330" w:type="dxa"/>
            <w:noWrap/>
            <w:vAlign w:val="center"/>
            <w:hideMark/>
          </w:tcPr>
          <w:p w14:paraId="7BA1A7C2" w14:textId="77777777" w:rsidR="00B133C1" w:rsidRPr="004F5617" w:rsidRDefault="00B133C1" w:rsidP="005A2DFB">
            <w:r w:rsidRPr="004F5617">
              <w:t>T1/ST2</w:t>
            </w:r>
          </w:p>
        </w:tc>
        <w:tc>
          <w:tcPr>
            <w:tcW w:w="1519" w:type="dxa"/>
            <w:noWrap/>
            <w:vAlign w:val="center"/>
            <w:hideMark/>
          </w:tcPr>
          <w:p w14:paraId="03ADAFE5" w14:textId="77777777" w:rsidR="00B133C1" w:rsidRPr="004F5617" w:rsidRDefault="00B133C1" w:rsidP="005A2DFB">
            <w:r w:rsidRPr="004F5617">
              <w:t>FITC</w:t>
            </w:r>
          </w:p>
        </w:tc>
        <w:tc>
          <w:tcPr>
            <w:tcW w:w="948" w:type="dxa"/>
          </w:tcPr>
          <w:p w14:paraId="3941A5C1" w14:textId="77777777" w:rsidR="00B133C1" w:rsidRPr="004F5617" w:rsidRDefault="00B133C1" w:rsidP="005A2DFB">
            <w:r w:rsidRPr="004F5617">
              <w:t>1:200</w:t>
            </w:r>
          </w:p>
        </w:tc>
        <w:tc>
          <w:tcPr>
            <w:tcW w:w="1131" w:type="dxa"/>
            <w:noWrap/>
            <w:vAlign w:val="center"/>
            <w:hideMark/>
          </w:tcPr>
          <w:p w14:paraId="2680B47B" w14:textId="77777777" w:rsidR="00B133C1" w:rsidRPr="004F5617" w:rsidRDefault="00B133C1" w:rsidP="005A2DFB">
            <w:r w:rsidRPr="004F5617">
              <w:t>DJ8</w:t>
            </w:r>
          </w:p>
        </w:tc>
        <w:tc>
          <w:tcPr>
            <w:tcW w:w="2551" w:type="dxa"/>
            <w:noWrap/>
            <w:vAlign w:val="center"/>
            <w:hideMark/>
          </w:tcPr>
          <w:p w14:paraId="3298A495" w14:textId="77777777" w:rsidR="00B133C1" w:rsidRPr="004F5617" w:rsidRDefault="00B133C1" w:rsidP="005A2DFB">
            <w:r w:rsidRPr="004F5617">
              <w:t>MD Bioproducts</w:t>
            </w:r>
            <w:r>
              <w:t>, US</w:t>
            </w:r>
          </w:p>
        </w:tc>
      </w:tr>
      <w:tr w:rsidR="00B133C1" w:rsidRPr="00ED4A5A" w14:paraId="48CEC075" w14:textId="77777777" w:rsidTr="005A2DFB">
        <w:trPr>
          <w:trHeight w:val="306"/>
        </w:trPr>
        <w:tc>
          <w:tcPr>
            <w:tcW w:w="1330" w:type="dxa"/>
            <w:noWrap/>
            <w:vAlign w:val="center"/>
            <w:hideMark/>
          </w:tcPr>
          <w:p w14:paraId="73E517AC" w14:textId="77777777" w:rsidR="00B133C1" w:rsidRPr="004F5617" w:rsidRDefault="00B133C1" w:rsidP="005A2DFB">
            <w:r w:rsidRPr="004F5617">
              <w:t>CD25</w:t>
            </w:r>
          </w:p>
        </w:tc>
        <w:tc>
          <w:tcPr>
            <w:tcW w:w="1519" w:type="dxa"/>
            <w:noWrap/>
            <w:vAlign w:val="center"/>
            <w:hideMark/>
          </w:tcPr>
          <w:p w14:paraId="36CA14BA" w14:textId="77777777" w:rsidR="00B133C1" w:rsidRPr="004F5617" w:rsidRDefault="00B133C1" w:rsidP="005A2DFB">
            <w:r w:rsidRPr="004F5617">
              <w:t>PE</w:t>
            </w:r>
          </w:p>
        </w:tc>
        <w:tc>
          <w:tcPr>
            <w:tcW w:w="948" w:type="dxa"/>
          </w:tcPr>
          <w:p w14:paraId="0189E523" w14:textId="77777777" w:rsidR="00B133C1" w:rsidRPr="004F5617" w:rsidRDefault="00B133C1" w:rsidP="005A2DFB">
            <w:r w:rsidRPr="004F5617">
              <w:t>1:200</w:t>
            </w:r>
          </w:p>
        </w:tc>
        <w:tc>
          <w:tcPr>
            <w:tcW w:w="1131" w:type="dxa"/>
            <w:noWrap/>
            <w:vAlign w:val="center"/>
            <w:hideMark/>
          </w:tcPr>
          <w:p w14:paraId="222820B8" w14:textId="77777777" w:rsidR="00B133C1" w:rsidRPr="004F5617" w:rsidRDefault="00B133C1" w:rsidP="005A2DFB">
            <w:r w:rsidRPr="004F5617">
              <w:t>PC61</w:t>
            </w:r>
          </w:p>
        </w:tc>
        <w:tc>
          <w:tcPr>
            <w:tcW w:w="2551" w:type="dxa"/>
            <w:noWrap/>
            <w:vAlign w:val="center"/>
            <w:hideMark/>
          </w:tcPr>
          <w:p w14:paraId="787C04BD" w14:textId="77777777" w:rsidR="00B133C1" w:rsidRPr="004F5617" w:rsidRDefault="00B133C1" w:rsidP="005A2DFB">
            <w:r w:rsidRPr="004F5617">
              <w:t>Biolegend</w:t>
            </w:r>
            <w:r>
              <w:t>, UK</w:t>
            </w:r>
          </w:p>
        </w:tc>
      </w:tr>
      <w:tr w:rsidR="00B133C1" w:rsidRPr="00ED4A5A" w14:paraId="3F2DF813" w14:textId="77777777" w:rsidTr="005A2DFB">
        <w:trPr>
          <w:trHeight w:val="306"/>
        </w:trPr>
        <w:tc>
          <w:tcPr>
            <w:tcW w:w="1330" w:type="dxa"/>
            <w:noWrap/>
            <w:vAlign w:val="center"/>
            <w:hideMark/>
          </w:tcPr>
          <w:p w14:paraId="3EBA190D" w14:textId="77777777" w:rsidR="00B133C1" w:rsidRPr="004F5617" w:rsidRDefault="00B133C1" w:rsidP="005A2DFB">
            <w:r w:rsidRPr="004F5617">
              <w:t>CD90.2</w:t>
            </w:r>
          </w:p>
        </w:tc>
        <w:tc>
          <w:tcPr>
            <w:tcW w:w="1519" w:type="dxa"/>
            <w:noWrap/>
            <w:vAlign w:val="center"/>
            <w:hideMark/>
          </w:tcPr>
          <w:p w14:paraId="045FEBAE" w14:textId="77777777" w:rsidR="00B133C1" w:rsidRPr="004F5617" w:rsidRDefault="00B133C1" w:rsidP="005A2DFB">
            <w:r w:rsidRPr="004F5617">
              <w:t>V500</w:t>
            </w:r>
          </w:p>
        </w:tc>
        <w:tc>
          <w:tcPr>
            <w:tcW w:w="948" w:type="dxa"/>
          </w:tcPr>
          <w:p w14:paraId="6EE13186" w14:textId="77777777" w:rsidR="00B133C1" w:rsidRPr="004F5617" w:rsidRDefault="00B133C1" w:rsidP="005A2DFB">
            <w:r w:rsidRPr="004F5617">
              <w:t>1:200</w:t>
            </w:r>
          </w:p>
        </w:tc>
        <w:tc>
          <w:tcPr>
            <w:tcW w:w="1131" w:type="dxa"/>
            <w:noWrap/>
            <w:vAlign w:val="center"/>
            <w:hideMark/>
          </w:tcPr>
          <w:p w14:paraId="5035CE2D" w14:textId="77777777" w:rsidR="00B133C1" w:rsidRPr="004F5617" w:rsidRDefault="00B133C1" w:rsidP="005A2DFB">
            <w:r w:rsidRPr="004F5617">
              <w:t>53-2.1</w:t>
            </w:r>
          </w:p>
        </w:tc>
        <w:tc>
          <w:tcPr>
            <w:tcW w:w="2551" w:type="dxa"/>
            <w:noWrap/>
            <w:vAlign w:val="center"/>
            <w:hideMark/>
          </w:tcPr>
          <w:p w14:paraId="3B336EC9" w14:textId="77777777" w:rsidR="00B133C1" w:rsidRPr="004F5617" w:rsidRDefault="00B133C1" w:rsidP="005A2DFB">
            <w:r w:rsidRPr="004F5617">
              <w:t xml:space="preserve">BD </w:t>
            </w:r>
            <w:r>
              <w:t>Biosciences</w:t>
            </w:r>
          </w:p>
        </w:tc>
      </w:tr>
      <w:tr w:rsidR="00B133C1" w:rsidRPr="00ED4A5A" w14:paraId="34A66EBB" w14:textId="77777777" w:rsidTr="005A2DFB">
        <w:trPr>
          <w:trHeight w:val="306"/>
        </w:trPr>
        <w:tc>
          <w:tcPr>
            <w:tcW w:w="1330" w:type="dxa"/>
            <w:noWrap/>
            <w:vAlign w:val="center"/>
            <w:hideMark/>
          </w:tcPr>
          <w:p w14:paraId="6192CFAF" w14:textId="77777777" w:rsidR="00B133C1" w:rsidRPr="004F5617" w:rsidRDefault="00B133C1" w:rsidP="005A2DFB">
            <w:r w:rsidRPr="004F5617">
              <w:t>CD127</w:t>
            </w:r>
          </w:p>
        </w:tc>
        <w:tc>
          <w:tcPr>
            <w:tcW w:w="1519" w:type="dxa"/>
            <w:noWrap/>
            <w:vAlign w:val="center"/>
            <w:hideMark/>
          </w:tcPr>
          <w:p w14:paraId="58366429" w14:textId="77777777" w:rsidR="00B133C1" w:rsidRPr="004F5617" w:rsidRDefault="00B133C1" w:rsidP="005A2DFB">
            <w:r w:rsidRPr="004F5617">
              <w:t>BV421</w:t>
            </w:r>
          </w:p>
        </w:tc>
        <w:tc>
          <w:tcPr>
            <w:tcW w:w="948" w:type="dxa"/>
          </w:tcPr>
          <w:p w14:paraId="39AD4ED7" w14:textId="77777777" w:rsidR="00B133C1" w:rsidRPr="004F5617" w:rsidRDefault="00B133C1" w:rsidP="005A2DFB">
            <w:r w:rsidRPr="004F5617">
              <w:t>1:200</w:t>
            </w:r>
          </w:p>
        </w:tc>
        <w:tc>
          <w:tcPr>
            <w:tcW w:w="1131" w:type="dxa"/>
            <w:noWrap/>
            <w:vAlign w:val="center"/>
            <w:hideMark/>
          </w:tcPr>
          <w:p w14:paraId="48B64EB2" w14:textId="77777777" w:rsidR="00B133C1" w:rsidRPr="004F5617" w:rsidRDefault="00B133C1" w:rsidP="005A2DFB">
            <w:r w:rsidRPr="004F5617">
              <w:t>A7R34</w:t>
            </w:r>
          </w:p>
        </w:tc>
        <w:tc>
          <w:tcPr>
            <w:tcW w:w="2551" w:type="dxa"/>
            <w:noWrap/>
            <w:vAlign w:val="center"/>
            <w:hideMark/>
          </w:tcPr>
          <w:p w14:paraId="14F5CC2C" w14:textId="77777777" w:rsidR="00B133C1" w:rsidRPr="004F5617" w:rsidRDefault="00B133C1" w:rsidP="005A2DFB">
            <w:r w:rsidRPr="004F5617">
              <w:t>Biolegend</w:t>
            </w:r>
            <w:r>
              <w:t>, UK</w:t>
            </w:r>
          </w:p>
        </w:tc>
      </w:tr>
      <w:tr w:rsidR="00B133C1" w:rsidRPr="00ED4A5A" w14:paraId="75EC31E5" w14:textId="77777777" w:rsidTr="005A2DFB">
        <w:trPr>
          <w:trHeight w:val="306"/>
        </w:trPr>
        <w:tc>
          <w:tcPr>
            <w:tcW w:w="1330" w:type="dxa"/>
            <w:shd w:val="clear" w:color="auto" w:fill="C6D9F1" w:themeFill="text2" w:themeFillTint="33"/>
            <w:noWrap/>
            <w:vAlign w:val="center"/>
            <w:hideMark/>
          </w:tcPr>
          <w:p w14:paraId="6FF2BEFE" w14:textId="77777777" w:rsidR="00B133C1" w:rsidRPr="00810250" w:rsidRDefault="00B133C1" w:rsidP="005A2DFB">
            <w:pPr>
              <w:rPr>
                <w:b/>
              </w:rPr>
            </w:pPr>
            <w:r w:rsidRPr="00810250">
              <w:rPr>
                <w:b/>
              </w:rPr>
              <w:t>FMO</w:t>
            </w:r>
          </w:p>
        </w:tc>
        <w:tc>
          <w:tcPr>
            <w:tcW w:w="1519" w:type="dxa"/>
            <w:shd w:val="clear" w:color="auto" w:fill="C6D9F1" w:themeFill="text2" w:themeFillTint="33"/>
            <w:noWrap/>
            <w:hideMark/>
          </w:tcPr>
          <w:p w14:paraId="4E9605EB" w14:textId="77777777" w:rsidR="00B133C1" w:rsidRPr="004F5617" w:rsidRDefault="00B133C1" w:rsidP="005A2DFB"/>
        </w:tc>
        <w:tc>
          <w:tcPr>
            <w:tcW w:w="948" w:type="dxa"/>
            <w:shd w:val="clear" w:color="auto" w:fill="C6D9F1" w:themeFill="text2" w:themeFillTint="33"/>
            <w:vAlign w:val="center"/>
          </w:tcPr>
          <w:p w14:paraId="6C6DD4B8" w14:textId="77777777" w:rsidR="00B133C1" w:rsidRPr="004F5617" w:rsidRDefault="00B133C1" w:rsidP="005A2DFB"/>
        </w:tc>
        <w:tc>
          <w:tcPr>
            <w:tcW w:w="1131" w:type="dxa"/>
            <w:shd w:val="clear" w:color="auto" w:fill="C6D9F1" w:themeFill="text2" w:themeFillTint="33"/>
            <w:noWrap/>
            <w:vAlign w:val="center"/>
            <w:hideMark/>
          </w:tcPr>
          <w:p w14:paraId="4C869A91" w14:textId="77777777" w:rsidR="00B133C1" w:rsidRPr="004F5617" w:rsidRDefault="00B133C1" w:rsidP="005A2DFB"/>
        </w:tc>
        <w:tc>
          <w:tcPr>
            <w:tcW w:w="2551" w:type="dxa"/>
            <w:shd w:val="clear" w:color="auto" w:fill="C6D9F1" w:themeFill="text2" w:themeFillTint="33"/>
            <w:noWrap/>
            <w:vAlign w:val="center"/>
            <w:hideMark/>
          </w:tcPr>
          <w:p w14:paraId="62E4931A" w14:textId="77777777" w:rsidR="00B133C1" w:rsidRPr="004F5617" w:rsidRDefault="00B133C1" w:rsidP="005A2DFB"/>
        </w:tc>
      </w:tr>
      <w:tr w:rsidR="00B133C1" w:rsidRPr="00ED4A5A" w14:paraId="436FD24F" w14:textId="77777777" w:rsidTr="005A2DFB">
        <w:trPr>
          <w:trHeight w:val="306"/>
        </w:trPr>
        <w:tc>
          <w:tcPr>
            <w:tcW w:w="1330" w:type="dxa"/>
            <w:noWrap/>
            <w:vAlign w:val="center"/>
            <w:hideMark/>
          </w:tcPr>
          <w:p w14:paraId="01431C26" w14:textId="77777777" w:rsidR="00B133C1" w:rsidRPr="004F5617" w:rsidRDefault="00B133C1" w:rsidP="005A2DFB">
            <w:r>
              <w:t>T1/ST2</w:t>
            </w:r>
          </w:p>
        </w:tc>
        <w:tc>
          <w:tcPr>
            <w:tcW w:w="1519" w:type="dxa"/>
            <w:noWrap/>
            <w:hideMark/>
          </w:tcPr>
          <w:p w14:paraId="069B9E52" w14:textId="77777777" w:rsidR="00B133C1" w:rsidRPr="004F5617" w:rsidRDefault="00B133C1" w:rsidP="005A2DFB">
            <w:r>
              <w:t>FITC</w:t>
            </w:r>
          </w:p>
        </w:tc>
        <w:tc>
          <w:tcPr>
            <w:tcW w:w="948" w:type="dxa"/>
            <w:vAlign w:val="center"/>
          </w:tcPr>
          <w:p w14:paraId="1B157254" w14:textId="77777777" w:rsidR="00B133C1" w:rsidRPr="00810250" w:rsidRDefault="00B133C1" w:rsidP="005A2DFB">
            <w:r w:rsidRPr="00810250">
              <w:t>1:200</w:t>
            </w:r>
          </w:p>
        </w:tc>
        <w:tc>
          <w:tcPr>
            <w:tcW w:w="1131" w:type="dxa"/>
            <w:noWrap/>
            <w:vAlign w:val="center"/>
            <w:hideMark/>
          </w:tcPr>
          <w:p w14:paraId="20CFCAE1" w14:textId="77777777" w:rsidR="00B133C1" w:rsidRPr="004F5617" w:rsidRDefault="00B133C1" w:rsidP="005A2DFB">
            <w:r>
              <w:t>eBRG1</w:t>
            </w:r>
          </w:p>
        </w:tc>
        <w:tc>
          <w:tcPr>
            <w:tcW w:w="2551" w:type="dxa"/>
            <w:noWrap/>
            <w:vAlign w:val="center"/>
            <w:hideMark/>
          </w:tcPr>
          <w:p w14:paraId="5EA6E36E" w14:textId="77777777" w:rsidR="00B133C1" w:rsidRPr="004F5617" w:rsidRDefault="00B133C1" w:rsidP="005A2DFB">
            <w:r>
              <w:t>eBioscience, US</w:t>
            </w:r>
          </w:p>
        </w:tc>
      </w:tr>
    </w:tbl>
    <w:p w14:paraId="33E3ECAD"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49FB89BB"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51DF9F74"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0AF4FACA"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7345BC18" w14:textId="77777777" w:rsidR="00B133C1" w:rsidRDefault="00B133C1" w:rsidP="00B133C1">
      <w:pPr>
        <w:autoSpaceDE w:val="0"/>
        <w:autoSpaceDN w:val="0"/>
        <w:adjustRightInd w:val="0"/>
        <w:spacing w:after="0" w:line="480" w:lineRule="auto"/>
        <w:rPr>
          <w:rFonts w:ascii="Times New Roman" w:hAnsi="Times New Roman" w:cs="Times New Roman"/>
          <w:sz w:val="24"/>
        </w:rPr>
      </w:pPr>
    </w:p>
    <w:p w14:paraId="554DE512" w14:textId="77777777" w:rsidR="00B133C1" w:rsidRPr="00B236B5" w:rsidRDefault="00B133C1" w:rsidP="00B133C1">
      <w:pPr>
        <w:autoSpaceDE w:val="0"/>
        <w:autoSpaceDN w:val="0"/>
        <w:adjustRightInd w:val="0"/>
        <w:spacing w:after="0" w:line="480" w:lineRule="auto"/>
        <w:rPr>
          <w:rFonts w:ascii="Times New Roman" w:hAnsi="Times New Roman" w:cs="Times New Roman"/>
          <w:sz w:val="24"/>
        </w:rPr>
      </w:pPr>
    </w:p>
    <w:p w14:paraId="2859C339"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16A339D3"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0EEE1E82"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6015264F"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266B90AC" w14:textId="77777777" w:rsidR="00B133C1" w:rsidRDefault="00B133C1" w:rsidP="00B133C1">
      <w:pPr>
        <w:autoSpaceDE w:val="0"/>
        <w:autoSpaceDN w:val="0"/>
        <w:adjustRightInd w:val="0"/>
        <w:spacing w:after="0" w:line="480" w:lineRule="auto"/>
        <w:rPr>
          <w:rFonts w:ascii="Times New Roman" w:hAnsi="Times New Roman" w:cs="Times New Roman"/>
          <w:b/>
          <w:sz w:val="24"/>
        </w:rPr>
      </w:pPr>
    </w:p>
    <w:p w14:paraId="0799E683" w14:textId="77777777" w:rsidR="00B133C1" w:rsidRPr="00810250" w:rsidRDefault="00B133C1" w:rsidP="00B133C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Lineage markers were placed on </w:t>
      </w:r>
      <w:r w:rsidRPr="00810250">
        <w:rPr>
          <w:rFonts w:ascii="Times New Roman" w:hAnsi="Times New Roman" w:cs="Times New Roman"/>
          <w:sz w:val="24"/>
        </w:rPr>
        <w:t>PE-Cy7</w:t>
      </w:r>
      <w:r>
        <w:rPr>
          <w:rFonts w:ascii="Times New Roman" w:hAnsi="Times New Roman" w:cs="Times New Roman"/>
          <w:sz w:val="24"/>
        </w:rPr>
        <w:t xml:space="preserve"> and APC-Cy7 which were used as dump channels. Leucocyte populations and single cells were identified using forward and side scatter characteristics and non-viable cells (7AAD</w:t>
      </w:r>
      <w:r w:rsidRPr="007F094F">
        <w:rPr>
          <w:rFonts w:ascii="Times New Roman" w:hAnsi="Times New Roman" w:cs="Times New Roman"/>
          <w:sz w:val="24"/>
          <w:vertAlign w:val="superscript"/>
        </w:rPr>
        <w:t>+</w:t>
      </w:r>
      <w:r>
        <w:rPr>
          <w:rFonts w:ascii="Times New Roman" w:hAnsi="Times New Roman" w:cs="Times New Roman"/>
          <w:sz w:val="24"/>
        </w:rPr>
        <w:t>) were removed from further analysis. Lineage marker negative cells which were CD25</w:t>
      </w:r>
      <w:r w:rsidRPr="007F094F">
        <w:rPr>
          <w:rFonts w:ascii="Times New Roman" w:hAnsi="Times New Roman" w:cs="Times New Roman"/>
          <w:sz w:val="24"/>
          <w:vertAlign w:val="superscript"/>
        </w:rPr>
        <w:t>+</w:t>
      </w:r>
      <w:r>
        <w:rPr>
          <w:rFonts w:ascii="Times New Roman" w:hAnsi="Times New Roman" w:cs="Times New Roman"/>
          <w:sz w:val="24"/>
        </w:rPr>
        <w:t>CD127</w:t>
      </w:r>
      <w:r w:rsidRPr="007F094F">
        <w:rPr>
          <w:rFonts w:ascii="Times New Roman" w:hAnsi="Times New Roman" w:cs="Times New Roman"/>
          <w:sz w:val="24"/>
          <w:vertAlign w:val="superscript"/>
        </w:rPr>
        <w:t>+</w:t>
      </w:r>
      <w:r>
        <w:rPr>
          <w:rFonts w:ascii="Times New Roman" w:hAnsi="Times New Roman" w:cs="Times New Roman"/>
          <w:sz w:val="24"/>
        </w:rPr>
        <w:t>CD90.2</w:t>
      </w:r>
      <w:r w:rsidRPr="007F094F">
        <w:rPr>
          <w:rFonts w:ascii="Times New Roman" w:hAnsi="Times New Roman" w:cs="Times New Roman"/>
          <w:sz w:val="24"/>
          <w:vertAlign w:val="superscript"/>
        </w:rPr>
        <w:t>+</w:t>
      </w:r>
      <w:r>
        <w:rPr>
          <w:rFonts w:ascii="Times New Roman" w:hAnsi="Times New Roman" w:cs="Times New Roman"/>
          <w:sz w:val="24"/>
        </w:rPr>
        <w:t>T1/ST2</w:t>
      </w:r>
      <w:r w:rsidRPr="00426664">
        <w:rPr>
          <w:rFonts w:ascii="Times New Roman" w:hAnsi="Times New Roman" w:cs="Times New Roman"/>
          <w:sz w:val="24"/>
          <w:vertAlign w:val="superscript"/>
        </w:rPr>
        <w:t>+</w:t>
      </w:r>
      <w:r>
        <w:rPr>
          <w:rFonts w:ascii="Times New Roman" w:hAnsi="Times New Roman" w:cs="Times New Roman"/>
          <w:sz w:val="24"/>
        </w:rPr>
        <w:t xml:space="preserve"> were regarded as ILC2 cells (as described by Halim and Takei, 2014).</w:t>
      </w:r>
    </w:p>
    <w:p w14:paraId="362CE2C4" w14:textId="77777777" w:rsidR="00B133C1" w:rsidRDefault="00B133C1">
      <w:pPr>
        <w:rPr>
          <w:rFonts w:ascii="Times New Roman" w:hAnsi="Times New Roman" w:cs="Times New Roman"/>
          <w:sz w:val="24"/>
          <w:szCs w:val="24"/>
        </w:rPr>
      </w:pPr>
    </w:p>
    <w:p w14:paraId="78F75331" w14:textId="0DBEFF08" w:rsidR="00954231" w:rsidRDefault="00954231" w:rsidP="00954231">
      <w:pPr>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Histological preparation and analysis of lung tissue</w:t>
      </w:r>
      <w:r w:rsidRPr="0079462A">
        <w:rPr>
          <w:rFonts w:ascii="Times New Roman" w:hAnsi="Times New Roman" w:cs="Times New Roman"/>
          <w:b/>
          <w:sz w:val="24"/>
        </w:rPr>
        <w:t>:</w:t>
      </w:r>
    </w:p>
    <w:p w14:paraId="05F53E45" w14:textId="6A5C6EAC" w:rsidR="00954231" w:rsidRPr="00954231" w:rsidRDefault="00954231" w:rsidP="00954231">
      <w:pPr>
        <w:autoSpaceDE w:val="0"/>
        <w:autoSpaceDN w:val="0"/>
        <w:adjustRightInd w:val="0"/>
        <w:spacing w:after="0" w:line="480" w:lineRule="auto"/>
        <w:rPr>
          <w:rFonts w:ascii="Times New Roman" w:hAnsi="Times New Roman" w:cs="Times New Roman"/>
          <w:i/>
          <w:sz w:val="24"/>
        </w:rPr>
      </w:pPr>
      <w:r w:rsidRPr="00954231">
        <w:rPr>
          <w:rFonts w:ascii="Times New Roman" w:hAnsi="Times New Roman" w:cs="Times New Roman"/>
          <w:i/>
          <w:sz w:val="24"/>
        </w:rPr>
        <w:t>Histology:</w:t>
      </w:r>
    </w:p>
    <w:p w14:paraId="2C627EEF" w14:textId="77777777" w:rsidR="00954231" w:rsidRPr="00954231" w:rsidRDefault="00954231" w:rsidP="00954231">
      <w:pPr>
        <w:autoSpaceDE w:val="0"/>
        <w:autoSpaceDN w:val="0"/>
        <w:adjustRightInd w:val="0"/>
        <w:spacing w:after="0" w:line="480" w:lineRule="auto"/>
        <w:rPr>
          <w:rFonts w:ascii="Times New Roman" w:hAnsi="Times New Roman" w:cs="Times New Roman"/>
          <w:sz w:val="24"/>
        </w:rPr>
      </w:pPr>
      <w:r w:rsidRPr="00954231">
        <w:rPr>
          <w:rFonts w:ascii="Times New Roman" w:hAnsi="Times New Roman" w:cs="Times New Roman"/>
          <w:sz w:val="24"/>
        </w:rPr>
        <w:t xml:space="preserve">The left lung lobe was inflation-fixed with 4% paraformaldehyde. Single blocks were dehydrated through ascending grades of industrial methylated spirit (IMS), cleared with xylene and embedded in paraffin wax. Sections were cut at approximately 4µm, dried overnight, dewaxed in xylene, washed in IMS followed by running tap water and stained with Alcian Blue/Periodic Acid Schiff (AB/PAS). The slides were assessed using an Olympus BX41 microscope, scanned on an Aperio scanner and viewed and photographed using a Spectrum digital imaging system (Aperio). </w:t>
      </w:r>
    </w:p>
    <w:p w14:paraId="480074B4" w14:textId="77777777" w:rsidR="00954231" w:rsidRPr="00954231" w:rsidRDefault="00954231" w:rsidP="00954231">
      <w:pPr>
        <w:autoSpaceDE w:val="0"/>
        <w:autoSpaceDN w:val="0"/>
        <w:adjustRightInd w:val="0"/>
        <w:spacing w:after="0" w:line="480" w:lineRule="auto"/>
        <w:rPr>
          <w:rFonts w:ascii="Times New Roman" w:hAnsi="Times New Roman" w:cs="Times New Roman"/>
          <w:b/>
          <w:sz w:val="24"/>
        </w:rPr>
      </w:pPr>
    </w:p>
    <w:p w14:paraId="548A06AA" w14:textId="09BD30E2" w:rsidR="00954231" w:rsidRPr="00954231" w:rsidRDefault="00954231" w:rsidP="00954231">
      <w:pPr>
        <w:autoSpaceDE w:val="0"/>
        <w:autoSpaceDN w:val="0"/>
        <w:adjustRightInd w:val="0"/>
        <w:spacing w:after="0" w:line="480" w:lineRule="auto"/>
        <w:rPr>
          <w:rFonts w:ascii="Times New Roman" w:hAnsi="Times New Roman" w:cs="Times New Roman"/>
          <w:i/>
          <w:sz w:val="24"/>
        </w:rPr>
      </w:pPr>
      <w:r w:rsidRPr="00954231">
        <w:rPr>
          <w:rFonts w:ascii="Times New Roman" w:hAnsi="Times New Roman" w:cs="Times New Roman"/>
          <w:i/>
          <w:sz w:val="24"/>
        </w:rPr>
        <w:t>Immunohistochemistry:</w:t>
      </w:r>
    </w:p>
    <w:p w14:paraId="734A9FC8" w14:textId="4E2E8977" w:rsidR="00954231" w:rsidRDefault="00954231" w:rsidP="00954231">
      <w:pPr>
        <w:autoSpaceDE w:val="0"/>
        <w:autoSpaceDN w:val="0"/>
        <w:adjustRightInd w:val="0"/>
        <w:spacing w:after="0" w:line="480" w:lineRule="auto"/>
        <w:rPr>
          <w:rFonts w:ascii="Times New Roman" w:hAnsi="Times New Roman" w:cs="Times New Roman"/>
          <w:sz w:val="24"/>
        </w:rPr>
      </w:pPr>
      <w:r w:rsidRPr="00954231">
        <w:rPr>
          <w:rFonts w:ascii="Times New Roman" w:hAnsi="Times New Roman" w:cs="Times New Roman"/>
          <w:sz w:val="24"/>
        </w:rPr>
        <w:t>Paraformaldehyde fixed, paraffin-embedded sections were cut at approximately 4µm, air dried overnight and placed in an incubator, at 60ᵒ for 10 minutes. Sections were dewaxed in xylene, washed in IMS followed by running tap water. Antigen retrieval was performed with EDTA in a microwave for 10 minutes and cooled for 20 minutes. After washing in running tap water and Tris buffered saline (TBS) a REAL peroxidase block (Dako, S2023) was applied for 15 minutes. Following a TBS wash, a mouse on mouse block (ab12755, Abcam) was used for 30 minutes. After another TBS wash the primary antibody (anti-IL33 [Nessy-1], mouse monoclonal, protein concentration: 1000µg/ml, ab54385, Abcam) was applied for 1 hour. Extra sections were used as isotype controls and incubated with the same concentration of mouse IgG1 (Dako). The secondary antibody (anti-mouse HRP polymer, ab127055, Abcam) was applied for 30 minutes and following a TBS wash the reaction was visualised using DAB (Dako, 3468) and counterstained with haematoxylin. The sections were dehydrated in 2x2 minutes of IMS, cleared using 2x2 minutes in xylene and mounted in VWR Merck Entellan. The slides were assessed using an Olympus BX41 microscope, scanned on an Aperio scanner and viewed and photographed using a Spectrum digital imaging system (Aperio).</w:t>
      </w:r>
    </w:p>
    <w:p w14:paraId="06889CB3" w14:textId="1D3E6CEA" w:rsidR="00954231" w:rsidRDefault="00954231" w:rsidP="00954231">
      <w:pPr>
        <w:autoSpaceDE w:val="0"/>
        <w:autoSpaceDN w:val="0"/>
        <w:adjustRightInd w:val="0"/>
        <w:spacing w:after="0" w:line="480" w:lineRule="auto"/>
        <w:rPr>
          <w:rFonts w:ascii="Times New Roman" w:hAnsi="Times New Roman" w:cs="Times New Roman"/>
          <w:sz w:val="24"/>
        </w:rPr>
      </w:pPr>
    </w:p>
    <w:p w14:paraId="7EE51C5A" w14:textId="367DB69C" w:rsidR="0030145D" w:rsidRDefault="0030145D" w:rsidP="00954231">
      <w:pPr>
        <w:autoSpaceDE w:val="0"/>
        <w:autoSpaceDN w:val="0"/>
        <w:adjustRightInd w:val="0"/>
        <w:spacing w:after="0" w:line="480" w:lineRule="auto"/>
        <w:rPr>
          <w:rFonts w:ascii="Times New Roman" w:hAnsi="Times New Roman" w:cs="Times New Roman"/>
          <w:sz w:val="24"/>
        </w:rPr>
      </w:pPr>
    </w:p>
    <w:p w14:paraId="0FD359B7" w14:textId="3A256931" w:rsidR="0030145D" w:rsidRDefault="0030145D" w:rsidP="00954231">
      <w:pPr>
        <w:autoSpaceDE w:val="0"/>
        <w:autoSpaceDN w:val="0"/>
        <w:adjustRightInd w:val="0"/>
        <w:spacing w:after="0" w:line="480" w:lineRule="auto"/>
        <w:rPr>
          <w:rFonts w:ascii="Times New Roman" w:hAnsi="Times New Roman" w:cs="Times New Roman"/>
          <w:sz w:val="24"/>
        </w:rPr>
      </w:pPr>
    </w:p>
    <w:p w14:paraId="484160FB" w14:textId="77777777" w:rsidR="0030145D" w:rsidRDefault="0030145D" w:rsidP="00954231">
      <w:pPr>
        <w:autoSpaceDE w:val="0"/>
        <w:autoSpaceDN w:val="0"/>
        <w:adjustRightInd w:val="0"/>
        <w:spacing w:after="0" w:line="480" w:lineRule="auto"/>
        <w:rPr>
          <w:rFonts w:ascii="Times New Roman" w:hAnsi="Times New Roman" w:cs="Times New Roman"/>
          <w:sz w:val="24"/>
        </w:rPr>
      </w:pPr>
    </w:p>
    <w:p w14:paraId="41F03A4C" w14:textId="708F75C9" w:rsidR="00954231" w:rsidRPr="00954231" w:rsidRDefault="00954231" w:rsidP="00954231">
      <w:pPr>
        <w:autoSpaceDE w:val="0"/>
        <w:autoSpaceDN w:val="0"/>
        <w:adjustRightInd w:val="0"/>
        <w:spacing w:after="0" w:line="480" w:lineRule="auto"/>
        <w:rPr>
          <w:rFonts w:ascii="Times New Roman" w:hAnsi="Times New Roman" w:cs="Times New Roman"/>
          <w:i/>
          <w:sz w:val="24"/>
        </w:rPr>
      </w:pPr>
      <w:r w:rsidRPr="00954231">
        <w:rPr>
          <w:rFonts w:ascii="Times New Roman" w:hAnsi="Times New Roman" w:cs="Times New Roman"/>
          <w:i/>
          <w:sz w:val="24"/>
        </w:rPr>
        <w:t>Histological scoring:</w:t>
      </w:r>
    </w:p>
    <w:p w14:paraId="1D87AB53" w14:textId="01B0FDC3" w:rsidR="00C560C6" w:rsidRDefault="00C560C6" w:rsidP="0095423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Goblet cell metaplasia:</w:t>
      </w:r>
    </w:p>
    <w:p w14:paraId="1E5BA5ED" w14:textId="39E7325C" w:rsidR="00A82653" w:rsidRPr="00A82653" w:rsidRDefault="00A82653" w:rsidP="00954231">
      <w:pPr>
        <w:autoSpaceDE w:val="0"/>
        <w:autoSpaceDN w:val="0"/>
        <w:adjustRightInd w:val="0"/>
        <w:spacing w:after="0" w:line="480" w:lineRule="auto"/>
        <w:rPr>
          <w:rFonts w:ascii="Times New Roman" w:hAnsi="Times New Roman" w:cs="Times New Roman"/>
          <w:sz w:val="24"/>
        </w:rPr>
      </w:pPr>
      <w:r w:rsidRPr="00A82653">
        <w:rPr>
          <w:rFonts w:ascii="Times New Roman" w:hAnsi="Times New Roman" w:cs="Times New Roman"/>
          <w:sz w:val="24"/>
        </w:rPr>
        <w:t>Using AB/PAS staining, the number of goblet cells in the proximal airways was graded using a 3-point scale: +: minimal numbers; ++: slight increase in numbers; +++ moderate increase in numbers.</w:t>
      </w:r>
    </w:p>
    <w:p w14:paraId="78C44878" w14:textId="77777777" w:rsidR="00C560C6" w:rsidRDefault="00C560C6" w:rsidP="00954231">
      <w:pPr>
        <w:autoSpaceDE w:val="0"/>
        <w:autoSpaceDN w:val="0"/>
        <w:adjustRightInd w:val="0"/>
        <w:spacing w:after="0" w:line="480" w:lineRule="auto"/>
        <w:rPr>
          <w:rFonts w:ascii="Times New Roman" w:hAnsi="Times New Roman" w:cs="Times New Roman"/>
          <w:sz w:val="24"/>
        </w:rPr>
      </w:pPr>
    </w:p>
    <w:p w14:paraId="37F94316" w14:textId="4AA69535" w:rsidR="00954231" w:rsidRDefault="00954231" w:rsidP="00954231">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IL-33 expression:</w:t>
      </w:r>
    </w:p>
    <w:p w14:paraId="73B6EF63" w14:textId="7367F33E" w:rsidR="00954231" w:rsidRPr="00954231" w:rsidRDefault="00C560C6" w:rsidP="00C560C6">
      <w:pPr>
        <w:autoSpaceDE w:val="0"/>
        <w:autoSpaceDN w:val="0"/>
        <w:adjustRightInd w:val="0"/>
        <w:spacing w:after="0" w:line="480" w:lineRule="auto"/>
        <w:rPr>
          <w:rFonts w:ascii="Times New Roman" w:hAnsi="Times New Roman" w:cs="Times New Roman"/>
          <w:sz w:val="24"/>
        </w:rPr>
      </w:pPr>
      <w:r w:rsidRPr="00C560C6">
        <w:rPr>
          <w:rFonts w:ascii="Times New Roman" w:hAnsi="Times New Roman" w:cs="Times New Roman"/>
          <w:sz w:val="24"/>
        </w:rPr>
        <w:t>Immunoreactivity (IR)</w:t>
      </w:r>
      <w:r>
        <w:rPr>
          <w:rFonts w:ascii="Times New Roman" w:hAnsi="Times New Roman" w:cs="Times New Roman"/>
          <w:sz w:val="24"/>
        </w:rPr>
        <w:t xml:space="preserve"> in randomised slides sets was</w:t>
      </w:r>
      <w:r w:rsidRPr="00C560C6">
        <w:rPr>
          <w:rFonts w:ascii="Times New Roman" w:hAnsi="Times New Roman" w:cs="Times New Roman"/>
          <w:sz w:val="24"/>
        </w:rPr>
        <w:t xml:space="preserve"> graded</w:t>
      </w:r>
      <w:r>
        <w:rPr>
          <w:rFonts w:ascii="Times New Roman" w:hAnsi="Times New Roman" w:cs="Times New Roman"/>
          <w:sz w:val="24"/>
        </w:rPr>
        <w:t xml:space="preserve"> based</w:t>
      </w:r>
      <w:r w:rsidRPr="00C560C6">
        <w:rPr>
          <w:rFonts w:ascii="Times New Roman" w:hAnsi="Times New Roman" w:cs="Times New Roman"/>
          <w:sz w:val="24"/>
        </w:rPr>
        <w:t xml:space="preserve"> on a </w:t>
      </w:r>
      <w:bookmarkStart w:id="0" w:name="OLE_LINK1"/>
      <w:r w:rsidRPr="00C560C6">
        <w:rPr>
          <w:rFonts w:ascii="Times New Roman" w:hAnsi="Times New Roman" w:cs="Times New Roman"/>
          <w:sz w:val="24"/>
        </w:rPr>
        <w:t>4-point scale: +=minimal; ++slight; +++moderate; ++++marked.</w:t>
      </w:r>
      <w:bookmarkEnd w:id="0"/>
    </w:p>
    <w:p w14:paraId="5F9CA47B" w14:textId="77777777" w:rsidR="00954231" w:rsidRDefault="00954231">
      <w:pPr>
        <w:rPr>
          <w:rFonts w:ascii="Times New Roman" w:hAnsi="Times New Roman" w:cs="Times New Roman"/>
          <w:sz w:val="24"/>
          <w:szCs w:val="24"/>
        </w:rPr>
      </w:pPr>
    </w:p>
    <w:p w14:paraId="7304555D" w14:textId="761344F6" w:rsidR="002753BE" w:rsidRDefault="007F47F1">
      <w:pPr>
        <w:rPr>
          <w:rFonts w:ascii="Times New Roman" w:hAnsi="Times New Roman" w:cs="Times New Roman"/>
          <w:sz w:val="24"/>
          <w:szCs w:val="24"/>
        </w:rPr>
      </w:pPr>
      <w:r w:rsidRPr="007F47F1">
        <w:rPr>
          <w:noProof/>
          <w:lang w:eastAsia="en-GB"/>
        </w:rPr>
        <w:drawing>
          <wp:anchor distT="0" distB="0" distL="114300" distR="114300" simplePos="0" relativeHeight="251693056" behindDoc="1" locked="0" layoutInCell="1" allowOverlap="1" wp14:anchorId="29C7F544" wp14:editId="76BF3F95">
            <wp:simplePos x="0" y="0"/>
            <wp:positionH relativeFrom="column">
              <wp:posOffset>-133350</wp:posOffset>
            </wp:positionH>
            <wp:positionV relativeFrom="paragraph">
              <wp:posOffset>323850</wp:posOffset>
            </wp:positionV>
            <wp:extent cx="6066790" cy="2971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2266" cy="2974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3BE">
        <w:rPr>
          <w:rFonts w:ascii="Times New Roman" w:hAnsi="Times New Roman" w:cs="Times New Roman"/>
          <w:sz w:val="24"/>
          <w:szCs w:val="24"/>
        </w:rPr>
        <w:t>Supplementary Figure E1:</w:t>
      </w:r>
    </w:p>
    <w:p w14:paraId="6888AE02" w14:textId="58DECAB4" w:rsidR="00AC214A" w:rsidRDefault="00AC214A">
      <w:pPr>
        <w:rPr>
          <w:noProof/>
          <w:lang w:eastAsia="en-GB"/>
        </w:rPr>
      </w:pPr>
    </w:p>
    <w:p w14:paraId="2D62CF58" w14:textId="77777777" w:rsidR="007F47F1" w:rsidRDefault="007F47F1">
      <w:pPr>
        <w:rPr>
          <w:noProof/>
          <w:lang w:eastAsia="en-GB"/>
        </w:rPr>
      </w:pPr>
    </w:p>
    <w:p w14:paraId="42B94054" w14:textId="77777777" w:rsidR="007F47F1" w:rsidRDefault="007F47F1">
      <w:pPr>
        <w:rPr>
          <w:noProof/>
          <w:lang w:eastAsia="en-GB"/>
        </w:rPr>
      </w:pPr>
    </w:p>
    <w:p w14:paraId="57E5BCCB" w14:textId="77777777" w:rsidR="007F47F1" w:rsidRDefault="007F47F1">
      <w:pPr>
        <w:rPr>
          <w:noProof/>
          <w:lang w:eastAsia="en-GB"/>
        </w:rPr>
      </w:pPr>
    </w:p>
    <w:p w14:paraId="23888F44" w14:textId="77777777" w:rsidR="007F47F1" w:rsidRDefault="007F47F1">
      <w:pPr>
        <w:rPr>
          <w:noProof/>
          <w:lang w:eastAsia="en-GB"/>
        </w:rPr>
      </w:pPr>
    </w:p>
    <w:p w14:paraId="48ECDD2C" w14:textId="77777777" w:rsidR="007F47F1" w:rsidRDefault="007F47F1">
      <w:pPr>
        <w:rPr>
          <w:noProof/>
          <w:lang w:eastAsia="en-GB"/>
        </w:rPr>
      </w:pPr>
    </w:p>
    <w:p w14:paraId="41EDC709" w14:textId="77777777" w:rsidR="007F47F1" w:rsidRDefault="007F47F1">
      <w:pPr>
        <w:rPr>
          <w:noProof/>
          <w:lang w:eastAsia="en-GB"/>
        </w:rPr>
      </w:pPr>
    </w:p>
    <w:p w14:paraId="59F98D3E" w14:textId="77777777" w:rsidR="007F47F1" w:rsidRDefault="007F47F1">
      <w:pPr>
        <w:rPr>
          <w:noProof/>
          <w:lang w:eastAsia="en-GB"/>
        </w:rPr>
      </w:pPr>
    </w:p>
    <w:p w14:paraId="55AC6FB8" w14:textId="77777777" w:rsidR="007F47F1" w:rsidRDefault="007F47F1">
      <w:pPr>
        <w:rPr>
          <w:noProof/>
          <w:lang w:eastAsia="en-GB"/>
        </w:rPr>
      </w:pPr>
    </w:p>
    <w:p w14:paraId="7850AF13" w14:textId="77777777" w:rsidR="00A34B63" w:rsidRDefault="00A34B63">
      <w:pPr>
        <w:rPr>
          <w:rFonts w:ascii="Times New Roman" w:hAnsi="Times New Roman" w:cs="Times New Roman"/>
          <w:noProof/>
          <w:sz w:val="24"/>
          <w:lang w:eastAsia="en-GB"/>
        </w:rPr>
      </w:pPr>
    </w:p>
    <w:p w14:paraId="3F36E011" w14:textId="77777777" w:rsidR="00AC214A" w:rsidRPr="003870A2" w:rsidRDefault="003870A2">
      <w:pPr>
        <w:rPr>
          <w:rFonts w:ascii="Times New Roman" w:hAnsi="Times New Roman" w:cs="Times New Roman"/>
          <w:noProof/>
          <w:sz w:val="24"/>
          <w:lang w:eastAsia="en-GB"/>
        </w:rPr>
      </w:pPr>
      <w:r>
        <w:rPr>
          <w:rFonts w:ascii="Times New Roman" w:hAnsi="Times New Roman" w:cs="Times New Roman"/>
          <w:noProof/>
          <w:sz w:val="24"/>
          <w:lang w:eastAsia="en-GB"/>
        </w:rPr>
        <w:t>Supplementary Figure E1 legend:</w:t>
      </w:r>
    </w:p>
    <w:p w14:paraId="373EAFB0" w14:textId="77777777" w:rsidR="00A62A1F" w:rsidRDefault="000B2E83" w:rsidP="00A62A1F">
      <w:pPr>
        <w:spacing w:after="0" w:line="480" w:lineRule="auto"/>
        <w:rPr>
          <w:rFonts w:ascii="Times New Roman" w:hAnsi="Times New Roman" w:cs="Times New Roman"/>
          <w:sz w:val="24"/>
        </w:rPr>
      </w:pPr>
      <w:r>
        <w:rPr>
          <w:rFonts w:ascii="Times New Roman" w:hAnsi="Times New Roman" w:cs="Times New Roman"/>
          <w:sz w:val="24"/>
        </w:rPr>
        <w:t>HDM re-challenge initiated a complex lymphocyte response in the BAL and lungs. Most cell types in BAL peaked at day 7 post HDM re-challenge, but significant numbers were prese</w:t>
      </w:r>
      <w:r w:rsidR="008C2199">
        <w:rPr>
          <w:rFonts w:ascii="Times New Roman" w:hAnsi="Times New Roman" w:cs="Times New Roman"/>
          <w:sz w:val="24"/>
        </w:rPr>
        <w:t>nt at day 3. In general, significant numbers of CD4</w:t>
      </w:r>
      <w:r w:rsidR="008C2199" w:rsidRPr="008C2199">
        <w:rPr>
          <w:rFonts w:ascii="Times New Roman" w:hAnsi="Times New Roman" w:cs="Times New Roman"/>
          <w:sz w:val="24"/>
          <w:vertAlign w:val="superscript"/>
        </w:rPr>
        <w:t>+</w:t>
      </w:r>
      <w:r w:rsidR="008C2199">
        <w:rPr>
          <w:rFonts w:ascii="Times New Roman" w:hAnsi="Times New Roman" w:cs="Times New Roman"/>
          <w:sz w:val="24"/>
        </w:rPr>
        <w:t xml:space="preserve"> cells were present in lung tissue at day 3 in mice re-challenged to HDM compared </w:t>
      </w:r>
      <w:r w:rsidR="00E25F94">
        <w:rPr>
          <w:rFonts w:ascii="Times New Roman" w:hAnsi="Times New Roman" w:cs="Times New Roman"/>
          <w:sz w:val="24"/>
        </w:rPr>
        <w:t xml:space="preserve">to </w:t>
      </w:r>
      <w:r w:rsidR="008C2199">
        <w:rPr>
          <w:rFonts w:ascii="Times New Roman" w:hAnsi="Times New Roman" w:cs="Times New Roman"/>
          <w:sz w:val="24"/>
        </w:rPr>
        <w:t xml:space="preserve">saline controls. However, there did not appear to be any difference between saline and HDM re-challenged mice in terms of </w:t>
      </w:r>
      <w:r w:rsidR="00E25F94">
        <w:rPr>
          <w:rFonts w:ascii="Times New Roman" w:hAnsi="Times New Roman" w:cs="Times New Roman"/>
          <w:sz w:val="24"/>
        </w:rPr>
        <w:t xml:space="preserve">lung </w:t>
      </w:r>
      <w:r w:rsidR="008C2199">
        <w:rPr>
          <w:rFonts w:ascii="Times New Roman" w:hAnsi="Times New Roman" w:cs="Times New Roman"/>
          <w:sz w:val="24"/>
        </w:rPr>
        <w:t>CD8</w:t>
      </w:r>
      <w:r w:rsidR="008C2199" w:rsidRPr="008C2199">
        <w:rPr>
          <w:rFonts w:ascii="Times New Roman" w:hAnsi="Times New Roman" w:cs="Times New Roman"/>
          <w:sz w:val="24"/>
          <w:vertAlign w:val="superscript"/>
        </w:rPr>
        <w:t>+</w:t>
      </w:r>
      <w:r w:rsidR="008C2199">
        <w:rPr>
          <w:rFonts w:ascii="Times New Roman" w:hAnsi="Times New Roman" w:cs="Times New Roman"/>
          <w:sz w:val="24"/>
        </w:rPr>
        <w:t xml:space="preserve"> lymphocytes throughout the time-course investigated. NK cells</w:t>
      </w:r>
      <w:r w:rsidR="007F7448">
        <w:rPr>
          <w:rFonts w:ascii="Times New Roman" w:hAnsi="Times New Roman" w:cs="Times New Roman"/>
          <w:sz w:val="24"/>
        </w:rPr>
        <w:t xml:space="preserve"> in the lungs of mice re-challenged with HDM</w:t>
      </w:r>
      <w:r w:rsidR="008C2199">
        <w:rPr>
          <w:rFonts w:ascii="Times New Roman" w:hAnsi="Times New Roman" w:cs="Times New Roman"/>
          <w:sz w:val="24"/>
        </w:rPr>
        <w:t xml:space="preserve"> </w:t>
      </w:r>
      <w:r w:rsidR="007F7448">
        <w:rPr>
          <w:rFonts w:ascii="Times New Roman" w:hAnsi="Times New Roman" w:cs="Times New Roman"/>
          <w:sz w:val="24"/>
        </w:rPr>
        <w:t xml:space="preserve">were </w:t>
      </w:r>
      <w:r w:rsidR="008C2199">
        <w:rPr>
          <w:rFonts w:ascii="Times New Roman" w:hAnsi="Times New Roman" w:cs="Times New Roman"/>
          <w:sz w:val="24"/>
        </w:rPr>
        <w:t xml:space="preserve">significantly different to saline </w:t>
      </w:r>
      <w:r w:rsidR="007F7448">
        <w:rPr>
          <w:rFonts w:ascii="Times New Roman" w:hAnsi="Times New Roman" w:cs="Times New Roman"/>
          <w:sz w:val="24"/>
        </w:rPr>
        <w:t xml:space="preserve">challenged </w:t>
      </w:r>
      <w:r w:rsidR="008C2199">
        <w:rPr>
          <w:rFonts w:ascii="Times New Roman" w:hAnsi="Times New Roman" w:cs="Times New Roman"/>
          <w:sz w:val="24"/>
        </w:rPr>
        <w:t>animals only at the day 7 time-point post HDM re-challenge.</w:t>
      </w:r>
      <w:r w:rsidR="00A62A1F">
        <w:rPr>
          <w:rFonts w:ascii="Times New Roman" w:hAnsi="Times New Roman" w:cs="Times New Roman"/>
          <w:sz w:val="24"/>
        </w:rPr>
        <w:t xml:space="preserve"> (n=4 per time-point for saline controls and 6 for HDM re-challenged group). *p&lt;0.05, **p&lt;0.01, ***p&lt;0.001, compared to saline controls.</w:t>
      </w:r>
    </w:p>
    <w:p w14:paraId="60C94EFD" w14:textId="77777777" w:rsidR="00A62A1F" w:rsidRDefault="00A62A1F">
      <w:pPr>
        <w:rPr>
          <w:noProof/>
          <w:lang w:eastAsia="en-GB"/>
        </w:rPr>
      </w:pPr>
    </w:p>
    <w:p w14:paraId="25E83194" w14:textId="76003048" w:rsidR="00AC214A" w:rsidRDefault="00C3051B">
      <w:pPr>
        <w:rPr>
          <w:rFonts w:ascii="Times New Roman" w:hAnsi="Times New Roman" w:cs="Times New Roman"/>
          <w:noProof/>
          <w:sz w:val="24"/>
          <w:lang w:eastAsia="en-GB"/>
        </w:rPr>
      </w:pPr>
      <w:r w:rsidRPr="001B17E1">
        <w:rPr>
          <w:noProof/>
        </w:rPr>
        <w:drawing>
          <wp:anchor distT="0" distB="0" distL="114300" distR="114300" simplePos="0" relativeHeight="251694080" behindDoc="0" locked="0" layoutInCell="1" allowOverlap="1" wp14:anchorId="11330EC6" wp14:editId="58E81016">
            <wp:simplePos x="0" y="0"/>
            <wp:positionH relativeFrom="margin">
              <wp:posOffset>1314450</wp:posOffset>
            </wp:positionH>
            <wp:positionV relativeFrom="paragraph">
              <wp:posOffset>324485</wp:posOffset>
            </wp:positionV>
            <wp:extent cx="2962275" cy="3405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213" cy="3410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CB0">
        <w:rPr>
          <w:rFonts w:ascii="Times New Roman" w:hAnsi="Times New Roman" w:cs="Times New Roman"/>
          <w:noProof/>
          <w:sz w:val="24"/>
          <w:lang w:eastAsia="en-GB"/>
        </w:rPr>
        <w:t>Supplementary Figure E2:</w:t>
      </w:r>
    </w:p>
    <w:p w14:paraId="6C060823" w14:textId="56BD253F" w:rsidR="0033483E" w:rsidRDefault="00594093">
      <w:pPr>
        <w:rPr>
          <w:rFonts w:ascii="Times New Roman" w:hAnsi="Times New Roman" w:cs="Times New Roman"/>
          <w:noProof/>
          <w:sz w:val="24"/>
          <w:lang w:eastAsia="en-GB"/>
        </w:rPr>
      </w:pPr>
      <w:r>
        <w:rPr>
          <w:rFonts w:ascii="Times New Roman" w:hAnsi="Times New Roman" w:cs="Times New Roman"/>
          <w:noProof/>
          <w:sz w:val="24"/>
          <w:lang w:eastAsia="en-GB"/>
        </w:rPr>
        <w:t xml:space="preserve"> </w:t>
      </w:r>
    </w:p>
    <w:p w14:paraId="61E11011" w14:textId="45D81027" w:rsidR="0033483E" w:rsidRDefault="0033483E">
      <w:pPr>
        <w:rPr>
          <w:rFonts w:ascii="Times New Roman" w:hAnsi="Times New Roman" w:cs="Times New Roman"/>
          <w:noProof/>
          <w:sz w:val="24"/>
          <w:lang w:eastAsia="en-GB"/>
        </w:rPr>
      </w:pPr>
    </w:p>
    <w:p w14:paraId="12324AEC" w14:textId="017EBC08" w:rsidR="0033483E" w:rsidRDefault="0033483E">
      <w:pPr>
        <w:rPr>
          <w:rFonts w:ascii="Times New Roman" w:hAnsi="Times New Roman" w:cs="Times New Roman"/>
          <w:noProof/>
          <w:sz w:val="24"/>
          <w:lang w:eastAsia="en-GB"/>
        </w:rPr>
      </w:pPr>
    </w:p>
    <w:p w14:paraId="2E71050B" w14:textId="56B8911F" w:rsidR="0033483E" w:rsidRDefault="0033483E">
      <w:pPr>
        <w:rPr>
          <w:rFonts w:ascii="Times New Roman" w:hAnsi="Times New Roman" w:cs="Times New Roman"/>
          <w:noProof/>
          <w:sz w:val="24"/>
          <w:lang w:eastAsia="en-GB"/>
        </w:rPr>
      </w:pPr>
    </w:p>
    <w:p w14:paraId="40DB5182" w14:textId="58EC3EB0" w:rsidR="0033483E" w:rsidRDefault="0033483E">
      <w:pPr>
        <w:rPr>
          <w:rFonts w:ascii="Times New Roman" w:hAnsi="Times New Roman" w:cs="Times New Roman"/>
          <w:noProof/>
          <w:sz w:val="24"/>
          <w:lang w:eastAsia="en-GB"/>
        </w:rPr>
      </w:pPr>
    </w:p>
    <w:p w14:paraId="38D2D240" w14:textId="12A21BFE" w:rsidR="0033483E" w:rsidRDefault="0033483E">
      <w:pPr>
        <w:rPr>
          <w:rFonts w:ascii="Times New Roman" w:hAnsi="Times New Roman" w:cs="Times New Roman"/>
          <w:noProof/>
          <w:sz w:val="24"/>
          <w:lang w:eastAsia="en-GB"/>
        </w:rPr>
      </w:pPr>
    </w:p>
    <w:p w14:paraId="0AD8BBEB" w14:textId="4C8C48FA" w:rsidR="0033483E" w:rsidRDefault="0033483E">
      <w:pPr>
        <w:rPr>
          <w:rFonts w:ascii="Times New Roman" w:hAnsi="Times New Roman" w:cs="Times New Roman"/>
          <w:noProof/>
          <w:sz w:val="24"/>
          <w:lang w:eastAsia="en-GB"/>
        </w:rPr>
      </w:pPr>
    </w:p>
    <w:p w14:paraId="57C2C34C" w14:textId="1ED5C11E" w:rsidR="0063279B" w:rsidRDefault="00594093">
      <w:pPr>
        <w:rPr>
          <w:rFonts w:ascii="Times New Roman" w:hAnsi="Times New Roman" w:cs="Times New Roman"/>
          <w:noProof/>
          <w:sz w:val="24"/>
          <w:lang w:eastAsia="en-GB"/>
        </w:rPr>
      </w:pPr>
      <w:r>
        <w:rPr>
          <w:rFonts w:ascii="Times New Roman" w:hAnsi="Times New Roman" w:cs="Times New Roman"/>
          <w:noProof/>
          <w:sz w:val="24"/>
          <w:lang w:eastAsia="en-GB"/>
        </w:rPr>
        <w:t xml:space="preserve">                       </w:t>
      </w:r>
    </w:p>
    <w:p w14:paraId="65CB0DDA" w14:textId="77777777" w:rsidR="0063279B" w:rsidRDefault="0063279B">
      <w:pPr>
        <w:rPr>
          <w:rFonts w:ascii="Times New Roman" w:hAnsi="Times New Roman" w:cs="Times New Roman"/>
          <w:noProof/>
          <w:sz w:val="24"/>
          <w:lang w:eastAsia="en-GB"/>
        </w:rPr>
      </w:pPr>
    </w:p>
    <w:p w14:paraId="33F86EF9" w14:textId="77777777" w:rsidR="0033483E" w:rsidRDefault="0033483E">
      <w:pPr>
        <w:rPr>
          <w:rFonts w:ascii="Times New Roman" w:hAnsi="Times New Roman" w:cs="Times New Roman"/>
          <w:noProof/>
          <w:sz w:val="24"/>
          <w:lang w:eastAsia="en-GB"/>
        </w:rPr>
      </w:pPr>
    </w:p>
    <w:p w14:paraId="681102B0" w14:textId="77777777" w:rsidR="0033483E" w:rsidRDefault="0033483E">
      <w:pPr>
        <w:rPr>
          <w:rFonts w:ascii="Times New Roman" w:hAnsi="Times New Roman" w:cs="Times New Roman"/>
          <w:noProof/>
          <w:sz w:val="24"/>
          <w:lang w:eastAsia="en-GB"/>
        </w:rPr>
      </w:pPr>
    </w:p>
    <w:p w14:paraId="39DF5CD5" w14:textId="77777777" w:rsidR="003870A2" w:rsidRDefault="003870A2">
      <w:pPr>
        <w:rPr>
          <w:rFonts w:ascii="Times New Roman" w:hAnsi="Times New Roman" w:cs="Times New Roman"/>
          <w:noProof/>
          <w:sz w:val="24"/>
          <w:lang w:eastAsia="en-GB"/>
        </w:rPr>
      </w:pPr>
      <w:r>
        <w:rPr>
          <w:rFonts w:ascii="Times New Roman" w:hAnsi="Times New Roman" w:cs="Times New Roman"/>
          <w:noProof/>
          <w:sz w:val="24"/>
          <w:lang w:eastAsia="en-GB"/>
        </w:rPr>
        <w:t>Supplementary Figure E2 legend:</w:t>
      </w:r>
    </w:p>
    <w:p w14:paraId="48F91BCA" w14:textId="77777777" w:rsidR="0026036D" w:rsidRDefault="0026036D" w:rsidP="002257E6">
      <w:pPr>
        <w:spacing w:after="0" w:line="480" w:lineRule="auto"/>
        <w:rPr>
          <w:rFonts w:ascii="Times New Roman" w:hAnsi="Times New Roman" w:cs="Times New Roman"/>
          <w:noProof/>
          <w:sz w:val="24"/>
          <w:lang w:eastAsia="en-GB"/>
        </w:rPr>
      </w:pPr>
      <w:r>
        <w:rPr>
          <w:rFonts w:ascii="Times New Roman" w:hAnsi="Times New Roman" w:cs="Times New Roman"/>
          <w:noProof/>
          <w:sz w:val="24"/>
          <w:lang w:eastAsia="en-GB"/>
        </w:rPr>
        <w:t xml:space="preserve">Effect of PI-3065, </w:t>
      </w:r>
      <w:r w:rsidR="00563B34">
        <w:rPr>
          <w:rFonts w:ascii="Times New Roman" w:hAnsi="Times New Roman" w:cs="Times New Roman"/>
          <w:noProof/>
          <w:sz w:val="24"/>
          <w:lang w:eastAsia="en-GB"/>
        </w:rPr>
        <w:t>montelukast and anti-IL-5 antibody on numbers of lung resident Siglec-F</w:t>
      </w:r>
      <w:r w:rsidR="00563B34" w:rsidRPr="00563B34">
        <w:rPr>
          <w:rFonts w:ascii="Times New Roman" w:hAnsi="Times New Roman" w:cs="Times New Roman"/>
          <w:noProof/>
          <w:sz w:val="24"/>
          <w:vertAlign w:val="superscript"/>
          <w:lang w:eastAsia="en-GB"/>
        </w:rPr>
        <w:t>int</w:t>
      </w:r>
      <w:r w:rsidR="00563B34">
        <w:rPr>
          <w:rFonts w:ascii="Times New Roman" w:hAnsi="Times New Roman" w:cs="Times New Roman"/>
          <w:noProof/>
          <w:sz w:val="24"/>
          <w:lang w:eastAsia="en-GB"/>
        </w:rPr>
        <w:t xml:space="preserve"> eosinophils.</w:t>
      </w:r>
      <w:r w:rsidR="002257E6">
        <w:rPr>
          <w:rFonts w:ascii="Times New Roman" w:hAnsi="Times New Roman" w:cs="Times New Roman"/>
          <w:noProof/>
          <w:sz w:val="24"/>
          <w:lang w:eastAsia="en-GB"/>
        </w:rPr>
        <w:t xml:space="preserve"> Samples analysed at 24 hours post HDM re-challenge. Treatments did not significantly alter the numbers of lung resident eosinophils</w:t>
      </w:r>
      <w:r w:rsidR="00F02A50">
        <w:rPr>
          <w:rFonts w:ascii="Times New Roman" w:hAnsi="Times New Roman" w:cs="Times New Roman"/>
          <w:noProof/>
          <w:sz w:val="24"/>
          <w:lang w:eastAsia="en-GB"/>
        </w:rPr>
        <w:t xml:space="preserve"> compared to their respective control groups</w:t>
      </w:r>
      <w:r w:rsidR="002257E6">
        <w:rPr>
          <w:rFonts w:ascii="Times New Roman" w:hAnsi="Times New Roman" w:cs="Times New Roman"/>
          <w:noProof/>
          <w:sz w:val="24"/>
          <w:lang w:eastAsia="en-GB"/>
        </w:rPr>
        <w:t xml:space="preserve"> </w:t>
      </w:r>
      <w:r w:rsidR="002257E6">
        <w:rPr>
          <w:rFonts w:ascii="Times New Roman" w:hAnsi="Times New Roman" w:cs="Times New Roman"/>
          <w:sz w:val="24"/>
        </w:rPr>
        <w:t>(n=3-6 per group for saline controls and 6-11 for HDM re-challenged groups).</w:t>
      </w:r>
    </w:p>
    <w:p w14:paraId="17ABE801" w14:textId="77777777" w:rsidR="0063279B" w:rsidRDefault="0063279B">
      <w:pPr>
        <w:rPr>
          <w:rFonts w:ascii="Times New Roman" w:hAnsi="Times New Roman" w:cs="Times New Roman"/>
          <w:noProof/>
          <w:sz w:val="24"/>
          <w:lang w:eastAsia="en-GB"/>
        </w:rPr>
      </w:pPr>
    </w:p>
    <w:p w14:paraId="38F03D1D" w14:textId="77777777" w:rsidR="0063279B" w:rsidRDefault="0063279B">
      <w:pPr>
        <w:rPr>
          <w:rFonts w:ascii="Times New Roman" w:hAnsi="Times New Roman" w:cs="Times New Roman"/>
          <w:noProof/>
          <w:sz w:val="24"/>
          <w:lang w:eastAsia="en-GB"/>
        </w:rPr>
      </w:pPr>
    </w:p>
    <w:p w14:paraId="17DB59B7" w14:textId="77777777" w:rsidR="00A32995" w:rsidRDefault="00A32995">
      <w:pPr>
        <w:rPr>
          <w:rFonts w:ascii="Times New Roman" w:hAnsi="Times New Roman" w:cs="Times New Roman"/>
          <w:noProof/>
          <w:sz w:val="24"/>
          <w:lang w:eastAsia="en-GB"/>
        </w:rPr>
      </w:pPr>
    </w:p>
    <w:p w14:paraId="27E11015" w14:textId="5EDE792B" w:rsidR="0063279B" w:rsidRDefault="00594093">
      <w:pPr>
        <w:rPr>
          <w:rFonts w:ascii="Times New Roman" w:hAnsi="Times New Roman" w:cs="Times New Roman"/>
          <w:noProof/>
          <w:sz w:val="24"/>
          <w:lang w:eastAsia="en-GB"/>
        </w:rPr>
      </w:pPr>
      <w:bookmarkStart w:id="1" w:name="_GoBack"/>
      <w:bookmarkEnd w:id="1"/>
      <w:r>
        <w:rPr>
          <w:rFonts w:ascii="Times New Roman" w:hAnsi="Times New Roman" w:cs="Times New Roman"/>
          <w:noProof/>
          <w:sz w:val="24"/>
          <w:lang w:eastAsia="en-GB"/>
        </w:rPr>
        <w:t>Supplementary Figure E3: P</w:t>
      </w:r>
      <w:r w:rsidR="005F142B">
        <w:rPr>
          <w:rFonts w:ascii="Times New Roman" w:hAnsi="Times New Roman" w:cs="Times New Roman"/>
          <w:noProof/>
          <w:sz w:val="24"/>
          <w:lang w:eastAsia="en-GB"/>
        </w:rPr>
        <w:t>harmacokinetic</w:t>
      </w:r>
      <w:r>
        <w:rPr>
          <w:rFonts w:ascii="Times New Roman" w:hAnsi="Times New Roman" w:cs="Times New Roman"/>
          <w:noProof/>
          <w:sz w:val="24"/>
          <w:lang w:eastAsia="en-GB"/>
        </w:rPr>
        <w:t xml:space="preserve"> data</w:t>
      </w:r>
    </w:p>
    <w:p w14:paraId="57B5CB8A" w14:textId="45122E89" w:rsidR="008C07B2" w:rsidRDefault="008C07B2">
      <w:pPr>
        <w:rPr>
          <w:rFonts w:ascii="Times New Roman" w:hAnsi="Times New Roman" w:cs="Times New Roman"/>
          <w:noProof/>
          <w:sz w:val="24"/>
          <w:lang w:eastAsia="en-GB"/>
        </w:rPr>
      </w:pPr>
      <w:r>
        <w:rPr>
          <w:rFonts w:ascii="Times New Roman" w:hAnsi="Times New Roman" w:cs="Times New Roman"/>
          <w:noProof/>
          <w:sz w:val="24"/>
          <w:lang w:eastAsia="en-GB"/>
        </w:rPr>
        <w:drawing>
          <wp:inline distT="0" distB="0" distL="0" distR="0" wp14:anchorId="5DFE21D9" wp14:editId="758C61BD">
            <wp:extent cx="5800954" cy="4128386"/>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3084" cy="4137019"/>
                    </a:xfrm>
                    <a:prstGeom prst="rect">
                      <a:avLst/>
                    </a:prstGeom>
                    <a:noFill/>
                  </pic:spPr>
                </pic:pic>
              </a:graphicData>
            </a:graphic>
          </wp:inline>
        </w:drawing>
      </w:r>
    </w:p>
    <w:p w14:paraId="65902325" w14:textId="77777777" w:rsidR="00B2481C" w:rsidRDefault="00B2481C">
      <w:pPr>
        <w:rPr>
          <w:rFonts w:ascii="Times New Roman" w:hAnsi="Times New Roman" w:cs="Times New Roman"/>
          <w:noProof/>
          <w:sz w:val="24"/>
          <w:lang w:eastAsia="en-GB"/>
        </w:rPr>
      </w:pPr>
    </w:p>
    <w:p w14:paraId="7D9642CE" w14:textId="238F0CD0" w:rsidR="00C647C7" w:rsidRDefault="00C647C7" w:rsidP="00E24A5C">
      <w:pPr>
        <w:jc w:val="both"/>
        <w:rPr>
          <w:rFonts w:ascii="Times New Roman" w:hAnsi="Times New Roman" w:cs="Times New Roman"/>
          <w:noProof/>
          <w:sz w:val="24"/>
          <w:lang w:eastAsia="en-GB"/>
        </w:rPr>
      </w:pPr>
      <w:r>
        <w:rPr>
          <w:rFonts w:ascii="Times New Roman" w:hAnsi="Times New Roman" w:cs="Times New Roman"/>
          <w:noProof/>
          <w:sz w:val="24"/>
          <w:lang w:eastAsia="en-GB"/>
        </w:rPr>
        <w:t>Supplementary Figure E3 legend:</w:t>
      </w:r>
    </w:p>
    <w:p w14:paraId="33F649AA" w14:textId="646A8634" w:rsidR="00AC214A" w:rsidRPr="007F47F1" w:rsidRDefault="00C647C7" w:rsidP="00E24A5C">
      <w:pPr>
        <w:spacing w:line="480" w:lineRule="auto"/>
        <w:jc w:val="both"/>
        <w:rPr>
          <w:rFonts w:ascii="Times New Roman" w:hAnsi="Times New Roman" w:cs="Times New Roman"/>
          <w:noProof/>
          <w:sz w:val="24"/>
          <w:lang w:eastAsia="en-GB"/>
        </w:rPr>
      </w:pPr>
      <w:r>
        <w:rPr>
          <w:rFonts w:ascii="Times New Roman" w:hAnsi="Times New Roman" w:cs="Times New Roman"/>
          <w:noProof/>
          <w:sz w:val="24"/>
          <w:lang w:eastAsia="en-GB"/>
        </w:rPr>
        <w:t xml:space="preserve">Mean </w:t>
      </w:r>
      <w:r w:rsidR="00F36A1D">
        <w:rPr>
          <w:rFonts w:ascii="Times New Roman" w:hAnsi="Times New Roman" w:cs="Times New Roman"/>
          <w:noProof/>
          <w:sz w:val="24"/>
          <w:lang w:eastAsia="en-GB"/>
        </w:rPr>
        <w:t xml:space="preserve">unbound </w:t>
      </w:r>
      <w:r>
        <w:rPr>
          <w:rFonts w:ascii="Times New Roman" w:hAnsi="Times New Roman" w:cs="Times New Roman"/>
          <w:noProof/>
          <w:sz w:val="24"/>
          <w:lang w:eastAsia="en-GB"/>
        </w:rPr>
        <w:t>concentration v</w:t>
      </w:r>
      <w:r w:rsidR="00DE6C85">
        <w:rPr>
          <w:rFonts w:ascii="Times New Roman" w:hAnsi="Times New Roman" w:cs="Times New Roman"/>
          <w:noProof/>
          <w:sz w:val="24"/>
          <w:lang w:eastAsia="en-GB"/>
        </w:rPr>
        <w:t>ersu</w:t>
      </w:r>
      <w:r>
        <w:rPr>
          <w:rFonts w:ascii="Times New Roman" w:hAnsi="Times New Roman" w:cs="Times New Roman"/>
          <w:noProof/>
          <w:sz w:val="24"/>
          <w:lang w:eastAsia="en-GB"/>
        </w:rPr>
        <w:t xml:space="preserve">s time profiles </w:t>
      </w:r>
      <w:r w:rsidRPr="00C647C7">
        <w:rPr>
          <w:rFonts w:ascii="Times New Roman" w:hAnsi="Times New Roman" w:cs="Times New Roman"/>
          <w:noProof/>
          <w:sz w:val="24"/>
          <w:lang w:eastAsia="en-GB"/>
        </w:rPr>
        <w:t>f</w:t>
      </w:r>
      <w:r>
        <w:rPr>
          <w:rFonts w:ascii="Times New Roman" w:hAnsi="Times New Roman" w:cs="Times New Roman"/>
          <w:noProof/>
          <w:sz w:val="24"/>
          <w:lang w:eastAsia="en-GB"/>
        </w:rPr>
        <w:t>or</w:t>
      </w:r>
      <w:r w:rsidRPr="00C647C7">
        <w:rPr>
          <w:rFonts w:ascii="Times New Roman" w:hAnsi="Times New Roman" w:cs="Times New Roman"/>
          <w:noProof/>
          <w:sz w:val="24"/>
          <w:lang w:eastAsia="en-GB"/>
        </w:rPr>
        <w:t xml:space="preserve"> </w:t>
      </w:r>
      <w:r>
        <w:rPr>
          <w:rFonts w:ascii="Times New Roman" w:hAnsi="Times New Roman" w:cs="Times New Roman"/>
          <w:noProof/>
          <w:sz w:val="24"/>
          <w:lang w:eastAsia="en-GB"/>
        </w:rPr>
        <w:t>PI-3065</w:t>
      </w:r>
      <w:r w:rsidR="00344E22">
        <w:rPr>
          <w:rFonts w:ascii="Times New Roman" w:hAnsi="Times New Roman" w:cs="Times New Roman"/>
          <w:noProof/>
          <w:sz w:val="24"/>
          <w:lang w:eastAsia="en-GB"/>
        </w:rPr>
        <w:t xml:space="preserve"> in blood on day 1 following a single </w:t>
      </w:r>
      <w:r>
        <w:rPr>
          <w:rFonts w:ascii="Times New Roman" w:hAnsi="Times New Roman" w:cs="Times New Roman"/>
          <w:noProof/>
          <w:sz w:val="24"/>
          <w:lang w:eastAsia="en-GB"/>
        </w:rPr>
        <w:t>oral administration</w:t>
      </w:r>
      <w:r w:rsidRPr="00C647C7">
        <w:rPr>
          <w:rFonts w:ascii="Times New Roman" w:hAnsi="Times New Roman" w:cs="Times New Roman"/>
          <w:noProof/>
          <w:sz w:val="24"/>
          <w:lang w:eastAsia="en-GB"/>
        </w:rPr>
        <w:t xml:space="preserve"> to </w:t>
      </w:r>
      <w:r w:rsidR="00AF6337">
        <w:rPr>
          <w:rFonts w:ascii="Times New Roman" w:hAnsi="Times New Roman" w:cs="Times New Roman"/>
          <w:noProof/>
          <w:sz w:val="24"/>
          <w:lang w:eastAsia="en-GB"/>
        </w:rPr>
        <w:t xml:space="preserve">female BALB/c </w:t>
      </w:r>
      <w:r w:rsidRPr="00C647C7">
        <w:rPr>
          <w:rFonts w:ascii="Times New Roman" w:hAnsi="Times New Roman" w:cs="Times New Roman"/>
          <w:noProof/>
          <w:sz w:val="24"/>
          <w:lang w:eastAsia="en-GB"/>
        </w:rPr>
        <w:t>mice</w:t>
      </w:r>
      <w:r w:rsidR="00344E22">
        <w:rPr>
          <w:rFonts w:ascii="Times New Roman" w:hAnsi="Times New Roman" w:cs="Times New Roman"/>
          <w:noProof/>
          <w:sz w:val="24"/>
          <w:lang w:eastAsia="en-GB"/>
        </w:rPr>
        <w:t xml:space="preserve"> at 1mg/kg, 10mg/kg and 100mg/kg</w:t>
      </w:r>
      <w:r>
        <w:rPr>
          <w:rFonts w:ascii="Times New Roman" w:hAnsi="Times New Roman" w:cs="Times New Roman"/>
          <w:noProof/>
          <w:sz w:val="24"/>
          <w:lang w:eastAsia="en-GB"/>
        </w:rPr>
        <w:t>, error bars represent the standard deviation of the mean (n=6).</w:t>
      </w:r>
      <w:r w:rsidR="00344E22">
        <w:rPr>
          <w:rFonts w:ascii="Times New Roman" w:hAnsi="Times New Roman" w:cs="Times New Roman"/>
          <w:noProof/>
          <w:sz w:val="24"/>
          <w:lang w:eastAsia="en-GB"/>
        </w:rPr>
        <w:t xml:space="preserve"> Blood samples were collected as live bleeds in a composite design. Terminal bleeds generated on day 7 (not shown) were in keeping with day 1 data suggesting no evidence for accumulation across the dosing period.</w:t>
      </w:r>
      <w:r w:rsidR="00F36A1D">
        <w:rPr>
          <w:rFonts w:ascii="Times New Roman" w:hAnsi="Times New Roman" w:cs="Times New Roman"/>
          <w:noProof/>
          <w:sz w:val="24"/>
          <w:lang w:eastAsia="en-GB"/>
        </w:rPr>
        <w:t xml:space="preserve"> IC50 values were generated using whole blood from </w:t>
      </w:r>
      <w:r w:rsidR="00481380" w:rsidRPr="003E0D5E">
        <w:rPr>
          <w:rFonts w:ascii="Times New Roman" w:hAnsi="Times New Roman" w:cs="Times New Roman"/>
          <w:i/>
          <w:noProof/>
          <w:sz w:val="24"/>
          <w:lang w:eastAsia="en-GB"/>
        </w:rPr>
        <w:t>in vivo</w:t>
      </w:r>
      <w:r w:rsidR="00481380">
        <w:rPr>
          <w:rFonts w:ascii="Times New Roman" w:hAnsi="Times New Roman" w:cs="Times New Roman"/>
          <w:noProof/>
          <w:sz w:val="24"/>
          <w:lang w:eastAsia="en-GB"/>
        </w:rPr>
        <w:t xml:space="preserve"> study matched mice (</w:t>
      </w:r>
      <w:r w:rsidR="00F36A1D">
        <w:rPr>
          <w:rFonts w:ascii="Times New Roman" w:hAnsi="Times New Roman" w:cs="Times New Roman"/>
          <w:noProof/>
          <w:sz w:val="24"/>
          <w:lang w:eastAsia="en-GB"/>
        </w:rPr>
        <w:t xml:space="preserve">female BALB/c mice </w:t>
      </w:r>
      <w:r w:rsidR="00481380">
        <w:rPr>
          <w:rFonts w:ascii="Times New Roman" w:hAnsi="Times New Roman" w:cs="Times New Roman"/>
          <w:noProof/>
          <w:sz w:val="24"/>
          <w:lang w:eastAsia="en-GB"/>
        </w:rPr>
        <w:t>treated</w:t>
      </w:r>
      <w:r w:rsidR="00F36A1D">
        <w:rPr>
          <w:rFonts w:ascii="Times New Roman" w:hAnsi="Times New Roman" w:cs="Times New Roman"/>
          <w:noProof/>
          <w:sz w:val="24"/>
          <w:lang w:eastAsia="en-GB"/>
        </w:rPr>
        <w:t xml:space="preserve"> wi</w:t>
      </w:r>
      <w:r w:rsidR="00E721B4">
        <w:rPr>
          <w:rFonts w:ascii="Times New Roman" w:hAnsi="Times New Roman" w:cs="Times New Roman"/>
          <w:noProof/>
          <w:sz w:val="24"/>
          <w:lang w:eastAsia="en-GB"/>
        </w:rPr>
        <w:t>th HDM for 3 weeks</w:t>
      </w:r>
      <w:r w:rsidR="00481380">
        <w:rPr>
          <w:rFonts w:ascii="Times New Roman" w:hAnsi="Times New Roman" w:cs="Times New Roman"/>
          <w:noProof/>
          <w:sz w:val="24"/>
          <w:lang w:eastAsia="en-GB"/>
        </w:rPr>
        <w:t>), values</w:t>
      </w:r>
      <w:r w:rsidR="00F36A1D">
        <w:rPr>
          <w:rFonts w:ascii="Times New Roman" w:hAnsi="Times New Roman" w:cs="Times New Roman"/>
          <w:noProof/>
          <w:sz w:val="24"/>
          <w:lang w:eastAsia="en-GB"/>
        </w:rPr>
        <w:t xml:space="preserve"> represent unbound concentration associated with 50% inhibition of </w:t>
      </w:r>
      <w:r w:rsidR="00F36A1D" w:rsidRPr="00F36A1D">
        <w:rPr>
          <w:rFonts w:ascii="Times New Roman" w:hAnsi="Times New Roman" w:cs="Times New Roman"/>
          <w:noProof/>
          <w:sz w:val="24"/>
          <w:lang w:eastAsia="en-GB"/>
        </w:rPr>
        <w:t>HDM induced IL-4 release from mouse whole blood</w:t>
      </w:r>
      <w:r w:rsidR="00481380">
        <w:rPr>
          <w:rFonts w:ascii="Times New Roman" w:hAnsi="Times New Roman" w:cs="Times New Roman"/>
          <w:noProof/>
          <w:sz w:val="24"/>
          <w:lang w:eastAsia="en-GB"/>
        </w:rPr>
        <w:t>.</w:t>
      </w:r>
      <w:r w:rsidR="001952B3">
        <w:rPr>
          <w:rFonts w:ascii="Times New Roman" w:hAnsi="Times New Roman" w:cs="Times New Roman"/>
          <w:noProof/>
          <w:sz w:val="24"/>
          <w:lang w:eastAsia="en-GB"/>
        </w:rPr>
        <w:t xml:space="preserve"> Doses </w:t>
      </w:r>
      <w:r w:rsidR="00C41551">
        <w:rPr>
          <w:rFonts w:ascii="Times New Roman" w:hAnsi="Times New Roman" w:cs="Times New Roman"/>
          <w:noProof/>
          <w:sz w:val="24"/>
          <w:lang w:eastAsia="en-GB"/>
        </w:rPr>
        <w:t>were selected</w:t>
      </w:r>
      <w:r w:rsidR="001952B3">
        <w:rPr>
          <w:rFonts w:ascii="Times New Roman" w:hAnsi="Times New Roman" w:cs="Times New Roman"/>
          <w:noProof/>
          <w:sz w:val="24"/>
          <w:lang w:eastAsia="en-GB"/>
        </w:rPr>
        <w:t xml:space="preserve"> </w:t>
      </w:r>
      <w:r w:rsidR="00C41551">
        <w:rPr>
          <w:rFonts w:ascii="Times New Roman" w:hAnsi="Times New Roman" w:cs="Times New Roman"/>
          <w:noProof/>
          <w:sz w:val="24"/>
          <w:lang w:eastAsia="en-GB"/>
        </w:rPr>
        <w:t xml:space="preserve">to </w:t>
      </w:r>
      <w:r w:rsidR="001952B3">
        <w:rPr>
          <w:rFonts w:ascii="Times New Roman" w:hAnsi="Times New Roman" w:cs="Times New Roman"/>
          <w:noProof/>
          <w:sz w:val="24"/>
          <w:lang w:eastAsia="en-GB"/>
        </w:rPr>
        <w:t xml:space="preserve">achieve </w:t>
      </w:r>
      <w:r w:rsidR="00C41551">
        <w:rPr>
          <w:rFonts w:ascii="Times New Roman" w:hAnsi="Times New Roman" w:cs="Times New Roman"/>
          <w:noProof/>
          <w:sz w:val="24"/>
          <w:lang w:eastAsia="en-GB"/>
        </w:rPr>
        <w:t>concentrations at Cmax</w:t>
      </w:r>
      <w:r w:rsidR="001952B3">
        <w:rPr>
          <w:rFonts w:ascii="Times New Roman" w:hAnsi="Times New Roman" w:cs="Times New Roman"/>
          <w:noProof/>
          <w:sz w:val="24"/>
          <w:lang w:eastAsia="en-GB"/>
        </w:rPr>
        <w:t xml:space="preserve"> equivalent to IC</w:t>
      </w:r>
      <w:r w:rsidR="00C41551">
        <w:rPr>
          <w:rFonts w:ascii="Times New Roman" w:hAnsi="Times New Roman" w:cs="Times New Roman"/>
          <w:noProof/>
          <w:sz w:val="24"/>
          <w:lang w:eastAsia="en-GB"/>
        </w:rPr>
        <w:t>50 (1mg/kg),</w:t>
      </w:r>
      <w:r w:rsidR="001952B3">
        <w:rPr>
          <w:rFonts w:ascii="Times New Roman" w:hAnsi="Times New Roman" w:cs="Times New Roman"/>
          <w:noProof/>
          <w:sz w:val="24"/>
          <w:lang w:eastAsia="en-GB"/>
        </w:rPr>
        <w:t xml:space="preserve"> equivalent to 10x IC50</w:t>
      </w:r>
      <w:r w:rsidR="00C41551">
        <w:rPr>
          <w:rFonts w:ascii="Times New Roman" w:hAnsi="Times New Roman" w:cs="Times New Roman"/>
          <w:noProof/>
          <w:sz w:val="24"/>
          <w:lang w:eastAsia="en-GB"/>
        </w:rPr>
        <w:t xml:space="preserve"> and</w:t>
      </w:r>
      <w:r w:rsidR="001952B3">
        <w:rPr>
          <w:rFonts w:ascii="Times New Roman" w:hAnsi="Times New Roman" w:cs="Times New Roman"/>
          <w:noProof/>
          <w:sz w:val="24"/>
          <w:lang w:eastAsia="en-GB"/>
        </w:rPr>
        <w:t xml:space="preserve"> above IC50 for ~15hrs (10mg/kg)</w:t>
      </w:r>
      <w:r w:rsidR="00C41551">
        <w:rPr>
          <w:rFonts w:ascii="Times New Roman" w:hAnsi="Times New Roman" w:cs="Times New Roman"/>
          <w:noProof/>
          <w:sz w:val="24"/>
          <w:lang w:eastAsia="en-GB"/>
        </w:rPr>
        <w:t xml:space="preserve"> and</w:t>
      </w:r>
      <w:r w:rsidR="001952B3">
        <w:rPr>
          <w:rFonts w:ascii="Times New Roman" w:hAnsi="Times New Roman" w:cs="Times New Roman"/>
          <w:noProof/>
          <w:sz w:val="24"/>
          <w:lang w:eastAsia="en-GB"/>
        </w:rPr>
        <w:t xml:space="preserve"> above 10x IC50 fo</w:t>
      </w:r>
      <w:r w:rsidR="007F47F1">
        <w:rPr>
          <w:rFonts w:ascii="Times New Roman" w:hAnsi="Times New Roman" w:cs="Times New Roman"/>
          <w:noProof/>
          <w:sz w:val="24"/>
          <w:lang w:eastAsia="en-GB"/>
        </w:rPr>
        <w:t>r the dosing period (100mg/kg).</w:t>
      </w:r>
    </w:p>
    <w:sectPr w:rsidR="00AC214A" w:rsidRPr="007F47F1" w:rsidSect="00285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4A"/>
    <w:rsid w:val="00005404"/>
    <w:rsid w:val="00045AC9"/>
    <w:rsid w:val="00075D0D"/>
    <w:rsid w:val="00086664"/>
    <w:rsid w:val="000B2E83"/>
    <w:rsid w:val="000C1752"/>
    <w:rsid w:val="001025FA"/>
    <w:rsid w:val="0010595A"/>
    <w:rsid w:val="00107625"/>
    <w:rsid w:val="00112F55"/>
    <w:rsid w:val="001300D9"/>
    <w:rsid w:val="0013377B"/>
    <w:rsid w:val="00141577"/>
    <w:rsid w:val="001952B3"/>
    <w:rsid w:val="001B17E1"/>
    <w:rsid w:val="001B3B3A"/>
    <w:rsid w:val="001F0299"/>
    <w:rsid w:val="002032B8"/>
    <w:rsid w:val="00206647"/>
    <w:rsid w:val="0020688E"/>
    <w:rsid w:val="00210A72"/>
    <w:rsid w:val="002257E6"/>
    <w:rsid w:val="0026036D"/>
    <w:rsid w:val="002753BE"/>
    <w:rsid w:val="0028567E"/>
    <w:rsid w:val="002D00CF"/>
    <w:rsid w:val="002D1E5A"/>
    <w:rsid w:val="0030145D"/>
    <w:rsid w:val="00323F4F"/>
    <w:rsid w:val="0033483E"/>
    <w:rsid w:val="00344E22"/>
    <w:rsid w:val="00347EBB"/>
    <w:rsid w:val="00351F5C"/>
    <w:rsid w:val="003641BE"/>
    <w:rsid w:val="00366090"/>
    <w:rsid w:val="00382E8A"/>
    <w:rsid w:val="00385FD3"/>
    <w:rsid w:val="003870A2"/>
    <w:rsid w:val="003B0A1F"/>
    <w:rsid w:val="003B310E"/>
    <w:rsid w:val="003B587E"/>
    <w:rsid w:val="003C0A6B"/>
    <w:rsid w:val="003C71AA"/>
    <w:rsid w:val="003E0D5E"/>
    <w:rsid w:val="004000A1"/>
    <w:rsid w:val="00440923"/>
    <w:rsid w:val="00481380"/>
    <w:rsid w:val="004D6CB0"/>
    <w:rsid w:val="004F16D3"/>
    <w:rsid w:val="00504D4A"/>
    <w:rsid w:val="00522591"/>
    <w:rsid w:val="00556D9D"/>
    <w:rsid w:val="005600BE"/>
    <w:rsid w:val="00563B34"/>
    <w:rsid w:val="005773D0"/>
    <w:rsid w:val="00591346"/>
    <w:rsid w:val="00594093"/>
    <w:rsid w:val="005F142B"/>
    <w:rsid w:val="005F56CD"/>
    <w:rsid w:val="00602DF9"/>
    <w:rsid w:val="0063279B"/>
    <w:rsid w:val="006706CB"/>
    <w:rsid w:val="00675C7C"/>
    <w:rsid w:val="00695473"/>
    <w:rsid w:val="006B4396"/>
    <w:rsid w:val="006D330E"/>
    <w:rsid w:val="006E16BF"/>
    <w:rsid w:val="00702D55"/>
    <w:rsid w:val="007200BC"/>
    <w:rsid w:val="00742E8E"/>
    <w:rsid w:val="007544BE"/>
    <w:rsid w:val="00770797"/>
    <w:rsid w:val="00771378"/>
    <w:rsid w:val="007944FC"/>
    <w:rsid w:val="007F2119"/>
    <w:rsid w:val="007F47F1"/>
    <w:rsid w:val="007F7448"/>
    <w:rsid w:val="00825F3D"/>
    <w:rsid w:val="00837174"/>
    <w:rsid w:val="00872DFA"/>
    <w:rsid w:val="00893778"/>
    <w:rsid w:val="008A54D7"/>
    <w:rsid w:val="008C07B2"/>
    <w:rsid w:val="008C2199"/>
    <w:rsid w:val="008C2561"/>
    <w:rsid w:val="008E2B30"/>
    <w:rsid w:val="008E5C8C"/>
    <w:rsid w:val="008F2537"/>
    <w:rsid w:val="00954231"/>
    <w:rsid w:val="00961536"/>
    <w:rsid w:val="009658D8"/>
    <w:rsid w:val="009662BC"/>
    <w:rsid w:val="00966560"/>
    <w:rsid w:val="00967BA4"/>
    <w:rsid w:val="00981195"/>
    <w:rsid w:val="009B3746"/>
    <w:rsid w:val="00A32995"/>
    <w:rsid w:val="00A34B63"/>
    <w:rsid w:val="00A62A1F"/>
    <w:rsid w:val="00A7055D"/>
    <w:rsid w:val="00A80586"/>
    <w:rsid w:val="00A82653"/>
    <w:rsid w:val="00AC214A"/>
    <w:rsid w:val="00AD1D75"/>
    <w:rsid w:val="00AD317E"/>
    <w:rsid w:val="00AF03A2"/>
    <w:rsid w:val="00AF6337"/>
    <w:rsid w:val="00B133C1"/>
    <w:rsid w:val="00B2481C"/>
    <w:rsid w:val="00B32878"/>
    <w:rsid w:val="00B541D5"/>
    <w:rsid w:val="00B93E27"/>
    <w:rsid w:val="00BA6D5B"/>
    <w:rsid w:val="00BB2272"/>
    <w:rsid w:val="00BD48C4"/>
    <w:rsid w:val="00C05F27"/>
    <w:rsid w:val="00C3051B"/>
    <w:rsid w:val="00C41551"/>
    <w:rsid w:val="00C560C6"/>
    <w:rsid w:val="00C647C7"/>
    <w:rsid w:val="00C651E1"/>
    <w:rsid w:val="00CA20A3"/>
    <w:rsid w:val="00CA5319"/>
    <w:rsid w:val="00CC07BC"/>
    <w:rsid w:val="00CF56D7"/>
    <w:rsid w:val="00D124CC"/>
    <w:rsid w:val="00D347D1"/>
    <w:rsid w:val="00D5111E"/>
    <w:rsid w:val="00D746CB"/>
    <w:rsid w:val="00DE06F1"/>
    <w:rsid w:val="00DE6936"/>
    <w:rsid w:val="00DE6C85"/>
    <w:rsid w:val="00E05CE8"/>
    <w:rsid w:val="00E11AB5"/>
    <w:rsid w:val="00E24A5C"/>
    <w:rsid w:val="00E25F94"/>
    <w:rsid w:val="00E26788"/>
    <w:rsid w:val="00E303E8"/>
    <w:rsid w:val="00E721B4"/>
    <w:rsid w:val="00E8502E"/>
    <w:rsid w:val="00E9363E"/>
    <w:rsid w:val="00E93B2F"/>
    <w:rsid w:val="00EA0471"/>
    <w:rsid w:val="00F02A50"/>
    <w:rsid w:val="00F34910"/>
    <w:rsid w:val="00F36A1D"/>
    <w:rsid w:val="00F516DF"/>
    <w:rsid w:val="00F8601D"/>
    <w:rsid w:val="00FD3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20D9"/>
  <w15:chartTrackingRefBased/>
  <w15:docId w15:val="{B4655454-C9D9-490E-BA95-1253B981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2DF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206647"/>
    <w:rPr>
      <w:sz w:val="16"/>
      <w:szCs w:val="16"/>
    </w:rPr>
  </w:style>
  <w:style w:type="paragraph" w:styleId="CommentText">
    <w:name w:val="annotation text"/>
    <w:basedOn w:val="Normal"/>
    <w:link w:val="CommentTextChar"/>
    <w:uiPriority w:val="99"/>
    <w:semiHidden/>
    <w:unhideWhenUsed/>
    <w:rsid w:val="00206647"/>
    <w:pPr>
      <w:spacing w:line="240" w:lineRule="auto"/>
    </w:pPr>
    <w:rPr>
      <w:sz w:val="20"/>
      <w:szCs w:val="20"/>
    </w:rPr>
  </w:style>
  <w:style w:type="character" w:customStyle="1" w:styleId="CommentTextChar">
    <w:name w:val="Comment Text Char"/>
    <w:basedOn w:val="DefaultParagraphFont"/>
    <w:link w:val="CommentText"/>
    <w:uiPriority w:val="99"/>
    <w:semiHidden/>
    <w:rsid w:val="00206647"/>
    <w:rPr>
      <w:sz w:val="20"/>
      <w:szCs w:val="20"/>
    </w:rPr>
  </w:style>
  <w:style w:type="paragraph" w:styleId="CommentSubject">
    <w:name w:val="annotation subject"/>
    <w:basedOn w:val="CommentText"/>
    <w:next w:val="CommentText"/>
    <w:link w:val="CommentSubjectChar"/>
    <w:uiPriority w:val="99"/>
    <w:semiHidden/>
    <w:unhideWhenUsed/>
    <w:rsid w:val="00206647"/>
    <w:rPr>
      <w:b/>
      <w:bCs/>
    </w:rPr>
  </w:style>
  <w:style w:type="character" w:customStyle="1" w:styleId="CommentSubjectChar">
    <w:name w:val="Comment Subject Char"/>
    <w:basedOn w:val="CommentTextChar"/>
    <w:link w:val="CommentSubject"/>
    <w:uiPriority w:val="99"/>
    <w:semiHidden/>
    <w:rsid w:val="00206647"/>
    <w:rPr>
      <w:b/>
      <w:bCs/>
      <w:sz w:val="20"/>
      <w:szCs w:val="20"/>
    </w:rPr>
  </w:style>
  <w:style w:type="paragraph" w:styleId="BalloonText">
    <w:name w:val="Balloon Text"/>
    <w:basedOn w:val="Normal"/>
    <w:link w:val="BalloonTextChar"/>
    <w:uiPriority w:val="99"/>
    <w:semiHidden/>
    <w:unhideWhenUsed/>
    <w:rsid w:val="00206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EFD624D2D52489C5E563D1186AD6C" ma:contentTypeVersion="8" ma:contentTypeDescription="Create a new document." ma:contentTypeScope="" ma:versionID="5ff2097b0e9f47a3b2aa09d4a558b684">
  <xsd:schema xmlns:xsd="http://www.w3.org/2001/XMLSchema" xmlns:xs="http://www.w3.org/2001/XMLSchema" xmlns:p="http://schemas.microsoft.com/office/2006/metadata/properties" xmlns:ns3="788d7113-1417-4152-85fb-e5d1429e59c6" targetNamespace="http://schemas.microsoft.com/office/2006/metadata/properties" ma:root="true" ma:fieldsID="96a9758587c1d63034a330c99e238560" ns3:_="">
    <xsd:import namespace="788d7113-1417-4152-85fb-e5d1429e59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d7113-1417-4152-85fb-e5d1429e5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DA82-8874-4E16-8C62-640572997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d7113-1417-4152-85fb-e5d1429e5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B7284-CD86-468D-BD6D-7861EF43F4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A30DE-CB1B-409E-AB64-7459CD148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Sorif Uddin</dc:creator>
  <cp:keywords/>
  <dc:description/>
  <cp:lastModifiedBy>Augustin Amour</cp:lastModifiedBy>
  <cp:revision>12</cp:revision>
  <cp:lastPrinted>2017-10-24T11:58:00Z</cp:lastPrinted>
  <dcterms:created xsi:type="dcterms:W3CDTF">2021-02-05T08:49:00Z</dcterms:created>
  <dcterms:modified xsi:type="dcterms:W3CDTF">2021-02-12T09:19:00Z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0x010100BD2EFD624D2D52489C5E563D1186AD6C</vt:lpwstr>
  </property>
</Properties>
</file>