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ascii="Times New Roman" w:hAnsi="Times New Roman"/>
          <w:b/>
          <w:bCs/>
          <w:sz w:val="24"/>
          <w:shd w:val="clear" w:color="auto" w:fill="FFFFFF"/>
        </w:rPr>
      </w:pPr>
      <w:r>
        <w:rPr>
          <w:rFonts w:ascii="Times New Roman" w:hAnsi="Times New Roman"/>
          <w:b/>
          <w:bCs/>
          <w:sz w:val="24"/>
          <w:shd w:val="clear" w:color="auto" w:fill="FFFFFF"/>
        </w:rPr>
        <w:t>Appendix 1: Details of Participating centers</w:t>
      </w:r>
    </w:p>
    <w:tbl>
      <w:tblPr>
        <w:tblStyle w:val="2"/>
        <w:tblW w:w="838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1"/>
        <w:gridCol w:w="1407"/>
        <w:gridCol w:w="1153"/>
        <w:gridCol w:w="1200"/>
        <w:gridCol w:w="153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309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outlineLv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  <w:shd w:val="clear" w:color="auto" w:fill="FFFFFF"/>
              </w:rPr>
              <w:t>Name of the hospital</w:t>
            </w:r>
          </w:p>
        </w:tc>
        <w:tc>
          <w:tcPr>
            <w:tcW w:w="140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240" w:after="64" w:line="360" w:lineRule="auto"/>
              <w:jc w:val="center"/>
              <w:outlineLvl w:val="0"/>
              <w:rPr>
                <w:rFonts w:ascii="Times New Roman" w:hAnsi="Times New Roman"/>
                <w:b/>
                <w:bCs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  <w:shd w:val="clear" w:color="auto" w:fill="FFFFFF"/>
              </w:rPr>
              <w:t>Province, city</w:t>
            </w:r>
          </w:p>
        </w:tc>
        <w:tc>
          <w:tcPr>
            <w:tcW w:w="115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240" w:after="64" w:line="360" w:lineRule="auto"/>
              <w:jc w:val="center"/>
              <w:outlineLvl w:val="0"/>
              <w:rPr>
                <w:rFonts w:ascii="Times New Roman" w:hAnsi="Times New Roman"/>
                <w:b/>
                <w:bCs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  <w:shd w:val="clear" w:color="auto" w:fill="FFFFFF"/>
              </w:rPr>
              <w:t>Teaching Hospital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keepLines/>
              <w:spacing w:before="240" w:after="64" w:line="360" w:lineRule="auto"/>
              <w:jc w:val="center"/>
              <w:outlineLvl w:val="0"/>
              <w:rPr>
                <w:rFonts w:ascii="Times New Roman" w:hAnsi="Times New Roman"/>
                <w:b/>
                <w:bCs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  <w:shd w:val="clear" w:color="auto" w:fill="FFFFFF"/>
              </w:rPr>
              <w:t>Beds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240" w:after="64" w:line="360" w:lineRule="auto"/>
              <w:jc w:val="center"/>
              <w:outlineLvl w:val="0"/>
              <w:rPr>
                <w:rFonts w:ascii="Times New Roman" w:hAnsi="Times New Roman"/>
                <w:b/>
                <w:bCs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Cs w:val="21"/>
                <w:shd w:val="clear" w:color="auto" w:fill="FFFFFF"/>
              </w:rPr>
              <w:t>Staff</w:t>
            </w:r>
            <w:r>
              <w:rPr>
                <w:rFonts w:hint="eastAsia" w:ascii="Times New Roman" w:hAnsi="Times New Roman"/>
                <w:b/>
                <w:bCs/>
                <w:color w:val="000000"/>
                <w:szCs w:val="21"/>
                <w:shd w:val="clear" w:color="auto" w:fill="FFFFFF"/>
                <w:lang w:val="en-US" w:eastAsia="zh-CN"/>
              </w:rPr>
              <w:t>s</w:t>
            </w:r>
            <w:r>
              <w:rPr>
                <w:rFonts w:hint="eastAsia" w:ascii="Times New Roman" w:hAnsi="Times New Roman"/>
                <w:b/>
                <w:bCs/>
                <w:color w:val="000000"/>
                <w:szCs w:val="21"/>
                <w:shd w:val="clear" w:color="auto" w:fill="FFFFFF"/>
              </w:rPr>
              <w:t xml:space="preserve"> of Clinical Microbioloy Lab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1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Beijing Jishuitan Hospital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,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sz w:val="21"/>
                <w:szCs w:val="21"/>
                <w:vertAlign w:val="superscript"/>
              </w:rPr>
              <w:t>th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Medical College of Peking University</w:t>
            </w:r>
          </w:p>
        </w:tc>
        <w:tc>
          <w:tcPr>
            <w:tcW w:w="1407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shd w:val="clear" w:color="auto" w:fill="FFFFFF"/>
              </w:rPr>
              <w:t>Beijing</w:t>
            </w:r>
          </w:p>
        </w:tc>
        <w:tc>
          <w:tcPr>
            <w:tcW w:w="1153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Yes</w:t>
            </w:r>
          </w:p>
        </w:tc>
        <w:tc>
          <w:tcPr>
            <w:tcW w:w="1200" w:type="dxa"/>
            <w:tcBorders>
              <w:top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1500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eastAsiaTheme="minorEastAsia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shd w:val="clear" w:color="auto" w:fill="FFFFFF"/>
              </w:rPr>
              <w:t>Beijing Chao-Yang Hospital</w:t>
            </w:r>
            <w:r>
              <w:rPr>
                <w:rStyle w:val="5"/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Style w:val="5"/>
                <w:rFonts w:ascii="Times New Roman" w:hAnsi="Times New Roman"/>
                <w:b w:val="0"/>
                <w:color w:val="000000"/>
                <w:sz w:val="21"/>
                <w:szCs w:val="21"/>
              </w:rPr>
              <w:t xml:space="preserve">Affiliated to </w:t>
            </w:r>
            <w:r>
              <w:rPr>
                <w:rFonts w:ascii="Times New Roman" w:hAnsi="Times New Roman"/>
                <w:color w:val="000000"/>
                <w:sz w:val="21"/>
                <w:szCs w:val="21"/>
                <w:shd w:val="clear" w:color="auto" w:fill="FFFFFF"/>
              </w:rPr>
              <w:t>Capital Medical University</w:t>
            </w:r>
          </w:p>
        </w:tc>
        <w:tc>
          <w:tcPr>
            <w:tcW w:w="140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shd w:val="clear" w:color="auto" w:fill="FFFFFF"/>
              </w:rPr>
              <w:t>Beijing</w:t>
            </w:r>
          </w:p>
        </w:tc>
        <w:tc>
          <w:tcPr>
            <w:tcW w:w="115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Yes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Cs/>
                <w:color w:val="000000"/>
                <w:sz w:val="21"/>
                <w:szCs w:val="21"/>
                <w:highlight w:val="yellow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1400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eastAsiaTheme="minorEastAsia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000000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Style w:val="5"/>
                <w:rFonts w:hint="eastAsia" w:ascii="Times New Roman" w:hAnsi="Times New Roman"/>
                <w:b w:val="0"/>
                <w:color w:val="000000"/>
                <w:sz w:val="21"/>
                <w:szCs w:val="21"/>
              </w:rPr>
              <w:t>the 2nd People’s Hospital of Yunnan Province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Style w:val="5"/>
                <w:rFonts w:ascii="Times New Roman" w:hAnsi="Times New Roman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ascii="Times New Roman" w:hAnsi="Times New Roman"/>
                <w:b w:val="0"/>
                <w:color w:val="000000"/>
                <w:sz w:val="21"/>
                <w:szCs w:val="21"/>
              </w:rPr>
              <w:t>Kunming,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Times New Roman"/>
                <w:b w:val="0"/>
                <w:color w:val="000000"/>
                <w:sz w:val="21"/>
                <w:szCs w:val="21"/>
              </w:rPr>
              <w:t>Yan</w:t>
            </w:r>
            <w:r>
              <w:rPr>
                <w:rStyle w:val="5"/>
                <w:rFonts w:ascii="Times New Roman" w:hAnsi="Times New Roman"/>
                <w:b w:val="0"/>
                <w:bCs w:val="0"/>
                <w:color w:val="000000"/>
                <w:sz w:val="21"/>
                <w:szCs w:val="21"/>
              </w:rPr>
              <w:t>’</w:t>
            </w:r>
            <w:r>
              <w:rPr>
                <w:rStyle w:val="5"/>
                <w:rFonts w:ascii="Times New Roman" w:hAnsi="Times New Roman"/>
                <w:b w:val="0"/>
                <w:color w:val="000000"/>
                <w:sz w:val="21"/>
                <w:szCs w:val="21"/>
              </w:rPr>
              <w:t>an</w:t>
            </w:r>
          </w:p>
        </w:tc>
        <w:tc>
          <w:tcPr>
            <w:tcW w:w="115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Yes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1302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eastAsia" w:ascii="Times New Roman" w:hAnsi="Times New Roman" w:eastAsiaTheme="minorEastAsia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309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360" w:lineRule="auto"/>
              <w:jc w:val="left"/>
              <w:textAlignment w:val="auto"/>
              <w:rPr>
                <w:rFonts w:ascii="Times New Roman" w:hAnsi="Times New Roman"/>
                <w:bCs/>
                <w:color w:val="000000"/>
                <w:sz w:val="21"/>
                <w:szCs w:val="21"/>
              </w:rPr>
            </w:pPr>
            <w:r>
              <w:rPr>
                <w:rStyle w:val="5"/>
                <w:rFonts w:ascii="Times New Roman" w:hAnsi="Times New Roman"/>
                <w:b w:val="0"/>
                <w:color w:val="000000"/>
                <w:sz w:val="21"/>
                <w:szCs w:val="21"/>
              </w:rPr>
              <w:t>Qingdao Municipal Hospital</w:t>
            </w:r>
          </w:p>
        </w:tc>
        <w:tc>
          <w:tcPr>
            <w:tcW w:w="140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ShanDong,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Qingdao</w:t>
            </w:r>
          </w:p>
        </w:tc>
        <w:tc>
          <w:tcPr>
            <w:tcW w:w="115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Yes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1200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eastAsia" w:ascii="Times New Roman" w:hAnsi="Times New Roman" w:eastAsiaTheme="minorEastAsia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Beijing Huimin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Hospital</w:t>
            </w:r>
          </w:p>
        </w:tc>
        <w:tc>
          <w:tcPr>
            <w:tcW w:w="140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shd w:val="clear" w:color="auto" w:fill="FFFFFF"/>
              </w:rPr>
              <w:t>Beijing</w:t>
            </w:r>
          </w:p>
        </w:tc>
        <w:tc>
          <w:tcPr>
            <w:tcW w:w="1153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Yes</w:t>
            </w:r>
          </w:p>
        </w:tc>
        <w:tc>
          <w:tcPr>
            <w:tcW w:w="1200" w:type="dxa"/>
            <w:tcBorders>
              <w:top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eastAsiaTheme="minorEastAsia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/>
                <w:bCs/>
                <w:color w:val="000000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000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eastAsia" w:ascii="Times New Roman" w:hAnsi="Times New Roman" w:eastAsiaTheme="minorEastAsia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Appendix 2 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Definition of underlying diseases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Chronic pulmonary disease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was defined as: persistent airflow limitation, FEV</w:t>
      </w:r>
      <w:r>
        <w:rPr>
          <w:rFonts w:hint="default" w:ascii="Times New Roman" w:hAnsi="Times New Roman" w:cs="Times New Roman"/>
          <w:sz w:val="24"/>
          <w:szCs w:val="24"/>
          <w:vertAlign w:val="sub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/ FVC &lt; 70% post bronchodilator;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Asthma was defined by the history of respiratory symptoms such as wheeze, cough that varied over time and intensity, together with variable respiratory airway limitation;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Chronic congestive heart failure was defined as cardiomegaly and ejection fraction ≤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40%;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Cerebrovascular diseases included transient ischemic attack, cerebral hemorrhage, subarachnoid hemorrhage, cerebral infarction;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Di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betes mellitus: included diabetes mellitus type 1 and diabetes mellitus type 2, not included impaired glucose tolerance and impaired fasting glycaemia;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Chronic kidney disease included diabetic nephropathy, hypertensive renal damage, chronic glomerulonephritis, chronic pyelonephritis, lupus nephritis, IgA nephropathy, nephrotic syndrome, hereditary kidney disease, etc;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Immunosuppressive therapy: was defined as systmatic glucocorticosteroid (such as prednisone 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≥10mg/d for more than 3 weeks in the last month); cyclosporine or azathioprine use within 3 months, and methotrexate use ≥12.5mg/week within 3 months; biological modifiers such as etanercept and infiximab within 3 weeks.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Immunocompromised status included HIV(+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)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，chemotherapy/radiotherapy within 6 months, immunosuppressive therapy, organ/bone marrow transplantation, splenectomy, hematological neoplasms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Smoking history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defined as: cigarette smokers of 10 cigarettes/d during at least the previous year.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Alcoholism history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defined as: drinking more than 5 bottles of beer (500ml / bottle) or half a catty liquor once in 2 weeks; or drinking more than 2.5 bottles of beer (500ml / bottle) or 2 ounc of white spirit per day for more than five years.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Septic shock was defined as hypotension requiring use of vasopressors to maintain mean blood pressure of 65 mmHg or greater and having a serum lactate level greater than 2 mmol/L persisting after adequate fluid resuscitation.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Acute renal failure was defined as a more than threefold rise in serum creatinine concentration compared to baselinewith an increase of at least 4 mg/dL, accompanied by reduction of urine excretion to &lt;0.3 mL/kg for≥ 24 h or anuria for ≥ 12 h.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Appendix 3 </w:t>
      </w:r>
      <w:r>
        <w:rPr>
          <w:rFonts w:hint="default" w:ascii="Times New Roman" w:hAnsi="Times New Roman" w:eastAsia="华文琥珀" w:cs="Times New Roman"/>
          <w:b/>
          <w:bCs/>
          <w:color w:val="000000"/>
          <w:sz w:val="24"/>
          <w:szCs w:val="24"/>
        </w:rPr>
        <w:t xml:space="preserve">Definition of 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microbiological criteria of </w:t>
      </w:r>
      <w:r>
        <w:rPr>
          <w:rFonts w:hint="eastAsia" w:ascii="Times New Roman" w:hAnsi="Times New Roman" w:cs="Times New Roman"/>
          <w:b/>
          <w:bCs/>
          <w:sz w:val="24"/>
          <w:szCs w:val="24"/>
          <w:vertAlign w:val="baseline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baseline"/>
          <w:lang w:val="en-US" w:eastAsia="zh-CN"/>
        </w:rPr>
        <w:t xml:space="preserve">oinfected </w:t>
      </w:r>
      <w:r>
        <w:rPr>
          <w:rFonts w:hint="eastAsia" w:ascii="Times New Roman" w:hAnsi="Times New Roman" w:cs="Times New Roman"/>
          <w:b/>
          <w:bCs/>
          <w:sz w:val="24"/>
          <w:szCs w:val="24"/>
          <w:vertAlign w:val="baseline"/>
          <w:lang w:val="en-US" w:eastAsia="zh-CN"/>
        </w:rPr>
        <w:t xml:space="preserve">other 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baseline"/>
          <w:lang w:val="en-US" w:eastAsia="zh-CN"/>
        </w:rPr>
        <w:t>pathogens</w:t>
      </w:r>
    </w:p>
    <w:p>
      <w:pPr>
        <w:spacing w:line="360" w:lineRule="auto"/>
        <w:outlineLvl w:val="0"/>
        <w:rPr>
          <w:rFonts w:hint="default" w:ascii="Times New Roman" w:hAnsi="Times New Roman" w:eastAsia="华文琥珀" w:cs="Times New Roman"/>
          <w:color w:val="000000"/>
          <w:sz w:val="24"/>
          <w:szCs w:val="24"/>
          <w:highlight w:val="yellow"/>
        </w:rPr>
      </w:pPr>
      <w:r>
        <w:rPr>
          <w:rFonts w:hint="default" w:ascii="Times New Roman" w:hAnsi="Times New Roman" w:eastAsia="华文琥珀" w:cs="Times New Roman"/>
          <w:b/>
          <w:bCs/>
          <w:color w:val="000000"/>
          <w:sz w:val="24"/>
          <w:szCs w:val="24"/>
        </w:rPr>
        <w:t>Definite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, if one of the following criteria was met: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eastAsia="华文琥珀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Positive urinary antigen for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>Legionella pneumophila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 ;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eastAsia="华文琥珀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Positive urinary antigen for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>Streptococcus pneumoniae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;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eastAsia="华文琥珀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Positive bacterial culture from blood or plural fluid except for coagulase negative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>Staphylococcus spp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eastAsia="华文琥珀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Paired sera with a fourfold or more increase in the titers of antibodies to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>Mycoplasma pneumoniae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 (MP),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>Chlamydia pneumonia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,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 xml:space="preserve">L pneumophila or 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>respiratory viruses (Adenovirus,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eastAsia="华文琥珀" w:cs="Times New Roman"/>
          <w:color w:val="000000"/>
          <w:sz w:val="24"/>
          <w:szCs w:val="24"/>
        </w:rPr>
        <w:t>Respiratory syncytial virus)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 xml:space="preserve">. 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Or Serum IgM antibody (MIF) 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sym w:font="Symbol" w:char="F0B3"/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 1:16 for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>Chlamydia pneumonia.</w:t>
      </w:r>
    </w:p>
    <w:p>
      <w:pPr>
        <w:spacing w:line="360" w:lineRule="auto"/>
        <w:jc w:val="left"/>
        <w:outlineLvl w:val="0"/>
        <w:rPr>
          <w:rFonts w:hint="default" w:ascii="Times New Roman" w:hAnsi="Times New Roman" w:eastAsia="华文琥珀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华文琥珀" w:cs="Times New Roman"/>
          <w:b/>
          <w:bCs/>
          <w:color w:val="000000"/>
          <w:sz w:val="24"/>
          <w:szCs w:val="24"/>
        </w:rPr>
        <w:t>Probable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, if one of the following criteria was met: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eastAsia="华文琥珀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Detection of respiratory virus in sputum/bronchoalveolar lavage (BAL)/throat swabs by Realtime-PCR according to manufacturer’s instructions, including respiratory syncytial virus (RSV) types A and B, parainfluenza virus (PIV) types 1, 2, 3 and 4, rhinovirus (HRV), enterovirus (EV), coronavirus (hCoV) types 229E, NL63, OC43 and HKU1, parapneumovirus (hMPV), and adenovirus (AdV), bocavirus;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eastAsia="华文琥珀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Bacteria isolated form purulent sputum (defined as an adequate quality sputum sample with &gt; 25 leukocytes and &lt; 10 epithelial cells per × 100 magnification field) with compatible findings of Gram staining;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eastAsia="华文琥珀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Detection of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>Mycoplasma pneumoniae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 (MP),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>Chlamydia pneumonia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 or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>L pneumophila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 in sputum/BAL/throat swabs by Realtime-PCR</w:t>
      </w:r>
      <w:r>
        <w:rPr>
          <w:rFonts w:hint="eastAsia" w:ascii="Times New Roman" w:hAnsi="Times New Roman" w:eastAsia="华文琥珀" w:cs="Times New Roman"/>
          <w:bCs/>
          <w:color w:val="000000"/>
          <w:sz w:val="24"/>
          <w:szCs w:val="24"/>
          <w:lang w:val="en-US" w:eastAsia="zh-CN"/>
        </w:rPr>
        <w:t>;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eastAsia="华文琥珀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Serum IgM antibody positive for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>Mycoplasma pneumoniae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 (MP), or Serum IgG antibody (MIF) </w:t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sym w:font="Symbol" w:char="F0B3"/>
      </w:r>
      <w:r>
        <w:rPr>
          <w:rFonts w:hint="default" w:ascii="Times New Roman" w:hAnsi="Times New Roman" w:eastAsia="华文琥珀" w:cs="Times New Roman"/>
          <w:bCs/>
          <w:color w:val="000000"/>
          <w:sz w:val="24"/>
          <w:szCs w:val="24"/>
        </w:rPr>
        <w:t xml:space="preserve"> 1:512 for </w:t>
      </w:r>
      <w:r>
        <w:rPr>
          <w:rFonts w:hint="default" w:ascii="Times New Roman" w:hAnsi="Times New Roman" w:eastAsia="华文琥珀" w:cs="Times New Roman"/>
          <w:bCs/>
          <w:i/>
          <w:color w:val="000000"/>
          <w:sz w:val="24"/>
          <w:szCs w:val="24"/>
        </w:rPr>
        <w:t>Chlamydia pneumonia.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both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both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bCs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15"/>
          <w:szCs w:val="15"/>
          <w:lang w:val="en-US" w:eastAsia="zh-CN"/>
        </w:rPr>
        <w:t xml:space="preserve">Appendix 4 coinfection with other pathogens 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1"/>
        <w:gridCol w:w="1967"/>
        <w:gridCol w:w="1877"/>
        <w:gridCol w:w="194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731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Variables</w:t>
            </w:r>
          </w:p>
        </w:tc>
        <w:tc>
          <w:tcPr>
            <w:tcW w:w="196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Total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(n=693)</w:t>
            </w:r>
          </w:p>
        </w:tc>
        <w:tc>
          <w:tcPr>
            <w:tcW w:w="187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IPA group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(n=21)</w:t>
            </w:r>
          </w:p>
        </w:tc>
        <w:tc>
          <w:tcPr>
            <w:tcW w:w="19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Control group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(n=672)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Coinfection</w:t>
            </w:r>
          </w:p>
        </w:tc>
        <w:tc>
          <w:tcPr>
            <w:tcW w:w="196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265 (38.2)</w:t>
            </w:r>
          </w:p>
        </w:tc>
        <w:tc>
          <w:tcPr>
            <w:tcW w:w="187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 (14.3)</w:t>
            </w:r>
          </w:p>
        </w:tc>
        <w:tc>
          <w:tcPr>
            <w:tcW w:w="194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262 (39.0)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Pathogens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</w:rPr>
            </w:pP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Streptococcus pneumoniae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88 (33.2)</w:t>
            </w: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(0.0)</w:t>
            </w: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87 (33.2)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Klebsiella pneumoniae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81 (30.6)</w:t>
            </w: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1(33.3)</w:t>
            </w: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80 (30.5)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Staphylococcus aureus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54 (20.4)</w:t>
            </w: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54 (20.6)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Haemophilus influenzae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17 (6.4)</w:t>
            </w: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17 (6.5)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Pseudomonas aeruginosa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12 (4.5)</w:t>
            </w: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(66.7)</w:t>
            </w: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11 (4.2)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Klebsiella acidogens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 (2.6)</w:t>
            </w: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 (2.7)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Acinetobacter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 (1.9)</w:t>
            </w: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 (1.9)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Proteus spp.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 (1.1)</w:t>
            </w: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 (1.1)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Stenotrophomonas maltophilia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 (1.1)</w:t>
            </w: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 (1.1)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 xml:space="preserve">Escherichia coli 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(0.8)</w:t>
            </w: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(0.7)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Citrobacter spp.</w:t>
            </w:r>
          </w:p>
        </w:tc>
        <w:tc>
          <w:tcPr>
            <w:tcW w:w="19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(0.4)</w:t>
            </w:r>
          </w:p>
        </w:tc>
        <w:tc>
          <w:tcPr>
            <w:tcW w:w="187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9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(0.4)</w:t>
            </w:r>
          </w:p>
        </w:tc>
      </w:tr>
    </w:tbl>
    <w:p>
      <w:pPr>
        <w:rPr>
          <w:rFonts w:hint="default" w:ascii="Times New Roman" w:hAnsi="Times New Roman" w:cs="Times New Roman"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sz w:val="15"/>
          <w:szCs w:val="15"/>
          <w:lang w:val="en-US" w:eastAsia="zh-CN"/>
        </w:rPr>
        <w:t>8 patients in the control group were coinfected with  ≥ 2 pathogens</w:t>
      </w:r>
    </w:p>
    <w:p>
      <w:pPr>
        <w:rPr>
          <w:rFonts w:hint="default" w:ascii="Times New Roman" w:hAnsi="Times New Roman" w:cs="Times New Roman"/>
          <w:sz w:val="15"/>
          <w:szCs w:val="15"/>
          <w:lang w:val="en-US" w:eastAsia="zh-CN"/>
        </w:rPr>
      </w:pPr>
    </w:p>
    <w:p>
      <w:pPr>
        <w:rPr>
          <w:rFonts w:hint="default" w:ascii="Times New Roman" w:hAnsi="Times New Roman" w:cs="Times New Roman"/>
          <w:sz w:val="15"/>
          <w:szCs w:val="15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15"/>
          <w:szCs w:val="15"/>
          <w:lang w:val="en-US" w:eastAsia="zh-CN"/>
        </w:rPr>
        <w:t>Appendix 5 Univariate analysis between the survival group and the deceased group</w:t>
      </w:r>
    </w:p>
    <w:tbl>
      <w:tblPr>
        <w:tblStyle w:val="3"/>
        <w:tblW w:w="837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8"/>
        <w:gridCol w:w="1887"/>
        <w:gridCol w:w="1766"/>
        <w:gridCol w:w="14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318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Variables</w:t>
            </w:r>
          </w:p>
        </w:tc>
        <w:tc>
          <w:tcPr>
            <w:tcW w:w="188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Survival group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(n=12)</w:t>
            </w:r>
          </w:p>
        </w:tc>
        <w:tc>
          <w:tcPr>
            <w:tcW w:w="17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Deceased group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(n=9)</w:t>
            </w: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Age (years, mean±SD)</w:t>
            </w:r>
          </w:p>
        </w:tc>
        <w:tc>
          <w:tcPr>
            <w:tcW w:w="188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69.3±8.7</w:t>
            </w:r>
          </w:p>
        </w:tc>
        <w:tc>
          <w:tcPr>
            <w:tcW w:w="1766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71.7±11.8</w:t>
            </w:r>
          </w:p>
        </w:tc>
        <w:tc>
          <w:tcPr>
            <w:tcW w:w="140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 (75.0)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 (100.0)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Chronic congestive heart failure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 (25.0)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 (0.0)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Cerebrovascular disease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 (16.7)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 (22.2)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&gt;0.999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Chronic pulmonary disease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 (33.3)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 (22.2)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Asthma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 (16.7)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 (11.1)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&gt;0.999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Di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betes mellitus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 (83.3)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 (55.6)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Chronic kidney disease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 (16.7)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 (0.0)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Leukocytes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&gt;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10×10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/L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 (75.0)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 (66.7)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&gt;0.999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Lymphocytes &lt; 0.8×10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/L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 (50.0)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 (100.0)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BUN &gt; 7 mmol/L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 (33.3)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 (55.6)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HB &lt; 100 g/L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 (33.3)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 (11.1)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Albumin &lt; 35 g/L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 (33.3)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 (22.2)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Serum PCT &gt; 0.1 ng/ml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 (8.3)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 (11.1)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&gt;0.999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/FiO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&lt; 300 mmHg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 (66.7)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 (77.8)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ind w:left="360" w:hanging="300" w:hangingChars="200"/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Systemic corticosteroids use </w:t>
            </w:r>
          </w:p>
          <w:p>
            <w:pPr>
              <w:ind w:left="360" w:hanging="300" w:hangingChars="200"/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before IPA diagnosis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 (75.0)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 (100.0)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ind w:left="180" w:hanging="150" w:hangingChars="100"/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Early NAIs use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 (75.0)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 (11.1)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Anti-fungal treatment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voriconazole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 (75.0)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 (100.0)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voriconazole+ caspofungin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 (25.0)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 (0.0)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Invasive ventilation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 (75.0)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 (100.0)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Septic shock (n, %)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 (83.3)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 (88.9)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&gt;0.999</w:t>
            </w:r>
          </w:p>
        </w:tc>
      </w:tr>
    </w:tbl>
    <w:p>
      <w:pPr>
        <w:rPr>
          <w:rFonts w:hint="default" w:ascii="Times New Roman" w:hAnsi="Times New Roman" w:cs="Times New Roman"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sz w:val="15"/>
          <w:szCs w:val="15"/>
          <w:lang w:val="en-US" w:eastAsia="zh-CN"/>
        </w:rPr>
        <w:t xml:space="preserve">BUN: blood urea nitrogen; HB: hemoglobin; PCT: procalcitonin; </w:t>
      </w:r>
      <w:r>
        <w:rPr>
          <w:rFonts w:hint="default" w:ascii="Times New Roman" w:hAnsi="Times New Roman" w:cs="Times New Roman"/>
          <w:sz w:val="15"/>
          <w:szCs w:val="15"/>
          <w:vertAlign w:val="baseline"/>
          <w:lang w:val="en-US" w:eastAsia="zh-CN"/>
        </w:rPr>
        <w:t>PO</w:t>
      </w:r>
      <w:r>
        <w:rPr>
          <w:rFonts w:hint="default" w:ascii="Times New Roman" w:hAnsi="Times New Roman" w:cs="Times New Roman"/>
          <w:sz w:val="15"/>
          <w:szCs w:val="15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15"/>
          <w:szCs w:val="15"/>
          <w:vertAlign w:val="baseline"/>
          <w:lang w:val="en-US" w:eastAsia="zh-CN"/>
        </w:rPr>
        <w:t>/FiO</w:t>
      </w:r>
      <w:r>
        <w:rPr>
          <w:rFonts w:hint="default" w:ascii="Times New Roman" w:hAnsi="Times New Roman" w:cs="Times New Roman"/>
          <w:sz w:val="15"/>
          <w:szCs w:val="15"/>
          <w:vertAlign w:val="subscript"/>
          <w:lang w:val="en-US" w:eastAsia="zh-CN"/>
        </w:rPr>
        <w:t xml:space="preserve">2: </w:t>
      </w:r>
      <w:r>
        <w:rPr>
          <w:rFonts w:hint="default" w:ascii="Times New Roman" w:hAnsi="Times New Roman" w:cs="Times New Roman"/>
          <w:sz w:val="15"/>
          <w:szCs w:val="15"/>
          <w:lang w:val="en-US" w:eastAsia="zh-CN"/>
        </w:rPr>
        <w:t>arterial pressure of oxygen/fraction of inspiration oxygen; NAIs: neuraminidase inhibitors</w:t>
      </w: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9B142C"/>
    <w:multiLevelType w:val="singleLevel"/>
    <w:tmpl w:val="959B142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97CB00F7"/>
    <w:multiLevelType w:val="singleLevel"/>
    <w:tmpl w:val="97CB00F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53A216BD"/>
    <w:multiLevelType w:val="singleLevel"/>
    <w:tmpl w:val="53A216B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95DE8"/>
    <w:rsid w:val="094D76D7"/>
    <w:rsid w:val="0BC87E90"/>
    <w:rsid w:val="0D614A62"/>
    <w:rsid w:val="12CA1487"/>
    <w:rsid w:val="143C24BD"/>
    <w:rsid w:val="14F46BC6"/>
    <w:rsid w:val="1526011D"/>
    <w:rsid w:val="1AC26599"/>
    <w:rsid w:val="1D6A4633"/>
    <w:rsid w:val="1E715CB1"/>
    <w:rsid w:val="1E7A7A6A"/>
    <w:rsid w:val="1EB02505"/>
    <w:rsid w:val="1F47288F"/>
    <w:rsid w:val="24CF4AF0"/>
    <w:rsid w:val="267E2627"/>
    <w:rsid w:val="27D67F2C"/>
    <w:rsid w:val="2843388D"/>
    <w:rsid w:val="296167BF"/>
    <w:rsid w:val="2C490815"/>
    <w:rsid w:val="2E274EB6"/>
    <w:rsid w:val="2EB162B9"/>
    <w:rsid w:val="314B6D4B"/>
    <w:rsid w:val="32897F17"/>
    <w:rsid w:val="3326243E"/>
    <w:rsid w:val="365E4971"/>
    <w:rsid w:val="36D83F2B"/>
    <w:rsid w:val="38E83D22"/>
    <w:rsid w:val="3B135DF8"/>
    <w:rsid w:val="3D44466C"/>
    <w:rsid w:val="3F4B5113"/>
    <w:rsid w:val="43C73450"/>
    <w:rsid w:val="44F545EC"/>
    <w:rsid w:val="45E03659"/>
    <w:rsid w:val="46776EBD"/>
    <w:rsid w:val="49787D9C"/>
    <w:rsid w:val="4C1301E2"/>
    <w:rsid w:val="52EC60EC"/>
    <w:rsid w:val="56D178D6"/>
    <w:rsid w:val="57FC61D9"/>
    <w:rsid w:val="5952210E"/>
    <w:rsid w:val="5A2C421E"/>
    <w:rsid w:val="5B05111D"/>
    <w:rsid w:val="60E4417D"/>
    <w:rsid w:val="638B477F"/>
    <w:rsid w:val="654C6B5D"/>
    <w:rsid w:val="65EC62EA"/>
    <w:rsid w:val="68617150"/>
    <w:rsid w:val="68800D3A"/>
    <w:rsid w:val="69340958"/>
    <w:rsid w:val="69EB0DAD"/>
    <w:rsid w:val="6AA07D2B"/>
    <w:rsid w:val="6B095DE8"/>
    <w:rsid w:val="6DD515B2"/>
    <w:rsid w:val="70FD5BE0"/>
    <w:rsid w:val="70FF6403"/>
    <w:rsid w:val="713672DE"/>
    <w:rsid w:val="731263EC"/>
    <w:rsid w:val="7935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qFormat/>
    <w:uiPriority w:val="0"/>
    <w:rPr>
      <w:rFonts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2019-09-16T06:18:00Z</dcterms:created>
  <dc:creator>安</dc:creator>
  <cp:lastModifiedBy>安</cp:lastModifiedBy>
  <dcterms:modified xsi:type="dcterms:W3CDTF">2020-04-02T04:59:49Z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