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240" w:line="360" w:lineRule="auto"/>
        <w:jc w:val="center"/>
        <w:rPr>
          <w:rFonts w:ascii="Times New Roman" w:hAnsi="Times New Roman"/>
          <w:b/>
          <w:kern w:val="0"/>
          <w:sz w:val="32"/>
          <w:szCs w:val="32"/>
        </w:rPr>
      </w:pPr>
    </w:p>
    <w:p>
      <w:pPr>
        <w:widowControl/>
        <w:adjustRightInd w:val="0"/>
        <w:snapToGrid w:val="0"/>
        <w:spacing w:after="240"/>
        <w:jc w:val="center"/>
        <w:rPr>
          <w:rFonts w:ascii="Times New Roman" w:hAnsi="Times New Roman"/>
          <w:b/>
          <w:kern w:val="0"/>
          <w:sz w:val="32"/>
          <w:szCs w:val="32"/>
        </w:rPr>
      </w:pPr>
      <w:r>
        <w:rPr>
          <w:rFonts w:ascii="Times New Roman" w:hAnsi="Times New Roman"/>
          <w:b/>
          <w:kern w:val="0"/>
          <w:sz w:val="32"/>
          <w:szCs w:val="32"/>
        </w:rPr>
        <w:t>Supplementary Material</w:t>
      </w:r>
    </w:p>
    <w:p>
      <w:pPr>
        <w:widowControl/>
        <w:adjustRightInd w:val="0"/>
        <w:snapToGrid w:val="0"/>
        <w:spacing w:after="240"/>
        <w:jc w:val="center"/>
        <w:rPr>
          <w:rFonts w:ascii="Times New Roman" w:hAnsi="Times New Roman"/>
          <w:b/>
          <w:kern w:val="0"/>
          <w:sz w:val="32"/>
          <w:szCs w:val="32"/>
        </w:rPr>
      </w:pPr>
    </w:p>
    <w:p>
      <w:pPr>
        <w:jc w:val="center"/>
        <w:rPr>
          <w:rFonts w:ascii="Times New Roman" w:hAnsi="Times New Roman"/>
          <w:b/>
          <w:kern w:val="0"/>
          <w:sz w:val="32"/>
          <w:szCs w:val="32"/>
        </w:rPr>
      </w:pPr>
      <w:r>
        <w:rPr>
          <w:rFonts w:ascii="Times New Roman" w:hAnsi="Times New Roman"/>
          <w:b/>
          <w:kern w:val="0"/>
          <w:sz w:val="32"/>
          <w:szCs w:val="32"/>
        </w:rPr>
        <w:t>Novel magnetic graphoxide/biochar composite derived from tea for multiple SAs and QNs antibiotics removal in water</w:t>
      </w:r>
    </w:p>
    <w:p>
      <w:pPr>
        <w:widowControl/>
        <w:adjustRightInd w:val="0"/>
        <w:snapToGrid w:val="0"/>
        <w:spacing w:after="240"/>
        <w:jc w:val="center"/>
        <w:rPr>
          <w:rFonts w:ascii="Times New Roman" w:hAnsi="Times New Roman"/>
          <w:b/>
          <w:kern w:val="0"/>
          <w:sz w:val="24"/>
          <w:szCs w:val="24"/>
        </w:rPr>
      </w:pPr>
    </w:p>
    <w:p>
      <w:pPr>
        <w:widowControl/>
        <w:adjustRightInd w:val="0"/>
        <w:snapToGrid w:val="0"/>
        <w:spacing w:after="60"/>
        <w:jc w:val="center"/>
        <w:rPr>
          <w:rFonts w:ascii="Times New Roman" w:hAnsi="Times New Roman" w:eastAsia="Times New Roman"/>
          <w:kern w:val="0"/>
          <w:sz w:val="24"/>
          <w:szCs w:val="24"/>
          <w:vertAlign w:val="superscript"/>
        </w:rPr>
      </w:pPr>
      <w:r>
        <w:rPr>
          <w:rFonts w:ascii="Times New Roman" w:hAnsi="Times New Roman"/>
          <w:kern w:val="0"/>
          <w:sz w:val="24"/>
          <w:szCs w:val="24"/>
        </w:rPr>
        <w:t>Wei</w:t>
      </w:r>
      <w:r>
        <w:rPr>
          <w:rFonts w:ascii="Times New Roman" w:hAnsi="Times New Roman" w:eastAsia="Times New Roman"/>
          <w:kern w:val="0"/>
          <w:sz w:val="24"/>
          <w:szCs w:val="24"/>
        </w:rPr>
        <w:t xml:space="preserve"> </w:t>
      </w:r>
      <w:r>
        <w:rPr>
          <w:rFonts w:ascii="Times New Roman" w:hAnsi="Times New Roman"/>
          <w:kern w:val="0"/>
          <w:sz w:val="24"/>
          <w:szCs w:val="24"/>
        </w:rPr>
        <w:t>Pang</w:t>
      </w:r>
      <w:r>
        <w:rPr>
          <w:rFonts w:ascii="Times New Roman" w:hAnsi="Times New Roman" w:eastAsia="Times New Roman"/>
          <w:kern w:val="0"/>
          <w:sz w:val="24"/>
          <w:szCs w:val="24"/>
          <w:vertAlign w:val="superscript"/>
        </w:rPr>
        <w:t xml:space="preserve"> a,b</w:t>
      </w:r>
      <w:r>
        <w:rPr>
          <w:rFonts w:ascii="Times New Roman" w:hAnsi="Times New Roman"/>
          <w:kern w:val="0"/>
          <w:sz w:val="24"/>
          <w:szCs w:val="24"/>
        </w:rPr>
        <w:t xml:space="preserve">, Yonghui Wang </w:t>
      </w:r>
      <w:r>
        <w:rPr>
          <w:rFonts w:ascii="Times New Roman" w:hAnsi="Times New Roman" w:eastAsia="Times New Roman"/>
          <w:kern w:val="0"/>
          <w:sz w:val="24"/>
          <w:szCs w:val="24"/>
          <w:vertAlign w:val="superscript"/>
        </w:rPr>
        <w:t>b</w:t>
      </w:r>
      <w:r>
        <w:rPr>
          <w:rFonts w:ascii="Times New Roman" w:hAnsi="Times New Roman"/>
          <w:kern w:val="0"/>
          <w:sz w:val="24"/>
          <w:szCs w:val="24"/>
        </w:rPr>
        <w:t xml:space="preserve">, </w:t>
      </w:r>
      <w:r>
        <w:rPr>
          <w:rFonts w:ascii="Times New Roman" w:hAnsi="Times New Roman" w:eastAsia="Times New Roman"/>
          <w:kern w:val="0"/>
          <w:sz w:val="24"/>
          <w:szCs w:val="24"/>
        </w:rPr>
        <w:t>Shuang Li</w:t>
      </w:r>
      <w:r>
        <w:rPr>
          <w:rFonts w:ascii="Times New Roman" w:hAnsi="Times New Roman"/>
          <w:kern w:val="0"/>
          <w:sz w:val="24"/>
          <w:szCs w:val="24"/>
        </w:rPr>
        <w:t xml:space="preserve"> </w:t>
      </w:r>
      <w:r>
        <w:rPr>
          <w:rFonts w:ascii="Times New Roman" w:hAnsi="Times New Roman" w:eastAsia="Times New Roman"/>
          <w:kern w:val="0"/>
          <w:sz w:val="24"/>
          <w:szCs w:val="24"/>
          <w:vertAlign w:val="superscript"/>
        </w:rPr>
        <w:t>b</w:t>
      </w:r>
      <w:r>
        <w:rPr>
          <w:rFonts w:ascii="Times New Roman" w:hAnsi="Times New Roman"/>
          <w:kern w:val="0"/>
          <w:sz w:val="24"/>
          <w:szCs w:val="24"/>
        </w:rPr>
        <w:t xml:space="preserve">, Yuanyuan Luo </w:t>
      </w:r>
      <w:r>
        <w:rPr>
          <w:rFonts w:ascii="Times New Roman" w:hAnsi="Times New Roman" w:eastAsia="Times New Roman"/>
          <w:kern w:val="0"/>
          <w:sz w:val="24"/>
          <w:szCs w:val="24"/>
          <w:vertAlign w:val="superscript"/>
        </w:rPr>
        <w:t>b</w:t>
      </w:r>
      <w:r>
        <w:rPr>
          <w:rFonts w:ascii="Times New Roman" w:hAnsi="Times New Roman"/>
          <w:kern w:val="0"/>
          <w:sz w:val="24"/>
          <w:szCs w:val="24"/>
        </w:rPr>
        <w:t xml:space="preserve">, Guanyu Wang </w:t>
      </w:r>
      <w:r>
        <w:rPr>
          <w:rFonts w:ascii="Times New Roman" w:hAnsi="Times New Roman" w:eastAsia="Times New Roman"/>
          <w:kern w:val="0"/>
          <w:sz w:val="24"/>
          <w:szCs w:val="24"/>
          <w:vertAlign w:val="superscript"/>
        </w:rPr>
        <w:t>b</w:t>
      </w:r>
      <w:r>
        <w:rPr>
          <w:rFonts w:ascii="Times New Roman" w:hAnsi="Times New Roman"/>
          <w:kern w:val="0"/>
          <w:sz w:val="24"/>
          <w:szCs w:val="24"/>
        </w:rPr>
        <w:t xml:space="preserve">, Jian Hou </w:t>
      </w:r>
      <w:r>
        <w:rPr>
          <w:rFonts w:ascii="Times New Roman" w:hAnsi="Times New Roman" w:eastAsia="Times New Roman"/>
          <w:kern w:val="0"/>
          <w:sz w:val="24"/>
          <w:szCs w:val="24"/>
          <w:vertAlign w:val="superscript"/>
        </w:rPr>
        <w:t>b</w:t>
      </w:r>
      <w:r>
        <w:rPr>
          <w:rFonts w:ascii="Times New Roman" w:hAnsi="Times New Roman"/>
          <w:kern w:val="0"/>
          <w:sz w:val="24"/>
          <w:szCs w:val="24"/>
        </w:rPr>
        <w:t xml:space="preserve">, Tie Han </w:t>
      </w:r>
      <w:r>
        <w:rPr>
          <w:rFonts w:ascii="Times New Roman" w:hAnsi="Times New Roman" w:eastAsia="Times New Roman"/>
          <w:kern w:val="0"/>
          <w:sz w:val="24"/>
          <w:szCs w:val="24"/>
          <w:vertAlign w:val="superscript"/>
        </w:rPr>
        <w:t>b</w:t>
      </w:r>
      <w:r>
        <w:rPr>
          <w:rFonts w:hint="eastAsia" w:ascii="Times New Roman" w:hAnsi="Times New Roman"/>
          <w:kern w:val="0"/>
          <w:sz w:val="24"/>
          <w:szCs w:val="24"/>
          <w:vertAlign w:val="baseline"/>
          <w:lang w:val="en-US" w:eastAsia="zh-CN"/>
        </w:rPr>
        <w:t xml:space="preserve">, </w:t>
      </w:r>
      <w:r>
        <w:rPr>
          <w:rFonts w:ascii="Times New Roman" w:hAnsi="Times New Roman" w:eastAsia="Times New Roman"/>
          <w:kern w:val="0"/>
          <w:sz w:val="24"/>
          <w:szCs w:val="24"/>
        </w:rPr>
        <w:t>Zhixian Gao</w:t>
      </w:r>
      <w:r>
        <w:rPr>
          <w:rFonts w:ascii="Times New Roman" w:hAnsi="Times New Roman"/>
          <w:kern w:val="0"/>
          <w:sz w:val="24"/>
          <w:szCs w:val="24"/>
        </w:rPr>
        <w:t xml:space="preserve"> </w:t>
      </w:r>
      <w:r>
        <w:rPr>
          <w:rFonts w:ascii="Times New Roman" w:hAnsi="Times New Roman"/>
          <w:kern w:val="0"/>
          <w:sz w:val="24"/>
          <w:szCs w:val="24"/>
          <w:vertAlign w:val="superscript"/>
        </w:rPr>
        <w:t>b</w:t>
      </w:r>
      <w:r>
        <w:rPr>
          <w:rFonts w:ascii="Times New Roman" w:hAnsi="Times New Roman" w:eastAsia="Times New Roman"/>
          <w:kern w:val="0"/>
          <w:sz w:val="24"/>
          <w:szCs w:val="24"/>
          <w:vertAlign w:val="superscript"/>
        </w:rPr>
        <w:t xml:space="preserve"> </w:t>
      </w:r>
      <w:r>
        <w:rPr>
          <w:rFonts w:ascii="Times New Roman" w:hAnsi="Times New Roman"/>
          <w:kern w:val="0"/>
          <w:sz w:val="24"/>
          <w:szCs w:val="24"/>
        </w:rPr>
        <w:t>, Qingbin</w:t>
      </w:r>
      <w:r>
        <w:rPr>
          <w:rFonts w:ascii="Times New Roman" w:hAnsi="Times New Roman" w:eastAsia="Times New Roman"/>
          <w:kern w:val="0"/>
          <w:sz w:val="24"/>
          <w:szCs w:val="24"/>
        </w:rPr>
        <w:t xml:space="preserve"> </w:t>
      </w:r>
      <w:r>
        <w:rPr>
          <w:rFonts w:ascii="Times New Roman" w:hAnsi="Times New Roman"/>
          <w:kern w:val="0"/>
          <w:sz w:val="24"/>
          <w:szCs w:val="24"/>
        </w:rPr>
        <w:t>Guo</w:t>
      </w:r>
      <w:r>
        <w:rPr>
          <w:rFonts w:ascii="Times New Roman" w:hAnsi="Times New Roman" w:eastAsia="Times New Roman"/>
          <w:kern w:val="0"/>
          <w:sz w:val="24"/>
          <w:szCs w:val="24"/>
          <w:vertAlign w:val="superscript"/>
        </w:rPr>
        <w:t xml:space="preserve"> </w:t>
      </w:r>
      <w:r>
        <w:rPr>
          <w:rFonts w:ascii="Times New Roman" w:hAnsi="Times New Roman"/>
          <w:kern w:val="0"/>
          <w:sz w:val="24"/>
          <w:szCs w:val="24"/>
          <w:vertAlign w:val="superscript"/>
        </w:rPr>
        <w:t>a</w:t>
      </w:r>
      <w:r>
        <w:rPr>
          <w:rFonts w:ascii="Times New Roman" w:hAnsi="Times New Roman" w:eastAsia="Times New Roman"/>
          <w:kern w:val="0"/>
          <w:sz w:val="24"/>
          <w:szCs w:val="24"/>
          <w:vertAlign w:val="superscript"/>
        </w:rPr>
        <w:t xml:space="preserve"> </w:t>
      </w:r>
      <w:r>
        <w:rPr>
          <w:rFonts w:ascii="Times New Roman" w:hAnsi="Times New Roman" w:eastAsia="Times New Roman"/>
          <w:kern w:val="0"/>
          <w:sz w:val="24"/>
          <w:szCs w:val="24"/>
        </w:rPr>
        <w:t>,</w:t>
      </w:r>
      <w:r>
        <w:rPr>
          <w:rFonts w:ascii="Times New Roman" w:hAnsi="Times New Roman"/>
          <w:kern w:val="0"/>
          <w:sz w:val="24"/>
          <w:szCs w:val="24"/>
        </w:rPr>
        <w:t xml:space="preserve"> </w:t>
      </w:r>
      <w:r>
        <w:rPr>
          <w:rFonts w:ascii="Times New Roman" w:hAnsi="Times New Roman" w:eastAsia="Times New Roman"/>
          <w:kern w:val="0"/>
          <w:sz w:val="24"/>
          <w:szCs w:val="24"/>
        </w:rPr>
        <w:t>Huanying Zhou</w:t>
      </w:r>
      <w:r>
        <w:rPr>
          <w:rFonts w:ascii="Times New Roman" w:hAnsi="Times New Roman"/>
          <w:kern w:val="0"/>
          <w:sz w:val="24"/>
          <w:szCs w:val="24"/>
        </w:rPr>
        <w:t xml:space="preserve"> </w:t>
      </w:r>
      <w:r>
        <w:rPr>
          <w:rFonts w:ascii="Times New Roman" w:hAnsi="Times New Roman"/>
          <w:kern w:val="0"/>
          <w:sz w:val="24"/>
          <w:szCs w:val="24"/>
          <w:vertAlign w:val="superscript"/>
        </w:rPr>
        <w:t>b</w:t>
      </w:r>
      <w:r>
        <w:rPr>
          <w:rFonts w:ascii="Times New Roman" w:hAnsi="Times New Roman" w:eastAsia="Times New Roman"/>
          <w:kern w:val="0"/>
          <w:sz w:val="24"/>
          <w:szCs w:val="24"/>
          <w:vertAlign w:val="superscript"/>
        </w:rPr>
        <w:t xml:space="preserve"> ,*</w:t>
      </w:r>
    </w:p>
    <w:p>
      <w:pPr>
        <w:widowControl/>
        <w:adjustRightInd w:val="0"/>
        <w:snapToGrid w:val="0"/>
        <w:spacing w:after="60"/>
        <w:jc w:val="center"/>
        <w:rPr>
          <w:rFonts w:ascii="Times New Roman" w:hAnsi="Times New Roman" w:eastAsia="Times New Roman"/>
          <w:iCs/>
          <w:kern w:val="0"/>
          <w:sz w:val="16"/>
          <w:szCs w:val="16"/>
          <w:lang w:eastAsia="en-US"/>
        </w:rPr>
      </w:pPr>
      <w:r>
        <w:rPr>
          <w:rFonts w:ascii="Times New Roman" w:hAnsi="Times New Roman" w:eastAsia="Times New Roman"/>
          <w:iCs/>
          <w:kern w:val="0"/>
          <w:sz w:val="16"/>
          <w:szCs w:val="16"/>
          <w:vertAlign w:val="superscript"/>
          <w:lang w:eastAsia="en-US"/>
        </w:rPr>
        <w:t>a</w:t>
      </w:r>
      <w:r>
        <w:rPr>
          <w:rFonts w:ascii="Times New Roman" w:hAnsi="Times New Roman"/>
          <w:iCs/>
          <w:kern w:val="0"/>
          <w:sz w:val="16"/>
          <w:szCs w:val="16"/>
          <w:vertAlign w:val="superscript"/>
        </w:rPr>
        <w:t xml:space="preserve"> </w:t>
      </w:r>
      <w:r>
        <w:rPr>
          <w:rFonts w:ascii="Times New Roman" w:hAnsi="Times New Roman" w:eastAsia="Times New Roman"/>
          <w:iCs/>
          <w:kern w:val="0"/>
          <w:sz w:val="16"/>
          <w:szCs w:val="16"/>
          <w:lang w:eastAsia="en-US"/>
        </w:rPr>
        <w:t>State Key Laboratory of Food Nutrition and Safety, Tianjin University of Science &amp; Technology, Tianjin 300457, China</w:t>
      </w:r>
    </w:p>
    <w:p>
      <w:pPr>
        <w:widowControl/>
        <w:adjustRightInd w:val="0"/>
        <w:snapToGrid w:val="0"/>
        <w:spacing w:after="60"/>
        <w:jc w:val="center"/>
        <w:rPr>
          <w:rFonts w:ascii="Times New Roman" w:hAnsi="Times New Roman" w:eastAsia="Times New Roman"/>
          <w:iCs/>
          <w:kern w:val="0"/>
          <w:sz w:val="16"/>
          <w:szCs w:val="16"/>
        </w:rPr>
      </w:pPr>
      <w:r>
        <w:rPr>
          <w:rFonts w:ascii="Times New Roman" w:hAnsi="Times New Roman"/>
          <w:iCs/>
          <w:kern w:val="0"/>
          <w:sz w:val="16"/>
          <w:szCs w:val="16"/>
          <w:vertAlign w:val="superscript"/>
        </w:rPr>
        <w:t xml:space="preserve">b </w:t>
      </w:r>
      <w:r>
        <w:rPr>
          <w:rFonts w:ascii="Times New Roman" w:hAnsi="Times New Roman" w:eastAsia="Times New Roman"/>
          <w:iCs/>
          <w:kern w:val="0"/>
          <w:sz w:val="16"/>
          <w:szCs w:val="16"/>
        </w:rPr>
        <w:t>Tianjin Institute Environmental and Operational Medicine,</w:t>
      </w:r>
      <w:r>
        <w:rPr>
          <w:rFonts w:ascii="Times New Roman" w:hAnsi="Times New Roman"/>
          <w:iCs/>
          <w:kern w:val="0"/>
          <w:sz w:val="16"/>
          <w:szCs w:val="16"/>
        </w:rPr>
        <w:t xml:space="preserve"> </w:t>
      </w:r>
      <w:r>
        <w:rPr>
          <w:rFonts w:ascii="Times New Roman" w:hAnsi="Times New Roman" w:eastAsia="Times New Roman"/>
          <w:iCs/>
          <w:kern w:val="0"/>
          <w:sz w:val="16"/>
          <w:szCs w:val="16"/>
        </w:rPr>
        <w:t>Tianjin 300050,</w:t>
      </w:r>
      <w:r>
        <w:rPr>
          <w:rFonts w:ascii="Times New Roman" w:hAnsi="Times New Roman"/>
          <w:iCs/>
          <w:kern w:val="0"/>
          <w:sz w:val="16"/>
          <w:szCs w:val="16"/>
        </w:rPr>
        <w:t xml:space="preserve"> </w:t>
      </w:r>
      <w:r>
        <w:rPr>
          <w:rFonts w:ascii="Times New Roman" w:hAnsi="Times New Roman" w:eastAsia="Times New Roman"/>
          <w:iCs/>
          <w:kern w:val="0"/>
          <w:sz w:val="16"/>
          <w:szCs w:val="16"/>
        </w:rPr>
        <w:t>China.</w:t>
      </w:r>
    </w:p>
    <w:p>
      <w:pPr>
        <w:pStyle w:val="13"/>
        <w:spacing w:line="480" w:lineRule="auto"/>
        <w:rPr>
          <w:rFonts w:ascii="Times New Roman" w:hAnsi="Times New Roman" w:eastAsia="等线"/>
          <w:sz w:val="24"/>
          <w:szCs w:val="24"/>
          <w:lang w:eastAsia="zh-CN"/>
        </w:rPr>
      </w:pPr>
    </w:p>
    <w:p>
      <w:pPr>
        <w:pStyle w:val="13"/>
        <w:rPr>
          <w:rFonts w:ascii="Times New Roman" w:hAnsi="Times New Roman" w:eastAsia="等线"/>
          <w:sz w:val="18"/>
          <w:szCs w:val="18"/>
          <w:lang w:eastAsia="zh-CN"/>
        </w:rPr>
      </w:pPr>
      <w:r>
        <w:rPr>
          <w:rFonts w:ascii="Times New Roman" w:hAnsi="Times New Roman" w:eastAsia="等线"/>
          <w:sz w:val="18"/>
          <w:szCs w:val="18"/>
          <w:lang w:eastAsia="zh-CN"/>
        </w:rPr>
        <w:t xml:space="preserve">* Corresponding Authors. </w:t>
      </w:r>
    </w:p>
    <w:p>
      <w:pPr>
        <w:pStyle w:val="13"/>
        <w:rPr>
          <w:rFonts w:hint="default" w:ascii="Times New Roman" w:hAnsi="Times New Roman" w:eastAsia="等线"/>
          <w:sz w:val="18"/>
          <w:szCs w:val="18"/>
          <w:lang w:val="en-US" w:eastAsia="zh-CN"/>
        </w:rPr>
      </w:pPr>
      <w:r>
        <w:rPr>
          <w:rFonts w:ascii="Times New Roman" w:hAnsi="Times New Roman" w:eastAsia="等线"/>
          <w:sz w:val="18"/>
          <w:szCs w:val="18"/>
          <w:lang w:eastAsia="zh-CN"/>
        </w:rPr>
        <w:t>E-mail addresses:</w:t>
      </w:r>
      <w:r>
        <w:fldChar w:fldCharType="begin"/>
      </w:r>
      <w:r>
        <w:rPr>
          <w:rFonts w:ascii="Times New Roman" w:hAnsi="Times New Roman"/>
          <w:sz w:val="18"/>
          <w:szCs w:val="18"/>
        </w:rPr>
        <w:instrText xml:space="preserve"> HYPERLINK "mailto:zhouhytj@163.com" </w:instrText>
      </w:r>
      <w:r>
        <w:fldChar w:fldCharType="separate"/>
      </w:r>
      <w:r>
        <w:rPr>
          <w:rStyle w:val="10"/>
          <w:rFonts w:ascii="Times New Roman" w:hAnsi="Times New Roman" w:eastAsia="等线"/>
          <w:sz w:val="18"/>
          <w:szCs w:val="18"/>
          <w:lang w:eastAsia="zh-CN"/>
        </w:rPr>
        <w:t>zhouhytj@163.com</w:t>
      </w:r>
      <w:r>
        <w:rPr>
          <w:rStyle w:val="10"/>
          <w:rFonts w:ascii="Times New Roman" w:hAnsi="Times New Roman" w:eastAsia="等线"/>
          <w:sz w:val="18"/>
          <w:szCs w:val="18"/>
          <w:lang w:eastAsia="zh-CN"/>
        </w:rPr>
        <w:fldChar w:fldCharType="end"/>
      </w:r>
      <w:r>
        <w:rPr>
          <w:rFonts w:ascii="Times New Roman" w:hAnsi="Times New Roman" w:eastAsia="等线"/>
          <w:sz w:val="18"/>
          <w:szCs w:val="18"/>
          <w:lang w:eastAsia="zh-CN"/>
        </w:rPr>
        <w:t xml:space="preserve"> (Huanying Zhou</w:t>
      </w:r>
      <w:r>
        <w:rPr>
          <w:rFonts w:hint="eastAsia" w:ascii="Times New Roman" w:hAnsi="Times New Roman" w:eastAsia="等线"/>
          <w:sz w:val="18"/>
          <w:szCs w:val="18"/>
          <w:lang w:val="en-US" w:eastAsia="zh-CN"/>
        </w:rPr>
        <w:t>)</w:t>
      </w:r>
      <w:bookmarkStart w:id="5" w:name="_GoBack"/>
      <w:bookmarkEnd w:id="5"/>
    </w:p>
    <w:p>
      <w:pPr>
        <w:spacing w:line="480" w:lineRule="auto"/>
        <w:rPr>
          <w:rFonts w:ascii="Times New Roman" w:hAnsi="Times New Roman"/>
          <w:b/>
          <w:bCs/>
          <w:sz w:val="28"/>
          <w:szCs w:val="28"/>
        </w:rPr>
      </w:pPr>
    </w:p>
    <w:p>
      <w:pPr>
        <w:spacing w:line="240" w:lineRule="exact"/>
        <w:rPr>
          <w:rFonts w:ascii="Times New Roman" w:hAnsi="Times New Roman"/>
          <w:b/>
          <w:szCs w:val="21"/>
        </w:rPr>
      </w:pPr>
      <w:r>
        <w:rPr>
          <w:rFonts w:hint="eastAsia" w:ascii="Times New Roman" w:hAnsi="Times New Roman"/>
          <w:b/>
          <w:szCs w:val="21"/>
        </w:rPr>
        <w:t>Text S1 Synthesis</w:t>
      </w:r>
      <w:r>
        <w:rPr>
          <w:rFonts w:ascii="Times New Roman" w:hAnsi="Times New Roman"/>
          <w:b/>
          <w:szCs w:val="21"/>
        </w:rPr>
        <w:t xml:space="preserve"> </w:t>
      </w:r>
      <w:r>
        <w:rPr>
          <w:rFonts w:hint="eastAsia" w:ascii="Times New Roman" w:hAnsi="Times New Roman"/>
          <w:b/>
          <w:szCs w:val="21"/>
        </w:rPr>
        <w:t xml:space="preserve">of </w:t>
      </w:r>
      <w:bookmarkStart w:id="0" w:name="OLE_LINK1"/>
      <w:r>
        <w:rPr>
          <w:rFonts w:hint="eastAsia" w:ascii="Times New Roman" w:hAnsi="Times New Roman"/>
          <w:b/>
          <w:szCs w:val="21"/>
        </w:rPr>
        <w:t>mGO</w:t>
      </w:r>
      <w:bookmarkEnd w:id="0"/>
      <w:r>
        <w:rPr>
          <w:rFonts w:hint="eastAsia" w:ascii="Times New Roman" w:hAnsi="Times New Roman"/>
          <w:b/>
          <w:szCs w:val="21"/>
        </w:rPr>
        <w:t xml:space="preserve"> and </w:t>
      </w:r>
      <w:bookmarkStart w:id="1" w:name="OLE_LINK2"/>
      <w:r>
        <w:rPr>
          <w:rFonts w:hint="eastAsia" w:ascii="Times New Roman" w:hAnsi="Times New Roman"/>
          <w:b/>
          <w:szCs w:val="21"/>
        </w:rPr>
        <w:t>mTBC</w:t>
      </w:r>
      <w:bookmarkEnd w:id="1"/>
    </w:p>
    <w:p>
      <w:pPr>
        <w:spacing w:line="240" w:lineRule="exact"/>
        <w:ind w:firstLine="360" w:firstLineChars="200"/>
        <w:rPr>
          <w:rFonts w:hint="eastAsia" w:ascii="Times New Roman" w:hAnsi="Times New Roman"/>
          <w:sz w:val="18"/>
          <w:szCs w:val="18"/>
        </w:rPr>
      </w:pPr>
      <w:bookmarkStart w:id="2" w:name="OLE_LINK3"/>
      <w:r>
        <w:rPr>
          <w:rFonts w:hint="eastAsia" w:ascii="Times New Roman" w:hAnsi="Times New Roman"/>
          <w:sz w:val="18"/>
          <w:szCs w:val="18"/>
        </w:rPr>
        <w:t xml:space="preserve">The mGO and mTBC samples used for comparative studies were synthesized as follows: </w:t>
      </w:r>
      <w:r>
        <w:rPr>
          <w:rFonts w:ascii="Times New Roman" w:hAnsi="Times New Roman"/>
          <w:sz w:val="18"/>
          <w:szCs w:val="18"/>
        </w:rPr>
        <w:t xml:space="preserve">GO </w:t>
      </w:r>
      <w:r>
        <w:rPr>
          <w:rFonts w:hint="eastAsia" w:ascii="Times New Roman" w:hAnsi="Times New Roman"/>
          <w:sz w:val="18"/>
          <w:szCs w:val="18"/>
        </w:rPr>
        <w:t>was</w:t>
      </w:r>
      <w:r>
        <w:rPr>
          <w:rFonts w:ascii="Times New Roman" w:hAnsi="Times New Roman"/>
          <w:sz w:val="18"/>
          <w:szCs w:val="18"/>
        </w:rPr>
        <w:t xml:space="preserve"> prepared by modified Hummers’</w:t>
      </w:r>
      <w:r>
        <w:rPr>
          <w:rFonts w:hint="eastAsia" w:ascii="Times New Roman" w:hAnsi="Times New Roman"/>
          <w:sz w:val="18"/>
          <w:szCs w:val="18"/>
        </w:rPr>
        <w:t xml:space="preserve"> </w:t>
      </w:r>
      <w:r>
        <w:rPr>
          <w:rFonts w:ascii="Times New Roman" w:hAnsi="Times New Roman"/>
          <w:sz w:val="18"/>
          <w:szCs w:val="18"/>
        </w:rPr>
        <w:t>method. The mGO</w:t>
      </w:r>
      <w:r>
        <w:rPr>
          <w:rFonts w:ascii="Times New Roman" w:hAnsi="Times New Roman"/>
          <w:sz w:val="18"/>
          <w:szCs w:val="18"/>
          <w:vertAlign w:val="subscript"/>
        </w:rPr>
        <w:t xml:space="preserve"> </w:t>
      </w:r>
      <w:r>
        <w:rPr>
          <w:rFonts w:ascii="Times New Roman" w:hAnsi="Times New Roman"/>
          <w:sz w:val="18"/>
          <w:szCs w:val="18"/>
        </w:rPr>
        <w:t>was synthetized on basis of Tang</w:t>
      </w:r>
      <w:r>
        <w:rPr>
          <w:rFonts w:hint="eastAsia" w:ascii="Times New Roman" w:hAnsi="Times New Roman"/>
          <w:sz w:val="18"/>
          <w:szCs w:val="18"/>
        </w:rPr>
        <w:t xml:space="preserve"> </w:t>
      </w:r>
      <w:r>
        <w:rPr>
          <w:rFonts w:ascii="Times New Roman" w:hAnsi="Times New Roman"/>
          <w:sz w:val="18"/>
          <w:szCs w:val="18"/>
        </w:rPr>
        <w:fldChar w:fldCharType="begin"/>
      </w:r>
      <w:r>
        <w:rPr>
          <w:rFonts w:ascii="Times New Roman" w:hAnsi="Times New Roman"/>
          <w:sz w:val="18"/>
          <w:szCs w:val="18"/>
        </w:rPr>
        <w:instrText xml:space="preserve"> ADDIN EN.CITE &lt;EndNote&gt;&lt;Cite&gt;&lt;Author&gt;Tang&lt;/Author&gt;&lt;Year&gt;2019&lt;/Year&gt;&lt;RecNum&gt;22&lt;/RecNum&gt;&lt;DisplayText&gt;(Tang et al. 2019)&lt;/DisplayText&gt;&lt;record&gt;&lt;rec-number&gt;22&lt;/rec-number&gt;&lt;foreign-keys&gt;&lt;key app="EN" db-id="frazv9059axpzse99avxwpdbdxv00555x9pr" timestamp="1647589967"&gt;22&lt;/key&gt;&lt;/foreign-keys&gt;&lt;ref-type name="Journal Article"&gt;17&lt;/ref-type&gt;&lt;contributors&gt;&lt;authors&gt;&lt;author&gt;Tang, Hong-zhi&lt;/author&gt;&lt;author&gt;Wang, Yong-hui&lt;/author&gt;&lt;author&gt;Li, Shuang&lt;/author&gt;&lt;author&gt;Wu, Jin&lt;/author&gt;&lt;author&gt;Li, Jun-wen&lt;/author&gt;&lt;author&gt;Zhou, Huan-ying&lt;/author&gt;&lt;author&gt;Gao, Zhi-xian&lt;/author&gt;&lt;/authors&gt;&lt;/contributors&gt;&lt;titles&gt;&lt;title&gt;Graphene oxide composites for magnetic solid-phase extraction of twelve quinolones in water samples followed by MALDI-TOF MS&lt;/title&gt;&lt;secondary-title&gt;Analytical and Bioanalytical Chemistry&lt;/secondary-title&gt;&lt;/titles&gt;&lt;periodical&gt;&lt;full-title&gt;Analytical and Bioanalytical Chemistry&lt;/full-title&gt;&lt;abbr-1&gt;Anal. Bioanal. Chem.&lt;/abbr-1&gt;&lt;abbr-2&gt;Anal Bioanal Chem&lt;/abbr-2&gt;&lt;abbr-3&gt;Analytical &amp;amp; Bioanalytical Chemistry&lt;/abbr-3&gt;&lt;/periodical&gt;&lt;pages&gt;7039-7049&lt;/pages&gt;&lt;volume&gt;411&lt;/volume&gt;&lt;number&gt;26&lt;/number&gt;&lt;dates&gt;&lt;year&gt;2019&lt;/year&gt;&lt;pub-dates&gt;&lt;date&gt;Oct&lt;/date&gt;&lt;/pub-dates&gt;&lt;/dates&gt;&lt;accession-num&gt;WOS:000494832300024&lt;/accession-num&gt;&lt;urls&gt;&lt;related-urls&gt;&lt;url&gt;&amp;lt;Go to ISI&amp;gt;://WOS:000494832300024&lt;/url&gt;&lt;/related-urls&gt;&lt;/urls&gt;&lt;electronic-resource-num&gt;10.1007/s00216-019-02081-w&lt;/electronic-resource-num&gt;&lt;/record&gt;&lt;/Cite&gt;&lt;/EndNote&gt;</w:instrText>
      </w:r>
      <w:r>
        <w:rPr>
          <w:rFonts w:ascii="Times New Roman" w:hAnsi="Times New Roman"/>
          <w:sz w:val="18"/>
          <w:szCs w:val="18"/>
        </w:rPr>
        <w:fldChar w:fldCharType="separate"/>
      </w:r>
      <w:r>
        <w:rPr>
          <w:rFonts w:ascii="Times New Roman" w:hAnsi="Times New Roman"/>
          <w:sz w:val="18"/>
          <w:szCs w:val="18"/>
        </w:rPr>
        <w:t>(Tang et al. 2019)</w:t>
      </w:r>
      <w:r>
        <w:rPr>
          <w:rFonts w:ascii="Times New Roman" w:hAnsi="Times New Roman"/>
          <w:sz w:val="18"/>
          <w:szCs w:val="18"/>
        </w:rPr>
        <w:fldChar w:fldCharType="end"/>
      </w:r>
      <w:r>
        <w:rPr>
          <w:rFonts w:ascii="Times New Roman" w:hAnsi="Times New Roman"/>
          <w:sz w:val="18"/>
          <w:szCs w:val="18"/>
        </w:rPr>
        <w:t>.</w:t>
      </w:r>
      <w:r>
        <w:rPr>
          <w:rFonts w:hint="eastAsia" w:ascii="Times New Roman" w:hAnsi="Times New Roman"/>
          <w:sz w:val="18"/>
          <w:szCs w:val="18"/>
        </w:rPr>
        <w:t xml:space="preserve"> </w:t>
      </w:r>
      <w:r>
        <w:rPr>
          <w:rFonts w:ascii="Times New Roman" w:hAnsi="Times New Roman"/>
          <w:sz w:val="18"/>
          <w:szCs w:val="18"/>
        </w:rPr>
        <w:t>A mixture of 0.2g GO in 50 mL water was ultrasonicated for 3h. Then, 0.1g EDC and 0.025g NHS were added into the solution and vortex in dark conditions for 20 minutes. Next, 0.2g Fe</w:t>
      </w:r>
      <w:r>
        <w:rPr>
          <w:rFonts w:ascii="Times New Roman" w:hAnsi="Times New Roman"/>
          <w:sz w:val="18"/>
          <w:szCs w:val="18"/>
          <w:vertAlign w:val="subscript"/>
        </w:rPr>
        <w:t>3</w:t>
      </w:r>
      <w:r>
        <w:rPr>
          <w:rFonts w:ascii="Times New Roman" w:hAnsi="Times New Roman"/>
          <w:sz w:val="18"/>
          <w:szCs w:val="18"/>
        </w:rPr>
        <w:t>O</w:t>
      </w:r>
      <w:r>
        <w:rPr>
          <w:rFonts w:ascii="Times New Roman" w:hAnsi="Times New Roman"/>
          <w:sz w:val="18"/>
          <w:szCs w:val="18"/>
          <w:vertAlign w:val="subscript"/>
        </w:rPr>
        <w:t>4</w:t>
      </w:r>
      <w:r>
        <w:rPr>
          <w:rFonts w:ascii="Times New Roman" w:hAnsi="Times New Roman"/>
          <w:sz w:val="18"/>
          <w:szCs w:val="18"/>
        </w:rPr>
        <w:t xml:space="preserve"> was synthesized according to our previous work</w:t>
      </w:r>
      <w:r>
        <w:rPr>
          <w:rFonts w:hint="eastAsia" w:ascii="Times New Roman" w:hAnsi="Times New Roman"/>
          <w:sz w:val="18"/>
          <w:szCs w:val="18"/>
        </w:rPr>
        <w:t xml:space="preserve"> </w:t>
      </w:r>
      <w:r>
        <w:rPr>
          <w:rFonts w:ascii="Times New Roman" w:hAnsi="Times New Roman"/>
          <w:sz w:val="18"/>
          <w:szCs w:val="18"/>
        </w:rPr>
        <w:fldChar w:fldCharType="begin">
          <w:fldData xml:space="preserve">PEVuZE5vdGU+PENpdGU+PEF1dGhvcj5MaXU8L0F1dGhvcj48WWVhcj4yMDIyPC9ZZWFyPjxSZWNO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</w:fldData>
        </w:fldChar>
      </w:r>
      <w:r>
        <w:rPr>
          <w:rFonts w:ascii="Times New Roman" w:hAnsi="Times New Roman"/>
          <w:sz w:val="18"/>
          <w:szCs w:val="18"/>
        </w:rPr>
        <w:instrText xml:space="preserve"> ADDIN EN.CITE </w:instrText>
      </w:r>
      <w:r>
        <w:rPr>
          <w:rFonts w:ascii="Times New Roman" w:hAnsi="Times New Roman"/>
          <w:sz w:val="18"/>
          <w:szCs w:val="18"/>
        </w:rPr>
        <w:fldChar w:fldCharType="begin">
          <w:fldData xml:space="preserve">PEVuZE5vdGU+PENpdGU+PEF1dGhvcj5MaXU8L0F1dGhvcj48WWVhcj4yMDIyPC9ZZWFyPjxSZWNO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</w:fldData>
        </w:fldChar>
      </w:r>
      <w:r>
        <w:rPr>
          <w:rFonts w:ascii="Times New Roman" w:hAnsi="Times New Roman"/>
          <w:sz w:val="18"/>
          <w:szCs w:val="18"/>
        </w:rPr>
        <w:instrText xml:space="preserve"> ADDIN EN.CITE.DATA </w:instrText>
      </w:r>
      <w:r>
        <w:rPr>
          <w:rFonts w:ascii="Times New Roman" w:hAnsi="Times New Roman"/>
          <w:sz w:val="18"/>
          <w:szCs w:val="18"/>
        </w:rPr>
        <w:fldChar w:fldCharType="end"/>
      </w:r>
      <w:r>
        <w:rPr>
          <w:rFonts w:ascii="Times New Roman" w:hAnsi="Times New Roman"/>
          <w:sz w:val="18"/>
          <w:szCs w:val="18"/>
        </w:rPr>
        <w:fldChar w:fldCharType="separate"/>
      </w:r>
      <w:r>
        <w:rPr>
          <w:rFonts w:ascii="Times New Roman" w:hAnsi="Times New Roman"/>
          <w:sz w:val="18"/>
          <w:szCs w:val="18"/>
        </w:rPr>
        <w:t>(Liu et al. 2022)</w:t>
      </w:r>
      <w:r>
        <w:rPr>
          <w:rFonts w:ascii="Times New Roman" w:hAnsi="Times New Roman"/>
          <w:sz w:val="18"/>
          <w:szCs w:val="18"/>
        </w:rPr>
        <w:fldChar w:fldCharType="end"/>
      </w:r>
      <w:r>
        <w:rPr>
          <w:rFonts w:ascii="Times New Roman" w:hAnsi="Times New Roman"/>
          <w:sz w:val="18"/>
          <w:szCs w:val="18"/>
          <w:vertAlign w:val="subscript"/>
        </w:rPr>
        <w:t xml:space="preserve"> </w:t>
      </w:r>
      <w:r>
        <w:rPr>
          <w:rFonts w:ascii="Times New Roman" w:hAnsi="Times New Roman"/>
          <w:sz w:val="18"/>
          <w:szCs w:val="18"/>
        </w:rPr>
        <w:t xml:space="preserve"> and was added under swirl for 4-8 hour.</w:t>
      </w:r>
      <w:r>
        <w:rPr>
          <w:rFonts w:hint="eastAsia" w:ascii="Times New Roman" w:hAnsi="Times New Roman"/>
          <w:sz w:val="18"/>
          <w:szCs w:val="18"/>
        </w:rPr>
        <w:t xml:space="preserve"> </w:t>
      </w:r>
      <w:r>
        <w:rPr>
          <w:rFonts w:ascii="Times New Roman" w:hAnsi="Times New Roman"/>
          <w:sz w:val="18"/>
          <w:szCs w:val="18"/>
        </w:rPr>
        <w:t>MGO was collected by magnetic separation and washed with water several times. The magnetic composites were dried under vacuum at 60℃ and stored at room temperature. 1.2 g mGO was dispersed in 60 mL deionized water. The dried mGO are stored at room temperature.</w:t>
      </w:r>
      <w:r>
        <w:rPr>
          <w:rFonts w:hint="eastAsia" w:ascii="Times New Roman" w:hAnsi="Times New Roman"/>
          <w:sz w:val="18"/>
          <w:szCs w:val="18"/>
        </w:rPr>
        <w:t xml:space="preserve"> mTBC </w:t>
      </w:r>
      <w:r>
        <w:rPr>
          <w:rFonts w:ascii="Times New Roman" w:hAnsi="Times New Roman"/>
          <w:sz w:val="18"/>
          <w:szCs w:val="18"/>
        </w:rPr>
        <w:t>was synthesized as follow:</w:t>
      </w:r>
      <w:r>
        <w:rPr>
          <w:rFonts w:hint="eastAsia" w:ascii="Times New Roman" w:hAnsi="Times New Roman"/>
          <w:sz w:val="18"/>
          <w:szCs w:val="18"/>
        </w:rPr>
        <w:t xml:space="preserve"> TBC and </w:t>
      </w:r>
      <w:r>
        <w:rPr>
          <w:rFonts w:ascii="Times New Roman" w:hAnsi="Times New Roman"/>
          <w:sz w:val="18"/>
          <w:szCs w:val="18"/>
        </w:rPr>
        <w:t>Fe</w:t>
      </w:r>
      <w:r>
        <w:rPr>
          <w:rFonts w:ascii="Times New Roman" w:hAnsi="Times New Roman"/>
          <w:sz w:val="18"/>
          <w:szCs w:val="18"/>
          <w:vertAlign w:val="subscript"/>
        </w:rPr>
        <w:t>3</w:t>
      </w:r>
      <w:r>
        <w:rPr>
          <w:rFonts w:ascii="Times New Roman" w:hAnsi="Times New Roman"/>
          <w:sz w:val="18"/>
          <w:szCs w:val="18"/>
        </w:rPr>
        <w:t>O</w:t>
      </w:r>
      <w:r>
        <w:rPr>
          <w:rFonts w:ascii="Times New Roman" w:hAnsi="Times New Roman"/>
          <w:sz w:val="18"/>
          <w:szCs w:val="18"/>
          <w:vertAlign w:val="subscript"/>
        </w:rPr>
        <w:t>4</w:t>
      </w:r>
      <w:r>
        <w:rPr>
          <w:rFonts w:hint="eastAsia" w:ascii="Times New Roman" w:hAnsi="Times New Roman"/>
          <w:sz w:val="18"/>
          <w:szCs w:val="18"/>
        </w:rPr>
        <w:t xml:space="preserve"> were mixed </w:t>
      </w:r>
      <w:r>
        <w:rPr>
          <w:rFonts w:ascii="Times New Roman" w:hAnsi="Times New Roman"/>
          <w:sz w:val="18"/>
          <w:szCs w:val="18"/>
        </w:rPr>
        <w:t>at</w:t>
      </w:r>
      <w:r>
        <w:rPr>
          <w:rFonts w:hint="eastAsia" w:ascii="Times New Roman" w:hAnsi="Times New Roman"/>
          <w:sz w:val="18"/>
          <w:szCs w:val="18"/>
        </w:rPr>
        <w:t xml:space="preserve"> ratio 1:1 and stirred continuously for 6-8 h. The following steps were the same as for mGO/TBC preparation.</w:t>
      </w:r>
    </w:p>
    <w:p>
      <w:pPr>
        <w:spacing w:line="240" w:lineRule="exact"/>
        <w:rPr>
          <w:rFonts w:ascii="Times New Roman" w:hAnsi="Times New Roman"/>
          <w:sz w:val="18"/>
          <w:szCs w:val="18"/>
        </w:rPr>
      </w:pPr>
    </w:p>
    <w:p>
      <w:pPr>
        <w:spacing w:line="240" w:lineRule="exact"/>
        <w:rPr>
          <w:rFonts w:ascii="Times New Roman" w:hAnsi="Times New Roman"/>
          <w:b/>
          <w:szCs w:val="21"/>
        </w:rPr>
      </w:pPr>
      <w:r>
        <w:rPr>
          <w:rFonts w:hint="eastAsia" w:ascii="Times New Roman" w:hAnsi="Times New Roman"/>
          <w:b/>
          <w:szCs w:val="21"/>
        </w:rPr>
        <w:t>Text S2 Materials characterization</w:t>
      </w:r>
    </w:p>
    <w:p>
      <w:pPr>
        <w:spacing w:line="240" w:lineRule="exact"/>
        <w:ind w:firstLine="360" w:firstLineChars="200"/>
        <w:rPr>
          <w:rFonts w:ascii="Times New Roman" w:hAnsi="Times New Roman"/>
          <w:sz w:val="18"/>
          <w:szCs w:val="18"/>
        </w:rPr>
      </w:pPr>
      <w:r>
        <w:rPr>
          <w:rFonts w:hint="eastAsia" w:ascii="Times New Roman" w:hAnsi="Times New Roman"/>
          <w:sz w:val="18"/>
          <w:szCs w:val="18"/>
        </w:rPr>
        <w:t>The crystal morphology of the material was recorded by scanning electron microscopy (SEM) (Merlin compact, Germany). For elemental analysis, the microscope was coupled to an energy dispersive spectroscopy (EDS) detector (Oxford-Xplore, UK). X-ray photoelectron spectroscopy (XPS) measurements were performed on a Thermo Escalab 250XI electron spectrometer (USA). The magnetic property of the sample was determined by vibrating sample magnetometer (VSM, Quantum Design, USA). The generated radicals were investigated by an electron spin resonance spectrometer (ESR, Bruker A300, Germany). The surface functional groups were analyzed by an Is5 fourier transform infrared spectrometer (FTIR, Thermo Corp, USA). The specific surface area (SSA), total pore volume (PVs) and mean pore diameter (Dp) of biochar were analyzed with a surface area analyzer (Micromeritics ASAP 2020, USA) using N2 gas as the adsorbate at 77 K. BET and t-plot model were applied to calculate the specific surface area of biochar. The powder X-ray diffraction analysis was performed to identify the samples’ mineral phases and crystal structure with CuKα radiation using an X-ray diffractometer system (XRD, Empyrean, Panalytical, Netherland).</w:t>
      </w:r>
    </w:p>
    <w:p>
      <w:pPr>
        <w:spacing w:line="240" w:lineRule="exact"/>
        <w:rPr>
          <w:rFonts w:ascii="Times New Roman" w:hAnsi="Times New Roman" w:eastAsiaTheme="minorEastAsia"/>
          <w:b/>
          <w:color w:val="000000" w:themeColor="text1"/>
          <w:sz w:val="28"/>
          <w:szCs w:val="28"/>
          <w14:textFill>
            <w14:solidFill>
              <w14:schemeClr w14:val="tx1"/>
            </w14:solidFill>
          </w14:textFill>
        </w:rPr>
      </w:pPr>
    </w:p>
    <w:p>
      <w:pPr>
        <w:spacing w:line="240" w:lineRule="exact"/>
        <w:rPr>
          <w:rFonts w:ascii="Times New Roman" w:hAnsi="Times New Roman"/>
          <w:b/>
          <w:szCs w:val="21"/>
        </w:rPr>
      </w:pPr>
      <w:r>
        <w:rPr>
          <w:rFonts w:hint="eastAsia" w:ascii="Times New Roman" w:hAnsi="Times New Roman"/>
          <w:b/>
          <w:szCs w:val="21"/>
        </w:rPr>
        <w:t xml:space="preserve">Equations S1, S2 and S3. </w:t>
      </w:r>
    </w:p>
    <w:p>
      <w:pPr>
        <w:spacing w:line="240" w:lineRule="exact"/>
        <w:ind w:firstLine="360" w:firstLineChars="200"/>
        <w:rPr>
          <w:rFonts w:ascii="Times New Roman" w:hAnsi="Times New Roman"/>
          <w:sz w:val="18"/>
          <w:szCs w:val="18"/>
        </w:rPr>
      </w:pPr>
      <w:r>
        <w:rPr>
          <w:rFonts w:hint="eastAsia" w:ascii="Times New Roman" w:hAnsi="Times New Roman"/>
          <w:sz w:val="18"/>
          <w:szCs w:val="18"/>
        </w:rPr>
        <w:t>The adsorption curve of mGO/TBC to SAs and QNs was fitted with fitted first/second-order kinetics and the intra-particle diffusion model with the following equations.</w:t>
      </w:r>
    </w:p>
    <w:p>
      <w:pPr>
        <w:spacing w:line="480" w:lineRule="auto"/>
        <w:jc w:val="distribute"/>
        <w:rPr>
          <w:rFonts w:ascii="Times New Roman" w:hAnsi="Times New Roman"/>
          <w:sz w:val="18"/>
          <w:szCs w:val="18"/>
        </w:rPr>
      </w:pPr>
      <w:r>
        <w:rPr>
          <w:rFonts w:ascii="Times New Roman" w:hAnsi="Times New Roman"/>
          <w:sz w:val="18"/>
          <w:szCs w:val="18"/>
        </w:rPr>
        <w:t>ln (Q</w:t>
      </w:r>
      <w:r>
        <w:rPr>
          <w:rFonts w:ascii="Times New Roman" w:hAnsi="Times New Roman"/>
          <w:sz w:val="18"/>
          <w:szCs w:val="18"/>
          <w:vertAlign w:val="subscript"/>
        </w:rPr>
        <w:t>e</w:t>
      </w:r>
      <w:r>
        <w:rPr>
          <w:rFonts w:ascii="Times New Roman" w:hAnsi="Times New Roman"/>
          <w:sz w:val="18"/>
          <w:szCs w:val="18"/>
        </w:rPr>
        <w:t>-Q</w:t>
      </w:r>
      <w:r>
        <w:rPr>
          <w:rFonts w:ascii="Times New Roman" w:hAnsi="Times New Roman"/>
          <w:sz w:val="18"/>
          <w:szCs w:val="18"/>
          <w:vertAlign w:val="subscript"/>
        </w:rPr>
        <w:t xml:space="preserve">t </w:t>
      </w:r>
      <w:r>
        <w:rPr>
          <w:rFonts w:ascii="Times New Roman" w:hAnsi="Times New Roman"/>
          <w:sz w:val="18"/>
          <w:szCs w:val="18"/>
        </w:rPr>
        <w:t>)= ln Q</w:t>
      </w:r>
      <w:r>
        <w:rPr>
          <w:rFonts w:ascii="Times New Roman" w:hAnsi="Times New Roman"/>
          <w:sz w:val="18"/>
          <w:szCs w:val="18"/>
          <w:vertAlign w:val="subscript"/>
        </w:rPr>
        <w:t>e</w:t>
      </w:r>
      <w:r>
        <w:rPr>
          <w:rFonts w:ascii="Times New Roman" w:hAnsi="Times New Roman"/>
          <w:sz w:val="18"/>
          <w:szCs w:val="18"/>
        </w:rPr>
        <w:t xml:space="preserve"> - k</w:t>
      </w:r>
      <w:r>
        <w:rPr>
          <w:rFonts w:ascii="Times New Roman" w:hAnsi="Times New Roman"/>
          <w:sz w:val="18"/>
          <w:szCs w:val="18"/>
          <w:vertAlign w:val="subscript"/>
        </w:rPr>
        <w:t>1</w:t>
      </w:r>
      <w:r>
        <w:rPr>
          <w:rFonts w:ascii="Times New Roman" w:hAnsi="Times New Roman"/>
          <w:sz w:val="18"/>
          <w:szCs w:val="18"/>
        </w:rPr>
        <w:t xml:space="preserve">t                                              </w:t>
      </w:r>
      <w:r>
        <w:rPr>
          <w:rFonts w:hint="eastAsia" w:ascii="Times New Roman" w:hAnsi="Times New Roman"/>
          <w:sz w:val="18"/>
          <w:szCs w:val="18"/>
        </w:rPr>
        <w:t xml:space="preserve">                       </w:t>
      </w:r>
      <w:r>
        <w:rPr>
          <w:rFonts w:ascii="Times New Roman" w:hAnsi="Times New Roman"/>
          <w:sz w:val="18"/>
          <w:szCs w:val="18"/>
        </w:rPr>
        <w:t xml:space="preserve">   (1)</w:t>
      </w:r>
    </w:p>
    <w:p>
      <w:pPr>
        <w:spacing w:line="480" w:lineRule="auto"/>
        <w:jc w:val="distribute"/>
        <w:rPr>
          <w:rFonts w:ascii="Times New Roman" w:hAnsi="Times New Roman"/>
          <w:sz w:val="18"/>
          <w:szCs w:val="18"/>
        </w:rPr>
      </w:pPr>
      <w:r>
        <w:rPr>
          <w:rFonts w:ascii="Times New Roman" w:hAnsi="Times New Roman"/>
          <w:position w:val="-30"/>
          <w:sz w:val="24"/>
        </w:rPr>
        <w:object>
          <v:shape id="_x0000_i1025" o:spt="75" type="#_x0000_t75" style="height:34.8pt;width:73.8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w:t>
      </w:r>
      <w:r>
        <w:rPr>
          <w:rFonts w:ascii="Times New Roman" w:hAnsi="Times New Roman"/>
          <w:sz w:val="18"/>
          <w:szCs w:val="18"/>
        </w:rPr>
        <w:t xml:space="preserve"> (2)</w:t>
      </w:r>
    </w:p>
    <w:p>
      <w:pPr>
        <w:spacing w:line="480" w:lineRule="auto"/>
        <w:jc w:val="distribute"/>
        <w:rPr>
          <w:rFonts w:ascii="Times New Roman" w:hAnsi="Times New Roman"/>
          <w:sz w:val="18"/>
          <w:szCs w:val="18"/>
        </w:rPr>
      </w:pPr>
      <w:r>
        <w:rPr>
          <w:rFonts w:ascii="Times New Roman" w:hAnsi="Times New Roman"/>
          <w:position w:val="-12"/>
          <w:sz w:val="18"/>
          <w:szCs w:val="18"/>
        </w:rPr>
        <w:object>
          <v:shape id="_x0000_i1026" o:spt="75" type="#_x0000_t75" style="height:27.6pt;width:66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r>
        <w:rPr>
          <w:rFonts w:ascii="Times New Roman" w:hAnsi="Times New Roman"/>
          <w:sz w:val="18"/>
          <w:szCs w:val="18"/>
        </w:rPr>
        <w:t xml:space="preserve">                           </w:t>
      </w:r>
      <w:r>
        <w:rPr>
          <w:rFonts w:hint="eastAsia" w:ascii="Times New Roman" w:hAnsi="Times New Roman"/>
          <w:sz w:val="18"/>
          <w:szCs w:val="18"/>
        </w:rPr>
        <w:t xml:space="preserve"> </w:t>
      </w:r>
      <w:r>
        <w:rPr>
          <w:rFonts w:ascii="Times New Roman" w:hAnsi="Times New Roman"/>
          <w:sz w:val="18"/>
          <w:szCs w:val="18"/>
        </w:rPr>
        <w:t xml:space="preserve">              </w:t>
      </w:r>
      <w:r>
        <w:rPr>
          <w:rFonts w:hint="eastAsia" w:ascii="Times New Roman" w:hAnsi="Times New Roman"/>
          <w:sz w:val="18"/>
          <w:szCs w:val="18"/>
        </w:rPr>
        <w:t xml:space="preserve">                              </w:t>
      </w:r>
      <w:r>
        <w:rPr>
          <w:rFonts w:ascii="Times New Roman" w:hAnsi="Times New Roman"/>
          <w:sz w:val="18"/>
          <w:szCs w:val="18"/>
        </w:rPr>
        <w:t xml:space="preserve">   (3)</w:t>
      </w:r>
    </w:p>
    <w:p>
      <w:pPr>
        <w:spacing w:line="240" w:lineRule="exact"/>
        <w:ind w:firstLine="360" w:firstLineChars="200"/>
        <w:rPr>
          <w:rFonts w:ascii="Times New Roman" w:hAnsi="Times New Roman"/>
          <w:sz w:val="18"/>
          <w:szCs w:val="18"/>
        </w:rPr>
      </w:pPr>
      <w:r>
        <w:rPr>
          <w:rFonts w:hint="eastAsia" w:ascii="Times New Roman" w:hAnsi="Times New Roman"/>
          <w:sz w:val="18"/>
          <w:szCs w:val="18"/>
        </w:rPr>
        <w:t>Where Q</w:t>
      </w:r>
      <w:r>
        <w:rPr>
          <w:rFonts w:hint="eastAsia" w:ascii="Times New Roman" w:hAnsi="Times New Roman"/>
          <w:sz w:val="18"/>
          <w:szCs w:val="18"/>
          <w:vertAlign w:val="subscript"/>
        </w:rPr>
        <w:t>t</w:t>
      </w:r>
      <w:r>
        <w:rPr>
          <w:rFonts w:hint="eastAsia" w:ascii="Times New Roman" w:hAnsi="Times New Roman"/>
          <w:sz w:val="18"/>
          <w:szCs w:val="18"/>
        </w:rPr>
        <w:t xml:space="preserve"> (mg/g) was the adsorption capacity at time t (min), k</w:t>
      </w:r>
      <w:r>
        <w:rPr>
          <w:rFonts w:hint="eastAsia" w:ascii="Times New Roman" w:hAnsi="Times New Roman"/>
          <w:sz w:val="18"/>
          <w:szCs w:val="18"/>
          <w:vertAlign w:val="subscript"/>
        </w:rPr>
        <w:t>1</w:t>
      </w:r>
      <w:r>
        <w:rPr>
          <w:rFonts w:hint="eastAsia" w:ascii="Times New Roman" w:hAnsi="Times New Roman"/>
          <w:sz w:val="18"/>
          <w:szCs w:val="18"/>
        </w:rPr>
        <w:t xml:space="preserve"> (min</w:t>
      </w:r>
      <w:r>
        <w:rPr>
          <w:rFonts w:hint="eastAsia" w:ascii="Times New Roman" w:hAnsi="Times New Roman"/>
          <w:sz w:val="18"/>
          <w:szCs w:val="18"/>
          <w:vertAlign w:val="superscript"/>
        </w:rPr>
        <w:t>−1</w:t>
      </w:r>
      <w:r>
        <w:rPr>
          <w:rFonts w:hint="eastAsia" w:ascii="Times New Roman" w:hAnsi="Times New Roman"/>
          <w:sz w:val="18"/>
          <w:szCs w:val="18"/>
        </w:rPr>
        <w:t>) and k</w:t>
      </w:r>
      <w:r>
        <w:rPr>
          <w:rFonts w:hint="eastAsia" w:ascii="Times New Roman" w:hAnsi="Times New Roman"/>
          <w:sz w:val="18"/>
          <w:szCs w:val="18"/>
          <w:vertAlign w:val="subscript"/>
        </w:rPr>
        <w:t>2</w:t>
      </w:r>
      <w:r>
        <w:rPr>
          <w:rFonts w:hint="eastAsia" w:ascii="Times New Roman" w:hAnsi="Times New Roman"/>
          <w:sz w:val="18"/>
          <w:szCs w:val="18"/>
        </w:rPr>
        <w:t xml:space="preserve"> (g/(min·mg)) were rate constants of pseudo-first/second order models, respectively. The k</w:t>
      </w:r>
      <w:r>
        <w:rPr>
          <w:rFonts w:hint="eastAsia" w:ascii="Times New Roman" w:hAnsi="Times New Roman"/>
          <w:sz w:val="18"/>
          <w:szCs w:val="18"/>
          <w:vertAlign w:val="subscript"/>
        </w:rPr>
        <w:t>3</w:t>
      </w:r>
      <w:r>
        <w:rPr>
          <w:rFonts w:hint="eastAsia" w:ascii="Times New Roman" w:hAnsi="Times New Roman"/>
          <w:sz w:val="18"/>
          <w:szCs w:val="18"/>
        </w:rPr>
        <w:t xml:space="preserve"> was the adsorption rate constant of the intra-particle diffusion model equation and C was the constant. </w:t>
      </w:r>
    </w:p>
    <w:p>
      <w:pPr>
        <w:spacing w:line="240" w:lineRule="exact"/>
        <w:ind w:firstLine="360" w:firstLineChars="200"/>
        <w:rPr>
          <w:rFonts w:ascii="Times New Roman" w:hAnsi="Times New Roman"/>
          <w:sz w:val="18"/>
          <w:szCs w:val="18"/>
        </w:rPr>
      </w:pPr>
      <w:r>
        <w:rPr>
          <w:rFonts w:hint="eastAsia" w:ascii="Times New Roman" w:hAnsi="Times New Roman"/>
          <w:sz w:val="18"/>
          <w:szCs w:val="18"/>
        </w:rPr>
        <w:t>After fitting, the adsorption kinetics and isotherm parameters after regression were listed in Table S2 and Table S3, respectively.</w:t>
      </w:r>
    </w:p>
    <w:p>
      <w:pPr>
        <w:spacing w:line="480" w:lineRule="auto"/>
        <w:rPr>
          <w:rFonts w:ascii="Times New Roman" w:hAnsi="Times New Roman"/>
          <w:sz w:val="28"/>
          <w:szCs w:val="28"/>
        </w:rPr>
      </w:pPr>
      <w:r>
        <w:rPr>
          <w:rFonts w:ascii="Times New Roman" w:hAnsi="Times New Roman"/>
          <w:sz w:val="28"/>
          <w:szCs w:val="28"/>
        </w:rPr>
        <w:drawing>
          <wp:inline distT="0" distB="0" distL="114300" distR="114300">
            <wp:extent cx="5266690" cy="5335905"/>
            <wp:effectExtent l="0" t="0" r="6350" b="13335"/>
            <wp:docPr id="9" name="图片 9" descr="e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ds2"/>
                    <pic:cNvPicPr>
                      <a:picLocks noChangeAspect="1"/>
                    </pic:cNvPicPr>
                  </pic:nvPicPr>
                  <pic:blipFill>
                    <a:blip r:embed="rId8"/>
                    <a:stretch>
                      <a:fillRect/>
                    </a:stretch>
                  </pic:blipFill>
                  <pic:spPr>
                    <a:xfrm>
                      <a:off x="0" y="0"/>
                      <a:ext cx="5266690" cy="5335905"/>
                    </a:xfrm>
                    <a:prstGeom prst="rect">
                      <a:avLst/>
                    </a:prstGeom>
                  </pic:spPr>
                </pic:pic>
              </a:graphicData>
            </a:graphic>
          </wp:inline>
        </w:drawing>
      </w:r>
    </w:p>
    <w:p>
      <w:pPr>
        <w:spacing w:line="240" w:lineRule="exact"/>
        <w:jc w:val="center"/>
        <w:rPr>
          <w:rFonts w:ascii="Times New Roman" w:hAnsi="Times New Roman"/>
          <w:sz w:val="18"/>
          <w:szCs w:val="18"/>
        </w:rPr>
      </w:pPr>
      <w:r>
        <w:rPr>
          <w:rFonts w:hint="eastAsia" w:ascii="Times New Roman" w:hAnsi="Times New Roman"/>
          <w:sz w:val="18"/>
          <w:szCs w:val="18"/>
          <w:lang w:eastAsia="en-US"/>
        </w:rPr>
        <w:t>Fig</w:t>
      </w:r>
      <w:r>
        <w:rPr>
          <w:rFonts w:hint="eastAsia" w:ascii="Times New Roman" w:hAnsi="Times New Roman"/>
          <w:sz w:val="18"/>
          <w:szCs w:val="18"/>
        </w:rPr>
        <w:t>.</w:t>
      </w:r>
      <w:r>
        <w:rPr>
          <w:rFonts w:hint="eastAsia" w:ascii="Times New Roman" w:hAnsi="Times New Roman"/>
          <w:sz w:val="18"/>
          <w:szCs w:val="18"/>
          <w:lang w:eastAsia="en-US"/>
        </w:rPr>
        <w:t xml:space="preserve"> S1</w:t>
      </w:r>
      <w:r>
        <w:rPr>
          <w:rFonts w:hint="eastAsia" w:ascii="Times New Roman" w:hAnsi="Times New Roman"/>
          <w:sz w:val="18"/>
          <w:szCs w:val="18"/>
        </w:rPr>
        <w:t xml:space="preserve"> Element mapping images of TBC (a) and mGO (b).</w:t>
      </w:r>
    </w:p>
    <w:bookmarkEnd w:id="2"/>
    <w:p>
      <w:pPr>
        <w:spacing w:line="480" w:lineRule="auto"/>
        <w:jc w:val="left"/>
        <w:rPr>
          <w:rFonts w:ascii="Times New Roman" w:hAnsi="Times New Roman"/>
          <w:b/>
          <w:bCs/>
          <w:kern w:val="20"/>
          <w:sz w:val="28"/>
          <w:szCs w:val="28"/>
        </w:rPr>
      </w:pPr>
    </w:p>
    <w:p>
      <w:pPr>
        <w:spacing w:line="480" w:lineRule="auto"/>
        <w:rPr>
          <w:rFonts w:ascii="Times New Roman" w:hAnsi="Times New Roman"/>
          <w:sz w:val="28"/>
          <w:szCs w:val="28"/>
        </w:rPr>
      </w:pPr>
      <w:r>
        <w:rPr>
          <w:rFonts w:hint="eastAsia" w:ascii="Times New Roman" w:hAnsi="Times New Roman"/>
          <w:sz w:val="28"/>
          <w:szCs w:val="28"/>
        </w:rPr>
        <w:drawing>
          <wp:inline distT="0" distB="0" distL="114300" distR="114300">
            <wp:extent cx="5272405" cy="4144645"/>
            <wp:effectExtent l="0" t="0" r="635" b="635"/>
            <wp:docPr id="3" name="图片 3" descr="G:\because of me\experiment\characterization analysis\实验\20220317庞薇XRD\3.ti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because of me\experiment\characterization analysis\实验\20220317庞薇XRD\3.tif3"/>
                    <pic:cNvPicPr>
                      <a:picLocks noChangeAspect="1"/>
                    </pic:cNvPicPr>
                  </pic:nvPicPr>
                  <pic:blipFill>
                    <a:blip r:embed="rId9"/>
                    <a:srcRect/>
                    <a:stretch>
                      <a:fillRect/>
                    </a:stretch>
                  </pic:blipFill>
                  <pic:spPr>
                    <a:xfrm>
                      <a:off x="0" y="0"/>
                      <a:ext cx="5272405" cy="4144645"/>
                    </a:xfrm>
                    <a:prstGeom prst="rect">
                      <a:avLst/>
                    </a:prstGeom>
                  </pic:spPr>
                </pic:pic>
              </a:graphicData>
            </a:graphic>
          </wp:inline>
        </w:drawing>
      </w:r>
    </w:p>
    <w:p>
      <w:pPr>
        <w:spacing w:line="240" w:lineRule="exact"/>
        <w:jc w:val="center"/>
        <w:rPr>
          <w:rFonts w:ascii="Times New Roman" w:hAnsi="Times New Roman"/>
          <w:sz w:val="18"/>
          <w:szCs w:val="18"/>
          <w:lang w:eastAsia="en-US"/>
        </w:rPr>
      </w:pPr>
      <w:r>
        <w:rPr>
          <w:rFonts w:hint="eastAsia" w:ascii="Times New Roman" w:hAnsi="Times New Roman"/>
          <w:sz w:val="18"/>
          <w:szCs w:val="18"/>
          <w:lang w:eastAsia="en-US"/>
        </w:rPr>
        <w:t>Fig. S2 XRD patterns of mGO/TBC before and after reaction.</w:t>
      </w:r>
    </w:p>
    <w:p>
      <w:pPr>
        <w:widowControl/>
        <w:spacing w:line="480" w:lineRule="auto"/>
        <w:jc w:val="left"/>
        <w:rPr>
          <w:rFonts w:ascii="Times New Roman" w:hAnsi="Times New Roman"/>
          <w:sz w:val="24"/>
          <w:szCs w:val="24"/>
        </w:rPr>
      </w:pPr>
    </w:p>
    <w:p>
      <w:pPr>
        <w:spacing w:line="240" w:lineRule="exact"/>
        <w:jc w:val="center"/>
        <w:rPr>
          <w:rFonts w:ascii="Times New Roman" w:hAnsi="Times New Roman"/>
          <w:sz w:val="18"/>
          <w:szCs w:val="18"/>
          <w:lang w:eastAsia="en-US"/>
        </w:rPr>
      </w:pPr>
      <w:r>
        <w:rPr>
          <w:rFonts w:hint="eastAsia" w:ascii="Times New Roman" w:hAnsi="Times New Roman"/>
          <w:sz w:val="18"/>
          <w:szCs w:val="18"/>
          <w:lang w:eastAsia="en-US"/>
        </w:rPr>
        <w:t>Table S1 The BET surface area and pore volume of the samples.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2364"/>
        <w:gridCol w:w="2364"/>
        <w:gridCol w:w="2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3" w:type="dxa"/>
            <w:tcBorders>
              <w:top w:val="single" w:color="auto" w:sz="12" w:space="0"/>
              <w:left w:val="nil"/>
              <w:bottom w:val="single" w:color="auto" w:sz="8" w:space="0"/>
              <w:right w:val="nil"/>
            </w:tcBorders>
            <w:vAlign w:val="center"/>
          </w:tcPr>
          <w:p>
            <w:pPr>
              <w:widowControl/>
              <w:spacing w:line="480" w:lineRule="auto"/>
              <w:jc w:val="center"/>
              <w:rPr>
                <w:rFonts w:ascii="Times New Roman" w:hAnsi="Times New Roman" w:eastAsia="Times New Roman"/>
                <w:sz w:val="18"/>
                <w:szCs w:val="18"/>
              </w:rPr>
            </w:pPr>
            <w:r>
              <w:rPr>
                <w:rFonts w:hint="eastAsia" w:ascii="Times New Roman" w:hAnsi="Times New Roman" w:eastAsia="AdvTTe692faf0"/>
                <w:color w:val="231F20"/>
                <w:kern w:val="0"/>
                <w:sz w:val="18"/>
                <w:szCs w:val="18"/>
                <w:lang w:bidi="ar"/>
              </w:rPr>
              <w:t>Sample</w:t>
            </w:r>
          </w:p>
        </w:tc>
        <w:tc>
          <w:tcPr>
            <w:tcW w:w="2364" w:type="dxa"/>
            <w:tcBorders>
              <w:top w:val="single" w:color="auto" w:sz="12" w:space="0"/>
              <w:left w:val="nil"/>
              <w:bottom w:val="single" w:color="auto" w:sz="8"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BET Surface Area (m²/g)</w:t>
            </w:r>
          </w:p>
        </w:tc>
        <w:tc>
          <w:tcPr>
            <w:tcW w:w="2364" w:type="dxa"/>
            <w:tcBorders>
              <w:top w:val="single" w:color="auto" w:sz="12" w:space="0"/>
              <w:left w:val="nil"/>
              <w:bottom w:val="single" w:color="auto" w:sz="8"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Pore Volume (cm³/g)</w:t>
            </w:r>
          </w:p>
        </w:tc>
        <w:tc>
          <w:tcPr>
            <w:tcW w:w="2365" w:type="dxa"/>
            <w:tcBorders>
              <w:top w:val="single" w:color="auto" w:sz="12" w:space="0"/>
              <w:left w:val="nil"/>
              <w:bottom w:val="single" w:color="auto" w:sz="8"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Average Pore Size (nm)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tcBorders>
              <w:top w:val="single" w:color="auto" w:sz="8" w:space="0"/>
              <w:left w:val="nil"/>
              <w:bottom w:val="nil"/>
              <w:right w:val="nil"/>
            </w:tcBorders>
          </w:tcPr>
          <w:p>
            <w:pPr>
              <w:spacing w:line="480" w:lineRule="auto"/>
              <w:jc w:val="center"/>
              <w:rPr>
                <w:rFonts w:ascii="Times New Roman" w:hAnsi="Times New Roman" w:eastAsia="Times New Roman"/>
                <w:kern w:val="0"/>
                <w:sz w:val="18"/>
                <w:szCs w:val="18"/>
              </w:rPr>
            </w:pPr>
            <w:r>
              <w:rPr>
                <w:rFonts w:ascii="Times New Roman" w:hAnsi="Times New Roman" w:eastAsia="Times New Roman"/>
                <w:kern w:val="0"/>
                <w:sz w:val="18"/>
                <w:szCs w:val="18"/>
              </w:rPr>
              <w:t>TBC</w:t>
            </w:r>
          </w:p>
        </w:tc>
        <w:tc>
          <w:tcPr>
            <w:tcW w:w="2364" w:type="dxa"/>
            <w:tcBorders>
              <w:top w:val="single" w:color="auto" w:sz="8"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 xml:space="preserve">7.917 </w:t>
            </w:r>
          </w:p>
        </w:tc>
        <w:tc>
          <w:tcPr>
            <w:tcW w:w="2364" w:type="dxa"/>
            <w:tcBorders>
              <w:top w:val="single" w:color="auto" w:sz="8"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0.03</w:t>
            </w:r>
            <w:r>
              <w:rPr>
                <w:rFonts w:hint="eastAsia" w:ascii="Times New Roman" w:hAnsi="Times New Roman" w:eastAsia="Times New Roman"/>
                <w:sz w:val="18"/>
                <w:szCs w:val="18"/>
              </w:rPr>
              <w:t>6</w:t>
            </w:r>
          </w:p>
        </w:tc>
        <w:tc>
          <w:tcPr>
            <w:tcW w:w="2365" w:type="dxa"/>
            <w:tcBorders>
              <w:top w:val="single" w:color="auto" w:sz="8"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15.757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tcBorders>
              <w:top w:val="nil"/>
              <w:left w:val="nil"/>
              <w:bottom w:val="nil"/>
              <w:right w:val="nil"/>
            </w:tcBorders>
          </w:tcPr>
          <w:p>
            <w:pPr>
              <w:spacing w:line="480" w:lineRule="auto"/>
              <w:jc w:val="center"/>
              <w:rPr>
                <w:rFonts w:ascii="Times New Roman" w:hAnsi="Times New Roman" w:eastAsia="Times New Roman"/>
                <w:kern w:val="0"/>
                <w:sz w:val="18"/>
                <w:szCs w:val="18"/>
              </w:rPr>
            </w:pPr>
            <w:r>
              <w:rPr>
                <w:rFonts w:ascii="Times New Roman" w:hAnsi="Times New Roman" w:eastAsia="Times New Roman"/>
                <w:kern w:val="0"/>
                <w:sz w:val="18"/>
                <w:szCs w:val="18"/>
              </w:rPr>
              <w:t>m</w:t>
            </w:r>
            <w:r>
              <w:rPr>
                <w:rFonts w:hint="eastAsia" w:ascii="Times New Roman" w:hAnsi="Times New Roman" w:eastAsia="Times New Roman"/>
                <w:kern w:val="0"/>
                <w:sz w:val="18"/>
                <w:szCs w:val="18"/>
              </w:rPr>
              <w:t>TBC</w:t>
            </w:r>
          </w:p>
        </w:tc>
        <w:tc>
          <w:tcPr>
            <w:tcW w:w="2364"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13.160</w:t>
            </w:r>
          </w:p>
        </w:tc>
        <w:tc>
          <w:tcPr>
            <w:tcW w:w="2364"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0.072</w:t>
            </w:r>
          </w:p>
        </w:tc>
        <w:tc>
          <w:tcPr>
            <w:tcW w:w="2365"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28.254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tcBorders>
              <w:top w:val="nil"/>
              <w:left w:val="nil"/>
              <w:bottom w:val="nil"/>
              <w:right w:val="nil"/>
            </w:tcBorders>
          </w:tcPr>
          <w:p>
            <w:pPr>
              <w:spacing w:line="480" w:lineRule="auto"/>
              <w:jc w:val="center"/>
              <w:rPr>
                <w:rFonts w:ascii="Times New Roman" w:hAnsi="Times New Roman" w:eastAsia="Times New Roman"/>
                <w:kern w:val="0"/>
                <w:sz w:val="18"/>
                <w:szCs w:val="18"/>
              </w:rPr>
            </w:pPr>
            <w:r>
              <w:rPr>
                <w:rFonts w:ascii="Times New Roman" w:hAnsi="Times New Roman" w:eastAsia="Times New Roman"/>
                <w:kern w:val="0"/>
                <w:sz w:val="18"/>
                <w:szCs w:val="18"/>
              </w:rPr>
              <w:t>m</w:t>
            </w:r>
            <w:r>
              <w:rPr>
                <w:rFonts w:hint="eastAsia" w:ascii="Times New Roman" w:hAnsi="Times New Roman" w:eastAsia="Times New Roman"/>
                <w:kern w:val="0"/>
                <w:sz w:val="18"/>
                <w:szCs w:val="18"/>
              </w:rPr>
              <w:t>GO</w:t>
            </w:r>
          </w:p>
        </w:tc>
        <w:tc>
          <w:tcPr>
            <w:tcW w:w="2364"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hint="eastAsia" w:ascii="Times New Roman" w:hAnsi="Times New Roman" w:eastAsia="Times New Roman"/>
                <w:sz w:val="18"/>
                <w:szCs w:val="18"/>
              </w:rPr>
              <w:t>28.471</w:t>
            </w:r>
          </w:p>
        </w:tc>
        <w:tc>
          <w:tcPr>
            <w:tcW w:w="2364"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0.159</w:t>
            </w:r>
          </w:p>
        </w:tc>
        <w:tc>
          <w:tcPr>
            <w:tcW w:w="2365"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18.852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tcBorders>
              <w:top w:val="nil"/>
              <w:left w:val="nil"/>
              <w:bottom w:val="single" w:color="auto" w:sz="12" w:space="0"/>
              <w:right w:val="nil"/>
            </w:tcBorders>
          </w:tcPr>
          <w:p>
            <w:pPr>
              <w:spacing w:line="480" w:lineRule="auto"/>
              <w:jc w:val="center"/>
              <w:rPr>
                <w:rFonts w:ascii="Times New Roman" w:hAnsi="Times New Roman" w:eastAsia="Times New Roman"/>
                <w:kern w:val="0"/>
                <w:sz w:val="18"/>
                <w:szCs w:val="18"/>
              </w:rPr>
            </w:pPr>
            <w:r>
              <w:rPr>
                <w:rFonts w:ascii="Times New Roman" w:hAnsi="Times New Roman" w:eastAsia="Times New Roman"/>
                <w:kern w:val="0"/>
                <w:sz w:val="18"/>
                <w:szCs w:val="18"/>
              </w:rPr>
              <w:t>mGO/TBC</w:t>
            </w:r>
          </w:p>
        </w:tc>
        <w:tc>
          <w:tcPr>
            <w:tcW w:w="2364" w:type="dxa"/>
            <w:tcBorders>
              <w:top w:val="nil"/>
              <w:left w:val="nil"/>
              <w:bottom w:val="single" w:color="auto"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27.14</w:t>
            </w:r>
            <w:r>
              <w:rPr>
                <w:rFonts w:hint="eastAsia" w:ascii="Times New Roman" w:hAnsi="Times New Roman" w:eastAsia="Times New Roman"/>
                <w:sz w:val="18"/>
                <w:szCs w:val="18"/>
              </w:rPr>
              <w:t>2</w:t>
            </w:r>
          </w:p>
        </w:tc>
        <w:tc>
          <w:tcPr>
            <w:tcW w:w="2364" w:type="dxa"/>
            <w:tcBorders>
              <w:top w:val="nil"/>
              <w:left w:val="nil"/>
              <w:bottom w:val="single" w:color="auto"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0.10</w:t>
            </w:r>
            <w:r>
              <w:rPr>
                <w:rFonts w:hint="eastAsia" w:ascii="Times New Roman" w:hAnsi="Times New Roman" w:eastAsia="Times New Roman"/>
                <w:sz w:val="18"/>
                <w:szCs w:val="18"/>
              </w:rPr>
              <w:t>9</w:t>
            </w:r>
          </w:p>
        </w:tc>
        <w:tc>
          <w:tcPr>
            <w:tcW w:w="2365" w:type="dxa"/>
            <w:tcBorders>
              <w:top w:val="nil"/>
              <w:left w:val="nil"/>
              <w:bottom w:val="single" w:color="auto"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10.47</w:t>
            </w:r>
            <w:r>
              <w:rPr>
                <w:rFonts w:hint="eastAsia" w:ascii="Times New Roman" w:hAnsi="Times New Roman" w:eastAsia="Times New Roman"/>
                <w:sz w:val="18"/>
                <w:szCs w:val="18"/>
              </w:rPr>
              <w:t>1</w:t>
            </w:r>
          </w:p>
        </w:tc>
      </w:tr>
    </w:tbl>
    <w:p>
      <w:pPr>
        <w:spacing w:line="480" w:lineRule="auto"/>
        <w:rPr>
          <w:rFonts w:ascii="Times New Roman" w:hAnsi="Times New Roman"/>
          <w:sz w:val="28"/>
          <w:szCs w:val="28"/>
        </w:rPr>
      </w:pPr>
    </w:p>
    <w:p>
      <w:pPr>
        <w:spacing w:line="480" w:lineRule="auto"/>
        <w:rPr>
          <w:rFonts w:ascii="Times New Roman" w:hAnsi="Times New Roman"/>
          <w:sz w:val="28"/>
          <w:szCs w:val="28"/>
        </w:rPr>
      </w:pPr>
    </w:p>
    <w:p>
      <w:pPr>
        <w:spacing w:line="480" w:lineRule="auto"/>
        <w:rPr>
          <w:rFonts w:ascii="Times New Roman" w:hAnsi="Times New Roman"/>
          <w:sz w:val="28"/>
          <w:szCs w:val="28"/>
        </w:rPr>
      </w:pPr>
    </w:p>
    <w:p>
      <w:pPr>
        <w:spacing w:line="480" w:lineRule="auto"/>
        <w:rPr>
          <w:rFonts w:hint="eastAsia" w:ascii="Times New Roman" w:hAnsi="Times New Roman"/>
          <w:sz w:val="28"/>
          <w:szCs w:val="28"/>
        </w:rPr>
      </w:pPr>
    </w:p>
    <w:p>
      <w:pPr>
        <w:spacing w:line="480" w:lineRule="auto"/>
        <w:rPr>
          <w:rFonts w:ascii="Times New Roman" w:hAnsi="Times New Roman"/>
          <w:sz w:val="28"/>
          <w:szCs w:val="28"/>
        </w:rPr>
      </w:pPr>
    </w:p>
    <w:p>
      <w:pPr>
        <w:spacing w:line="240" w:lineRule="exact"/>
        <w:jc w:val="center"/>
        <w:rPr>
          <w:rFonts w:ascii="Times New Roman" w:hAnsi="Times New Roman"/>
          <w:sz w:val="18"/>
          <w:szCs w:val="18"/>
          <w:lang w:eastAsia="en-US"/>
        </w:rPr>
      </w:pPr>
      <w:r>
        <w:rPr>
          <w:rFonts w:hint="eastAsia" w:ascii="Times New Roman" w:hAnsi="Times New Roman"/>
          <w:sz w:val="18"/>
          <w:szCs w:val="18"/>
          <w:lang w:eastAsia="en-US"/>
        </w:rPr>
        <w:t>Table S2 Adsorption kinetic parameters for the adsorption of SAs and QNs on the prepared adsorbent.</w:t>
      </w:r>
    </w:p>
    <w:tbl>
      <w:tblPr>
        <w:tblStyle w:val="7"/>
        <w:tblW w:w="4998" w:type="pct"/>
        <w:tblInd w:w="0" w:type="dxa"/>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63"/>
        <w:gridCol w:w="1006"/>
        <w:gridCol w:w="1143"/>
        <w:gridCol w:w="239"/>
        <w:gridCol w:w="1159"/>
        <w:gridCol w:w="1639"/>
        <w:gridCol w:w="1058"/>
      </w:tblGrid>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vMerge w:val="restart"/>
            <w:tcBorders>
              <w:top w:val="single" w:color="000000" w:sz="12" w:space="0"/>
              <w:left w:val="nil"/>
              <w:bottom w:val="single" w:color="000000" w:sz="4" w:space="0"/>
              <w:right w:val="nil"/>
            </w:tcBorders>
            <w:shd w:val="clear" w:color="auto" w:fill="auto"/>
            <w:vAlign w:val="center"/>
          </w:tcPr>
          <w:p>
            <w:pPr>
              <w:spacing w:line="480" w:lineRule="auto"/>
              <w:jc w:val="center"/>
              <w:rPr>
                <w:rFonts w:ascii="Times New Roman" w:hAnsi="Times New Roman" w:eastAsia="Times New Roman"/>
                <w:sz w:val="18"/>
                <w:szCs w:val="18"/>
              </w:rPr>
            </w:pPr>
            <w:bookmarkStart w:id="3" w:name="OLE_LINK16"/>
            <w:r>
              <w:rPr>
                <w:rFonts w:ascii="Times New Roman" w:hAnsi="Times New Roman" w:eastAsia="Times New Roman"/>
                <w:sz w:val="18"/>
                <w:szCs w:val="18"/>
                <w:lang w:bidi="ar"/>
              </w:rPr>
              <w:t>Antibiotic</w:t>
            </w:r>
          </w:p>
        </w:tc>
        <w:tc>
          <w:tcPr>
            <w:tcW w:w="1943" w:type="pct"/>
            <w:gridSpan w:val="3"/>
            <w:tcBorders>
              <w:top w:val="single" w:color="000000" w:sz="12" w:space="0"/>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First-order-model</w:t>
            </w:r>
          </w:p>
        </w:tc>
        <w:tc>
          <w:tcPr>
            <w:tcW w:w="140" w:type="pct"/>
            <w:tcBorders>
              <w:top w:val="single" w:color="000000" w:sz="12" w:space="0"/>
              <w:left w:val="nil"/>
              <w:bottom w:val="nil"/>
              <w:right w:val="nil"/>
            </w:tcBorders>
            <w:shd w:val="clear" w:color="auto" w:fill="auto"/>
            <w:vAlign w:val="center"/>
          </w:tcPr>
          <w:p>
            <w:pPr>
              <w:spacing w:line="480" w:lineRule="auto"/>
              <w:jc w:val="center"/>
              <w:rPr>
                <w:rFonts w:ascii="Times New Roman" w:hAnsi="Times New Roman" w:eastAsia="Times New Roman"/>
                <w:sz w:val="18"/>
                <w:szCs w:val="18"/>
                <w:lang w:bidi="ar"/>
              </w:rPr>
            </w:pPr>
          </w:p>
        </w:tc>
        <w:tc>
          <w:tcPr>
            <w:tcW w:w="2263" w:type="pct"/>
            <w:gridSpan w:val="3"/>
            <w:tcBorders>
              <w:top w:val="single" w:color="000000" w:sz="12" w:space="0"/>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Second-order-model</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vMerge w:val="continue"/>
            <w:tcBorders>
              <w:top w:val="single" w:color="000000" w:sz="4" w:space="0"/>
              <w:left w:val="nil"/>
              <w:bottom w:val="single" w:color="000000" w:sz="4" w:space="0"/>
              <w:right w:val="nil"/>
            </w:tcBorders>
            <w:shd w:val="clear" w:color="auto" w:fill="auto"/>
            <w:vAlign w:val="center"/>
          </w:tcPr>
          <w:p>
            <w:pPr>
              <w:spacing w:line="480" w:lineRule="auto"/>
              <w:jc w:val="center"/>
              <w:rPr>
                <w:rFonts w:ascii="Times New Roman" w:hAnsi="Times New Roman" w:eastAsia="Times New Roman"/>
                <w:sz w:val="18"/>
                <w:szCs w:val="18"/>
              </w:rPr>
            </w:pPr>
          </w:p>
        </w:tc>
        <w:tc>
          <w:tcPr>
            <w:tcW w:w="682"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Q</w:t>
            </w:r>
            <w:r>
              <w:rPr>
                <w:rFonts w:ascii="Times New Roman" w:hAnsi="Times New Roman" w:eastAsia="Times New Roman"/>
                <w:sz w:val="18"/>
                <w:szCs w:val="18"/>
                <w:vertAlign w:val="subscript"/>
                <w:lang w:bidi="ar"/>
              </w:rPr>
              <w:t>e1</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(mg/g)</w:t>
            </w:r>
          </w:p>
        </w:tc>
        <w:tc>
          <w:tcPr>
            <w:tcW w:w="59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K</w:t>
            </w:r>
            <w:r>
              <w:rPr>
                <w:rFonts w:ascii="Times New Roman" w:hAnsi="Times New Roman" w:eastAsia="Times New Roman"/>
                <w:sz w:val="18"/>
                <w:szCs w:val="18"/>
                <w:vertAlign w:val="subscript"/>
                <w:lang w:bidi="ar"/>
              </w:rPr>
              <w:t>l</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(min</w:t>
            </w:r>
            <w:r>
              <w:rPr>
                <w:rFonts w:ascii="Times New Roman" w:hAnsi="Times New Roman" w:eastAsia="Times New Roman"/>
                <w:sz w:val="18"/>
                <w:szCs w:val="18"/>
                <w:vertAlign w:val="superscript"/>
                <w:lang w:bidi="ar"/>
              </w:rPr>
              <w:t>-1</w:t>
            </w:r>
            <w:r>
              <w:rPr>
                <w:rFonts w:ascii="Times New Roman" w:hAnsi="Times New Roman" w:eastAsia="Times New Roman"/>
                <w:sz w:val="18"/>
                <w:szCs w:val="18"/>
                <w:lang w:bidi="ar"/>
              </w:rPr>
              <w:t>)</w:t>
            </w:r>
          </w:p>
        </w:tc>
        <w:tc>
          <w:tcPr>
            <w:tcW w:w="67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R</w:t>
            </w:r>
            <w:r>
              <w:rPr>
                <w:rFonts w:ascii="Times New Roman" w:hAnsi="Times New Roman" w:eastAsia="Times New Roman"/>
                <w:sz w:val="18"/>
                <w:szCs w:val="18"/>
                <w:vertAlign w:val="superscript"/>
                <w:lang w:bidi="ar"/>
              </w:rPr>
              <w:t>2</w:t>
            </w:r>
          </w:p>
        </w:tc>
        <w:tc>
          <w:tcPr>
            <w:tcW w:w="14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lang w:bidi="ar"/>
              </w:rPr>
            </w:pPr>
          </w:p>
        </w:tc>
        <w:tc>
          <w:tcPr>
            <w:tcW w:w="68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Q</w:t>
            </w:r>
            <w:r>
              <w:rPr>
                <w:rFonts w:ascii="Times New Roman" w:hAnsi="Times New Roman" w:eastAsia="Times New Roman"/>
                <w:sz w:val="18"/>
                <w:szCs w:val="18"/>
                <w:vertAlign w:val="subscript"/>
                <w:lang w:bidi="ar"/>
              </w:rPr>
              <w:t>e2</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(mg/g)</w:t>
            </w:r>
          </w:p>
        </w:tc>
        <w:tc>
          <w:tcPr>
            <w:tcW w:w="962"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K</w:t>
            </w:r>
            <w:r>
              <w:rPr>
                <w:rFonts w:ascii="Times New Roman" w:hAnsi="Times New Roman" w:eastAsia="Times New Roman"/>
                <w:sz w:val="18"/>
                <w:szCs w:val="18"/>
                <w:vertAlign w:val="subscript"/>
                <w:lang w:bidi="ar"/>
              </w:rPr>
              <w:t>2</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(g/(mg</w:t>
            </w:r>
            <w:r>
              <w:rPr>
                <w:rFonts w:ascii="Times New Roman" w:hAnsi="Times New Roman" w:eastAsia="Times New Roman"/>
                <w:sz w:val="18"/>
                <w:szCs w:val="18"/>
              </w:rPr>
              <w:t>·</w:t>
            </w:r>
            <w:r>
              <w:rPr>
                <w:rFonts w:ascii="Times New Roman" w:hAnsi="Times New Roman" w:eastAsia="Times New Roman"/>
                <w:sz w:val="18"/>
                <w:szCs w:val="18"/>
                <w:lang w:bidi="ar"/>
              </w:rPr>
              <w:t>min))</w:t>
            </w:r>
          </w:p>
        </w:tc>
        <w:tc>
          <w:tcPr>
            <w:tcW w:w="62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R</w:t>
            </w:r>
            <w:r>
              <w:rPr>
                <w:rFonts w:ascii="Times New Roman" w:hAnsi="Times New Roman" w:eastAsia="Times New Roman"/>
                <w:sz w:val="18"/>
                <w:szCs w:val="18"/>
                <w:vertAlign w:val="superscript"/>
                <w:lang w:bidi="ar"/>
              </w:rPr>
              <w:t>2</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single" w:color="000000" w:sz="4" w:space="0"/>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CZP</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149.710</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0.7279</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0.9804</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150.397</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0.0447</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0.9805</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ENR</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152.876</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0.4962</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0.9658</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155.564</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0.0114</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0.9693</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SAR</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157.923</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0.4767</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0.9735</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160.377</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0.0115</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0.9740</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SPD</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166.869</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0.0292</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0.9602</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197.353</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0.5301</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0.9849</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SMM</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128.483</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0.0447</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0.9582</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144.459</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6.5305</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0.9823</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SCP</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199.586</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0.0683</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0.9503</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219.264</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7.5960</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0.9849</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SDX</w:t>
            </w:r>
          </w:p>
        </w:tc>
        <w:tc>
          <w:tcPr>
            <w:tcW w:w="68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110.626</w:t>
            </w:r>
          </w:p>
        </w:tc>
        <w:tc>
          <w:tcPr>
            <w:tcW w:w="59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0.0252</w:t>
            </w:r>
          </w:p>
        </w:tc>
        <w:tc>
          <w:tcPr>
            <w:tcW w:w="67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0.9644</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68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133.504</w:t>
            </w:r>
          </w:p>
        </w:tc>
        <w:tc>
          <w:tcPr>
            <w:tcW w:w="96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1.3285</w:t>
            </w:r>
          </w:p>
        </w:tc>
        <w:tc>
          <w:tcPr>
            <w:tcW w:w="62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0.9808</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SDM</w:t>
            </w:r>
          </w:p>
        </w:tc>
        <w:tc>
          <w:tcPr>
            <w:tcW w:w="682"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109.740</w:t>
            </w:r>
          </w:p>
        </w:tc>
        <w:tc>
          <w:tcPr>
            <w:tcW w:w="59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0.0336</w:t>
            </w:r>
          </w:p>
        </w:tc>
        <w:tc>
          <w:tcPr>
            <w:tcW w:w="67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0.9476</w:t>
            </w:r>
          </w:p>
        </w:tc>
        <w:tc>
          <w:tcPr>
            <w:tcW w:w="14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lang w:bidi="ar"/>
              </w:rPr>
            </w:pPr>
          </w:p>
        </w:tc>
        <w:tc>
          <w:tcPr>
            <w:tcW w:w="68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127.892</w:t>
            </w:r>
          </w:p>
        </w:tc>
        <w:tc>
          <w:tcPr>
            <w:tcW w:w="962"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3.9696</w:t>
            </w:r>
          </w:p>
        </w:tc>
        <w:tc>
          <w:tcPr>
            <w:tcW w:w="62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0.9628</w:t>
            </w:r>
          </w:p>
        </w:tc>
      </w:tr>
      <w:bookmarkEnd w:id="3"/>
    </w:tbl>
    <w:p>
      <w:pPr>
        <w:spacing w:line="480" w:lineRule="auto"/>
        <w:jc w:val="center"/>
        <w:rPr>
          <w:rFonts w:ascii="Times New Roman" w:hAnsi="Times New Roman"/>
          <w:sz w:val="18"/>
          <w:szCs w:val="18"/>
        </w:rPr>
      </w:pPr>
    </w:p>
    <w:p>
      <w:pPr>
        <w:spacing w:line="480" w:lineRule="auto"/>
        <w:jc w:val="center"/>
        <w:rPr>
          <w:sz w:val="18"/>
          <w:szCs w:val="18"/>
        </w:rPr>
      </w:pPr>
      <w:r>
        <w:rPr>
          <w:rFonts w:ascii="Times New Roman" w:hAnsi="Times New Roman"/>
          <w:sz w:val="18"/>
          <w:szCs w:val="18"/>
        </w:rPr>
        <w:t xml:space="preserve">Table </w:t>
      </w:r>
      <w:r>
        <w:rPr>
          <w:rFonts w:hint="eastAsia" w:ascii="Times New Roman" w:hAnsi="Times New Roman"/>
          <w:sz w:val="18"/>
          <w:szCs w:val="18"/>
        </w:rPr>
        <w:t>S3</w:t>
      </w:r>
      <w:r>
        <w:rPr>
          <w:rFonts w:ascii="Times New Roman" w:hAnsi="Times New Roman"/>
          <w:sz w:val="18"/>
          <w:szCs w:val="18"/>
        </w:rPr>
        <w:t xml:space="preserve"> Adsorption isotherm parameters for the adsorption of SAs and QNs on the prepared adsorbent.</w:t>
      </w:r>
    </w:p>
    <w:tbl>
      <w:tblPr>
        <w:tblStyle w:val="7"/>
        <w:tblW w:w="4998" w:type="pct"/>
        <w:tblInd w:w="0" w:type="dxa"/>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49"/>
        <w:gridCol w:w="1021"/>
        <w:gridCol w:w="1142"/>
        <w:gridCol w:w="239"/>
        <w:gridCol w:w="1198"/>
        <w:gridCol w:w="1440"/>
        <w:gridCol w:w="1218"/>
      </w:tblGrid>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vMerge w:val="restart"/>
            <w:tcBorders>
              <w:top w:val="single" w:color="000000" w:sz="12" w:space="0"/>
              <w:left w:val="nil"/>
              <w:bottom w:val="single" w:color="000000" w:sz="4"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Antibiotic</w:t>
            </w:r>
          </w:p>
        </w:tc>
        <w:tc>
          <w:tcPr>
            <w:tcW w:w="1943" w:type="pct"/>
            <w:gridSpan w:val="3"/>
            <w:tcBorders>
              <w:top w:val="single" w:color="000000" w:sz="12" w:space="0"/>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Langmuir isotherm</w:t>
            </w:r>
          </w:p>
        </w:tc>
        <w:tc>
          <w:tcPr>
            <w:tcW w:w="140" w:type="pct"/>
            <w:tcBorders>
              <w:top w:val="single" w:color="000000" w:sz="12" w:space="0"/>
              <w:left w:val="nil"/>
              <w:bottom w:val="nil"/>
              <w:right w:val="nil"/>
            </w:tcBorders>
            <w:shd w:val="clear" w:color="auto" w:fill="auto"/>
            <w:vAlign w:val="center"/>
          </w:tcPr>
          <w:p>
            <w:pPr>
              <w:spacing w:line="480" w:lineRule="auto"/>
              <w:jc w:val="center"/>
              <w:rPr>
                <w:rFonts w:ascii="Times New Roman" w:hAnsi="Times New Roman" w:eastAsia="Times New Roman"/>
                <w:sz w:val="18"/>
                <w:szCs w:val="18"/>
                <w:lang w:bidi="ar"/>
              </w:rPr>
            </w:pPr>
          </w:p>
        </w:tc>
        <w:tc>
          <w:tcPr>
            <w:tcW w:w="2263" w:type="pct"/>
            <w:gridSpan w:val="3"/>
            <w:tcBorders>
              <w:top w:val="single" w:color="000000" w:sz="12" w:space="0"/>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Freundlich isotherm</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vMerge w:val="continue"/>
            <w:tcBorders>
              <w:top w:val="single" w:color="000000" w:sz="4" w:space="0"/>
              <w:left w:val="nil"/>
              <w:bottom w:val="single" w:color="000000" w:sz="4" w:space="0"/>
              <w:right w:val="nil"/>
            </w:tcBorders>
            <w:shd w:val="clear" w:color="auto" w:fill="auto"/>
            <w:vAlign w:val="center"/>
          </w:tcPr>
          <w:p>
            <w:pPr>
              <w:spacing w:line="480" w:lineRule="auto"/>
              <w:jc w:val="center"/>
              <w:rPr>
                <w:rFonts w:ascii="Times New Roman" w:hAnsi="Times New Roman" w:eastAsia="Times New Roman"/>
                <w:sz w:val="18"/>
                <w:szCs w:val="18"/>
              </w:rPr>
            </w:pPr>
          </w:p>
        </w:tc>
        <w:tc>
          <w:tcPr>
            <w:tcW w:w="674"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Q</w:t>
            </w:r>
            <w:r>
              <w:rPr>
                <w:rFonts w:ascii="Times New Roman" w:hAnsi="Times New Roman" w:eastAsia="Times New Roman"/>
                <w:sz w:val="18"/>
                <w:szCs w:val="18"/>
                <w:vertAlign w:val="subscript"/>
                <w:lang w:bidi="ar"/>
              </w:rPr>
              <w:t>m</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(mg/g)</w:t>
            </w:r>
          </w:p>
        </w:tc>
        <w:tc>
          <w:tcPr>
            <w:tcW w:w="599"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K</w:t>
            </w:r>
            <w:r>
              <w:rPr>
                <w:rFonts w:ascii="Times New Roman" w:hAnsi="Times New Roman" w:eastAsia="Times New Roman"/>
                <w:sz w:val="18"/>
                <w:szCs w:val="18"/>
                <w:vertAlign w:val="subscript"/>
                <w:lang w:bidi="ar"/>
              </w:rPr>
              <w:t>l</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(L/mg)</w:t>
            </w:r>
          </w:p>
        </w:tc>
        <w:tc>
          <w:tcPr>
            <w:tcW w:w="669"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R</w:t>
            </w:r>
            <w:r>
              <w:rPr>
                <w:rFonts w:ascii="Times New Roman" w:hAnsi="Times New Roman" w:eastAsia="Times New Roman"/>
                <w:sz w:val="18"/>
                <w:szCs w:val="18"/>
                <w:vertAlign w:val="superscript"/>
                <w:lang w:bidi="ar"/>
              </w:rPr>
              <w:t>2</w:t>
            </w:r>
          </w:p>
        </w:tc>
        <w:tc>
          <w:tcPr>
            <w:tcW w:w="140"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lang w:bidi="ar"/>
              </w:rPr>
            </w:pPr>
          </w:p>
        </w:tc>
        <w:tc>
          <w:tcPr>
            <w:tcW w:w="703"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vertAlign w:val="subscript"/>
                <w:lang w:bidi="ar"/>
              </w:rPr>
            </w:pPr>
            <w:r>
              <w:rPr>
                <w:rFonts w:ascii="Times New Roman" w:hAnsi="Times New Roman" w:eastAsia="Times New Roman"/>
                <w:sz w:val="18"/>
                <w:szCs w:val="18"/>
                <w:lang w:bidi="ar"/>
              </w:rPr>
              <w:t>K</w:t>
            </w:r>
            <w:r>
              <w:rPr>
                <w:rFonts w:ascii="Times New Roman" w:hAnsi="Times New Roman" w:eastAsia="Times New Roman"/>
                <w:sz w:val="18"/>
                <w:szCs w:val="18"/>
                <w:vertAlign w:val="subscript"/>
                <w:lang w:bidi="ar"/>
              </w:rPr>
              <w:t>F</w:t>
            </w:r>
          </w:p>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(mg/g)</w:t>
            </w:r>
          </w:p>
        </w:tc>
        <w:tc>
          <w:tcPr>
            <w:tcW w:w="845"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1/n</w:t>
            </w:r>
          </w:p>
        </w:tc>
        <w:tc>
          <w:tcPr>
            <w:tcW w:w="714" w:type="pct"/>
            <w:tcBorders>
              <w:top w:val="nil"/>
              <w:left w:val="nil"/>
              <w:bottom w:val="single" w:color="000000" w:sz="6" w:space="0"/>
              <w:right w:val="nil"/>
            </w:tcBorders>
            <w:shd w:val="clear" w:color="auto" w:fill="auto"/>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R</w:t>
            </w:r>
            <w:r>
              <w:rPr>
                <w:rFonts w:ascii="Times New Roman" w:hAnsi="Times New Roman" w:eastAsia="Times New Roman"/>
                <w:sz w:val="18"/>
                <w:szCs w:val="18"/>
                <w:vertAlign w:val="superscript"/>
                <w:lang w:bidi="ar"/>
              </w:rPr>
              <w:t>2</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single" w:color="000000" w:sz="4" w:space="0"/>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CZP</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330.697</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0.152</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0.9725</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51.126</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0.379</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0.9596</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ENR</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210.778</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0.221</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0.9721</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55.752</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0.321</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0.8902</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SAR</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289.471</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0047</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0.9985</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56.268</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0.322</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0.8936</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SPD</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351.048</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0.102</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0.9979</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43.264</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0.426</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0.9774</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SMM</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220.832</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0.036</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0.9831</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33.468</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0.375</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0.9186</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SCP</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334.155</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0.453</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0.9917</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104.066</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0.230</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0.9233</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SDX</w:t>
            </w:r>
          </w:p>
        </w:tc>
        <w:tc>
          <w:tcPr>
            <w:tcW w:w="67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108.090</w:t>
            </w:r>
          </w:p>
        </w:tc>
        <w:tc>
          <w:tcPr>
            <w:tcW w:w="59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0.151</w:t>
            </w:r>
          </w:p>
        </w:tc>
        <w:tc>
          <w:tcPr>
            <w:tcW w:w="669"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0.9907</w:t>
            </w:r>
          </w:p>
        </w:tc>
        <w:tc>
          <w:tcPr>
            <w:tcW w:w="140"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lang w:bidi="ar"/>
              </w:rPr>
            </w:pPr>
          </w:p>
        </w:tc>
        <w:tc>
          <w:tcPr>
            <w:tcW w:w="703"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25.093</w:t>
            </w:r>
          </w:p>
        </w:tc>
        <w:tc>
          <w:tcPr>
            <w:tcW w:w="845"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0.267</w:t>
            </w:r>
          </w:p>
        </w:tc>
        <w:tc>
          <w:tcPr>
            <w:tcW w:w="714" w:type="pct"/>
            <w:tcBorders>
              <w:top w:val="nil"/>
              <w:left w:val="nil"/>
              <w:bottom w:val="nil"/>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0.9698</w:t>
            </w:r>
          </w:p>
        </w:tc>
      </w:tr>
      <w:tr>
        <w:tblPrEx>
          <w:tblBorders>
            <w:top w:val="single" w:color="000000" w:sz="12" w:space="0"/>
            <w:left w:val="none" w:color="auto" w:sz="4" w:space="0"/>
            <w:bottom w:val="single" w:color="000000"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SDM</w:t>
            </w:r>
          </w:p>
        </w:tc>
        <w:tc>
          <w:tcPr>
            <w:tcW w:w="674"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133.014</w:t>
            </w:r>
          </w:p>
        </w:tc>
        <w:tc>
          <w:tcPr>
            <w:tcW w:w="599"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0.085</w:t>
            </w:r>
          </w:p>
        </w:tc>
        <w:tc>
          <w:tcPr>
            <w:tcW w:w="669"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0.9831</w:t>
            </w:r>
          </w:p>
        </w:tc>
        <w:tc>
          <w:tcPr>
            <w:tcW w:w="140"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lang w:bidi="ar"/>
              </w:rPr>
            </w:pPr>
          </w:p>
        </w:tc>
        <w:tc>
          <w:tcPr>
            <w:tcW w:w="703"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26.371</w:t>
            </w:r>
          </w:p>
        </w:tc>
        <w:tc>
          <w:tcPr>
            <w:tcW w:w="845"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0.308</w:t>
            </w:r>
          </w:p>
        </w:tc>
        <w:tc>
          <w:tcPr>
            <w:tcW w:w="714" w:type="pct"/>
            <w:tcBorders>
              <w:top w:val="nil"/>
              <w:left w:val="nil"/>
              <w:bottom w:val="single" w:color="000000" w:sz="12" w:space="0"/>
              <w:right w:val="nil"/>
            </w:tcBorders>
            <w:shd w:val="clear" w:color="auto" w:fill="auto"/>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lang w:bidi="ar"/>
              </w:rPr>
              <w:t>0.9378</w:t>
            </w:r>
          </w:p>
        </w:tc>
      </w:tr>
    </w:tbl>
    <w:p>
      <w:pPr>
        <w:spacing w:line="480" w:lineRule="auto"/>
        <w:rPr>
          <w:rFonts w:ascii="Times New Roman" w:hAnsi="Times New Roman"/>
          <w:sz w:val="28"/>
          <w:szCs w:val="28"/>
        </w:rPr>
      </w:pPr>
    </w:p>
    <w:p>
      <w:pPr>
        <w:spacing w:line="480" w:lineRule="auto"/>
        <w:jc w:val="center"/>
        <w:rPr>
          <w:sz w:val="18"/>
          <w:szCs w:val="18"/>
        </w:rPr>
      </w:pPr>
      <w:r>
        <w:rPr>
          <w:rFonts w:ascii="Times New Roman" w:hAnsi="Times New Roman"/>
          <w:sz w:val="18"/>
          <w:szCs w:val="18"/>
        </w:rPr>
        <w:t xml:space="preserve">Table </w:t>
      </w:r>
      <w:r>
        <w:rPr>
          <w:rFonts w:hint="eastAsia" w:ascii="Times New Roman" w:hAnsi="Times New Roman"/>
          <w:sz w:val="18"/>
          <w:szCs w:val="18"/>
        </w:rPr>
        <w:t xml:space="preserve">S4 </w:t>
      </w:r>
      <w:r>
        <w:rPr>
          <w:rFonts w:ascii="Times New Roman" w:hAnsi="Times New Roman"/>
          <w:sz w:val="18"/>
          <w:szCs w:val="18"/>
        </w:rPr>
        <w:t xml:space="preserve">Effect of different quenchers on the SAs and QNs degradation after </w:t>
      </w:r>
      <w:r>
        <w:rPr>
          <w:rFonts w:hint="eastAsia" w:ascii="Times New Roman" w:hAnsi="Times New Roman"/>
          <w:sz w:val="18"/>
          <w:szCs w:val="18"/>
        </w:rPr>
        <w:t>6</w:t>
      </w:r>
      <w:r>
        <w:rPr>
          <w:rFonts w:ascii="Times New Roman" w:hAnsi="Times New Roman"/>
          <w:sz w:val="18"/>
          <w:szCs w:val="18"/>
        </w:rPr>
        <w:t>0 min reaction time.</w:t>
      </w:r>
    </w:p>
    <w:tbl>
      <w:tblPr>
        <w:tblStyle w:val="7"/>
        <w:tblW w:w="0" w:type="auto"/>
        <w:tblInd w:w="135"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863"/>
        <w:gridCol w:w="858"/>
        <w:gridCol w:w="856"/>
        <w:gridCol w:w="851"/>
        <w:gridCol w:w="896"/>
        <w:gridCol w:w="893"/>
        <w:gridCol w:w="860"/>
        <w:gridCol w:w="872"/>
      </w:tblGrid>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38" w:type="dxa"/>
            <w:vMerge w:val="restart"/>
            <w:tcBorders>
              <w:top w:val="single" w:color="000000" w:sz="12" w:space="0"/>
              <w:left w:val="nil"/>
              <w:bottom w:val="nil"/>
              <w:right w:val="nil"/>
            </w:tcBorders>
            <w:vAlign w:val="center"/>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Quencher</w:t>
            </w:r>
          </w:p>
        </w:tc>
        <w:tc>
          <w:tcPr>
            <w:tcW w:w="6949" w:type="dxa"/>
            <w:gridSpan w:val="8"/>
            <w:tcBorders>
              <w:top w:val="single" w:color="000000" w:sz="12" w:space="0"/>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The</w:t>
            </w:r>
            <w:bookmarkStart w:id="4" w:name="_Hlk112399250"/>
            <w:r>
              <w:rPr>
                <w:rFonts w:ascii="Times New Roman" w:hAnsi="Times New Roman" w:eastAsia="Times New Roman"/>
                <w:sz w:val="18"/>
                <w:szCs w:val="18"/>
              </w:rPr>
              <w:t xml:space="preserve"> removal efficiency of analytes</w:t>
            </w:r>
            <w:bookmarkEnd w:id="4"/>
            <w:r>
              <w:rPr>
                <w:rFonts w:ascii="Times New Roman" w:hAnsi="Times New Roman" w:eastAsia="Times New Roman"/>
                <w:sz w:val="18"/>
                <w:szCs w:val="18"/>
              </w:rPr>
              <w:t xml:space="preserve"> (%)</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Merge w:val="continue"/>
            <w:tcBorders>
              <w:top w:val="single" w:color="000000" w:sz="12" w:space="0"/>
              <w:left w:val="nil"/>
              <w:bottom w:val="nil"/>
              <w:right w:val="nil"/>
            </w:tcBorders>
            <w:vAlign w:val="center"/>
          </w:tcPr>
          <w:p>
            <w:pPr>
              <w:spacing w:line="480" w:lineRule="auto"/>
              <w:jc w:val="center"/>
              <w:rPr>
                <w:rFonts w:ascii="Times New Roman" w:hAnsi="Times New Roman" w:eastAsia="Times New Roman"/>
                <w:sz w:val="18"/>
                <w:szCs w:val="18"/>
              </w:rPr>
            </w:pPr>
          </w:p>
        </w:tc>
        <w:tc>
          <w:tcPr>
            <w:tcW w:w="863"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CZP</w:t>
            </w:r>
          </w:p>
        </w:tc>
        <w:tc>
          <w:tcPr>
            <w:tcW w:w="858"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ENR</w:t>
            </w:r>
          </w:p>
        </w:tc>
        <w:tc>
          <w:tcPr>
            <w:tcW w:w="856"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SAR</w:t>
            </w:r>
          </w:p>
        </w:tc>
        <w:tc>
          <w:tcPr>
            <w:tcW w:w="851"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SPD</w:t>
            </w:r>
          </w:p>
        </w:tc>
        <w:tc>
          <w:tcPr>
            <w:tcW w:w="896"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SMM</w:t>
            </w:r>
          </w:p>
        </w:tc>
        <w:tc>
          <w:tcPr>
            <w:tcW w:w="893"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SCP</w:t>
            </w:r>
          </w:p>
        </w:tc>
        <w:tc>
          <w:tcPr>
            <w:tcW w:w="860"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SDX</w:t>
            </w:r>
          </w:p>
        </w:tc>
        <w:tc>
          <w:tcPr>
            <w:tcW w:w="872" w:type="dxa"/>
            <w:tcBorders>
              <w:top w:val="nil"/>
              <w:left w:val="nil"/>
              <w:bottom w:val="single" w:color="000000" w:sz="6"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SDM</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38"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Control</w:t>
            </w:r>
          </w:p>
        </w:tc>
        <w:tc>
          <w:tcPr>
            <w:tcW w:w="863"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96.673</w:t>
            </w:r>
          </w:p>
        </w:tc>
        <w:tc>
          <w:tcPr>
            <w:tcW w:w="858"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98.397</w:t>
            </w:r>
          </w:p>
        </w:tc>
        <w:tc>
          <w:tcPr>
            <w:tcW w:w="856"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95.781</w:t>
            </w:r>
          </w:p>
        </w:tc>
        <w:tc>
          <w:tcPr>
            <w:tcW w:w="851"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98.612</w:t>
            </w:r>
          </w:p>
        </w:tc>
        <w:tc>
          <w:tcPr>
            <w:tcW w:w="896"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98.355</w:t>
            </w:r>
          </w:p>
        </w:tc>
        <w:tc>
          <w:tcPr>
            <w:tcW w:w="893"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99.476</w:t>
            </w:r>
          </w:p>
        </w:tc>
        <w:tc>
          <w:tcPr>
            <w:tcW w:w="860"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95.397</w:t>
            </w:r>
          </w:p>
        </w:tc>
        <w:tc>
          <w:tcPr>
            <w:tcW w:w="872" w:type="dxa"/>
            <w:tcBorders>
              <w:top w:val="single" w:color="000000" w:sz="6" w:space="0"/>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96.358</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38"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MeOH</w:t>
            </w:r>
          </w:p>
        </w:tc>
        <w:tc>
          <w:tcPr>
            <w:tcW w:w="863"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78.516</w:t>
            </w:r>
          </w:p>
        </w:tc>
        <w:tc>
          <w:tcPr>
            <w:tcW w:w="858"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82.148</w:t>
            </w:r>
          </w:p>
        </w:tc>
        <w:tc>
          <w:tcPr>
            <w:tcW w:w="856"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75.881</w:t>
            </w:r>
          </w:p>
        </w:tc>
        <w:tc>
          <w:tcPr>
            <w:tcW w:w="851"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97.837</w:t>
            </w:r>
          </w:p>
        </w:tc>
        <w:tc>
          <w:tcPr>
            <w:tcW w:w="896"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74.487</w:t>
            </w:r>
          </w:p>
        </w:tc>
        <w:tc>
          <w:tcPr>
            <w:tcW w:w="893"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98.124</w:t>
            </w:r>
          </w:p>
        </w:tc>
        <w:tc>
          <w:tcPr>
            <w:tcW w:w="860"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87.244</w:t>
            </w:r>
          </w:p>
        </w:tc>
        <w:tc>
          <w:tcPr>
            <w:tcW w:w="872"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51.289</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38"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TBA</w:t>
            </w:r>
          </w:p>
        </w:tc>
        <w:tc>
          <w:tcPr>
            <w:tcW w:w="863"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41.351</w:t>
            </w:r>
          </w:p>
        </w:tc>
        <w:tc>
          <w:tcPr>
            <w:tcW w:w="858"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97.444</w:t>
            </w:r>
          </w:p>
        </w:tc>
        <w:tc>
          <w:tcPr>
            <w:tcW w:w="856"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91.478</w:t>
            </w:r>
          </w:p>
        </w:tc>
        <w:tc>
          <w:tcPr>
            <w:tcW w:w="851"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42.399</w:t>
            </w:r>
          </w:p>
        </w:tc>
        <w:tc>
          <w:tcPr>
            <w:tcW w:w="896"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41.290</w:t>
            </w:r>
          </w:p>
        </w:tc>
        <w:tc>
          <w:tcPr>
            <w:tcW w:w="893"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50.364</w:t>
            </w:r>
          </w:p>
        </w:tc>
        <w:tc>
          <w:tcPr>
            <w:tcW w:w="860"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57.127</w:t>
            </w:r>
          </w:p>
        </w:tc>
        <w:tc>
          <w:tcPr>
            <w:tcW w:w="872" w:type="dxa"/>
            <w:tcBorders>
              <w:top w:val="nil"/>
              <w:left w:val="nil"/>
              <w:bottom w:val="nil"/>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46.266</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38"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FFA</w:t>
            </w:r>
          </w:p>
        </w:tc>
        <w:tc>
          <w:tcPr>
            <w:tcW w:w="863"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86.247</w:t>
            </w:r>
          </w:p>
        </w:tc>
        <w:tc>
          <w:tcPr>
            <w:tcW w:w="858"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86.991</w:t>
            </w:r>
          </w:p>
        </w:tc>
        <w:tc>
          <w:tcPr>
            <w:tcW w:w="856"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85.294</w:t>
            </w:r>
          </w:p>
        </w:tc>
        <w:tc>
          <w:tcPr>
            <w:tcW w:w="851"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80.236</w:t>
            </w:r>
          </w:p>
        </w:tc>
        <w:tc>
          <w:tcPr>
            <w:tcW w:w="896"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79.929</w:t>
            </w:r>
          </w:p>
        </w:tc>
        <w:tc>
          <w:tcPr>
            <w:tcW w:w="893"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79.504</w:t>
            </w:r>
          </w:p>
        </w:tc>
        <w:tc>
          <w:tcPr>
            <w:tcW w:w="860"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73.130</w:t>
            </w:r>
          </w:p>
        </w:tc>
        <w:tc>
          <w:tcPr>
            <w:tcW w:w="872" w:type="dxa"/>
            <w:tcBorders>
              <w:top w:val="nil"/>
              <w:left w:val="nil"/>
              <w:bottom w:val="single" w:color="000000" w:sz="12" w:space="0"/>
              <w:right w:val="nil"/>
            </w:tcBorders>
          </w:tcPr>
          <w:p>
            <w:pPr>
              <w:spacing w:line="480" w:lineRule="auto"/>
              <w:jc w:val="center"/>
              <w:rPr>
                <w:rFonts w:ascii="Times New Roman" w:hAnsi="Times New Roman" w:eastAsia="Times New Roman"/>
                <w:sz w:val="18"/>
                <w:szCs w:val="18"/>
              </w:rPr>
            </w:pPr>
            <w:r>
              <w:rPr>
                <w:rFonts w:ascii="Times New Roman" w:hAnsi="Times New Roman" w:eastAsia="Times New Roman"/>
                <w:sz w:val="18"/>
                <w:szCs w:val="18"/>
              </w:rPr>
              <w:t>83.817</w:t>
            </w:r>
          </w:p>
        </w:tc>
      </w:tr>
    </w:tbl>
    <w:p>
      <w:pPr>
        <w:widowControl/>
        <w:spacing w:line="480" w:lineRule="auto"/>
        <w:jc w:val="left"/>
        <w:rPr>
          <w:rFonts w:ascii="Times New Roman" w:hAnsi="Times New Roman"/>
          <w:b/>
          <w:bCs/>
          <w:sz w:val="28"/>
          <w:szCs w:val="28"/>
        </w:rPr>
      </w:pPr>
      <w:r>
        <w:rPr>
          <w:rFonts w:ascii="Times New Roman" w:hAnsi="Times New Roman"/>
          <w:b/>
          <w:bCs/>
          <w:sz w:val="28"/>
          <w:szCs w:val="28"/>
        </w:rPr>
        <w:t>References</w:t>
      </w:r>
    </w:p>
    <w:p>
      <w:pPr>
        <w:pStyle w:val="18"/>
        <w:ind w:left="720" w:hanging="720"/>
      </w:pPr>
      <w:r>
        <w:fldChar w:fldCharType="begin"/>
      </w:r>
      <w:r>
        <w:instrText xml:space="preserve"> ADDIN EN.REFLIST </w:instrText>
      </w:r>
      <w:r>
        <w:fldChar w:fldCharType="separate"/>
      </w:r>
      <w:r>
        <w:t xml:space="preserve">Liu, X. L., Y. H. Wang, S. Y. Ren, S. Li, Y. Wang, D. P. Han, K. Qin, Y. Peng, T. Han, Z. X. Gao, J. Z. Cui, and H. Y. Zhou. (2022). Fabrication of Magnetic Al-Based Fe(3)O(4)@MIL-53 Metal Organic Framework for Capture of Multi-Pollutants Residue in Milk Followed by HPLC-UV, Molecules 27. </w:t>
      </w:r>
      <w:r>
        <w:fldChar w:fldCharType="begin"/>
      </w:r>
      <w:r>
        <w:instrText xml:space="preserve"> HYPERLINK "http://doi.org/10.3390/molecules27072088" </w:instrText>
      </w:r>
      <w:r>
        <w:fldChar w:fldCharType="separate"/>
      </w:r>
      <w:r>
        <w:rPr>
          <w:rStyle w:val="10"/>
        </w:rPr>
        <w:t>http://doi.org/10.3390/molecules27072088</w:t>
      </w:r>
      <w:r>
        <w:rPr>
          <w:rStyle w:val="10"/>
        </w:rPr>
        <w:fldChar w:fldCharType="end"/>
      </w:r>
    </w:p>
    <w:p>
      <w:pPr>
        <w:pStyle w:val="18"/>
        <w:ind w:left="720" w:hanging="720"/>
      </w:pPr>
      <w:r>
        <w:t xml:space="preserve">Tang, Hong-zhi, Yong-hui Wang, Shuang Li, Jin Wu, Jun-wen Li, Huan-ying Zhou, and Zhi-xian Gao. (2019). Graphene oxide composites for magnetic solid-phase extraction of twelve quinolones in water samples followed by MALDI-TOF MS, Anal. Bioanal. Chem. 411:7039-7049. </w:t>
      </w:r>
      <w:r>
        <w:fldChar w:fldCharType="begin"/>
      </w:r>
      <w:r>
        <w:instrText xml:space="preserve"> HYPERLINK "http://doi.org/10.1007/s00216-019-02081-w" </w:instrText>
      </w:r>
      <w:r>
        <w:fldChar w:fldCharType="separate"/>
      </w:r>
      <w:r>
        <w:rPr>
          <w:rStyle w:val="10"/>
        </w:rPr>
        <w:t>http://doi.org/10.1007/s00216-019-02081-w</w:t>
      </w:r>
      <w:r>
        <w:rPr>
          <w:rStyle w:val="10"/>
        </w:rPr>
        <w:fldChar w:fldCharType="end"/>
      </w:r>
    </w:p>
    <w:p>
      <w:pPr>
        <w:widowControl/>
        <w:spacing w:line="480" w:lineRule="auto"/>
        <w:jc w:val="left"/>
      </w:pPr>
      <w: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no Pro">
    <w:altName w:val="Constantia"/>
    <w:panose1 w:val="00000000000000000000"/>
    <w:charset w:val="00"/>
    <w:family w:val="roman"/>
    <w:pitch w:val="default"/>
    <w:sig w:usb0="00000000" w:usb1="00000000" w:usb2="00000000" w:usb3="00000000" w:csb0="0000019F" w:csb1="00000000"/>
  </w:font>
  <w:font w:name="Constantia">
    <w:panose1 w:val="02030602050306030303"/>
    <w:charset w:val="00"/>
    <w:family w:val="auto"/>
    <w:pitch w:val="default"/>
    <w:sig w:usb0="A00002EF" w:usb1="4000204B"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AdvTTe692faf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tLA0NTQxMTUxNzc1NTNR0lEKTi0uzszPAykwrgUAMx3yQSwAAAA="/>
    <w:docVar w:name="commondata" w:val="eyJoZGlkIjoiNzc2YWE0Y2Y0NWQxZDZiOThlZDdhOWU3OGMyMWYwMDMifQ=="/>
    <w:docVar w:name="EN.InstantFormat" w:val="&lt;ENInstantFormat&gt;&lt;Enabled&gt;1&lt;/Enabled&gt;&lt;ScanUnformatted&gt;1&lt;/ScanUnformatted&gt;&lt;ScanChanges&gt;1&lt;/ScanChanges&gt;&lt;Suspended&gt;0&lt;/Suspended&gt;&lt;/ENInstantFormat&gt;"/>
    <w:docVar w:name="EN.Layout" w:val="&lt;ENLayout&gt;&lt;Style&gt;Chemospe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azv9059axpzse99avxwpdbdxv00555x9pr&quot;&gt;My EndNote Library&lt;record-ids&gt;&lt;item&gt;22&lt;/item&gt;&lt;item&gt;67&lt;/item&gt;&lt;/record-ids&gt;&lt;/item&gt;&lt;/Libraries&gt;"/>
  </w:docVars>
  <w:rsids>
    <w:rsidRoot w:val="1FD15467"/>
    <w:rsid w:val="00015391"/>
    <w:rsid w:val="00016B4B"/>
    <w:rsid w:val="00023CC3"/>
    <w:rsid w:val="000E5BF6"/>
    <w:rsid w:val="000F4EAB"/>
    <w:rsid w:val="0018564F"/>
    <w:rsid w:val="001917E9"/>
    <w:rsid w:val="001B7A9A"/>
    <w:rsid w:val="00252D9A"/>
    <w:rsid w:val="002F0D1C"/>
    <w:rsid w:val="00326F8C"/>
    <w:rsid w:val="003515D0"/>
    <w:rsid w:val="00373124"/>
    <w:rsid w:val="003D1D16"/>
    <w:rsid w:val="00452916"/>
    <w:rsid w:val="00492A61"/>
    <w:rsid w:val="0055387E"/>
    <w:rsid w:val="005C3B79"/>
    <w:rsid w:val="00641971"/>
    <w:rsid w:val="006B765F"/>
    <w:rsid w:val="006F1F23"/>
    <w:rsid w:val="00717309"/>
    <w:rsid w:val="00735261"/>
    <w:rsid w:val="007878B0"/>
    <w:rsid w:val="0084692C"/>
    <w:rsid w:val="008566B8"/>
    <w:rsid w:val="00871BD1"/>
    <w:rsid w:val="008C0D96"/>
    <w:rsid w:val="008C347F"/>
    <w:rsid w:val="00932473"/>
    <w:rsid w:val="00946A16"/>
    <w:rsid w:val="009971BA"/>
    <w:rsid w:val="00A81094"/>
    <w:rsid w:val="00B316B2"/>
    <w:rsid w:val="00B9719E"/>
    <w:rsid w:val="00C26CDB"/>
    <w:rsid w:val="00C60558"/>
    <w:rsid w:val="00CF49A8"/>
    <w:rsid w:val="00D75D4C"/>
    <w:rsid w:val="00D9642D"/>
    <w:rsid w:val="00DC5A8B"/>
    <w:rsid w:val="00E16E4E"/>
    <w:rsid w:val="00E21C0A"/>
    <w:rsid w:val="00EF5643"/>
    <w:rsid w:val="00F0232E"/>
    <w:rsid w:val="00F15405"/>
    <w:rsid w:val="00F43858"/>
    <w:rsid w:val="00FB5DC0"/>
    <w:rsid w:val="00FC655B"/>
    <w:rsid w:val="00FD0609"/>
    <w:rsid w:val="00FE5C1F"/>
    <w:rsid w:val="00FE68B3"/>
    <w:rsid w:val="021F14C2"/>
    <w:rsid w:val="046F073E"/>
    <w:rsid w:val="048345EF"/>
    <w:rsid w:val="07120418"/>
    <w:rsid w:val="08BB4AD4"/>
    <w:rsid w:val="09662CE9"/>
    <w:rsid w:val="106317C1"/>
    <w:rsid w:val="11C455E1"/>
    <w:rsid w:val="127134CB"/>
    <w:rsid w:val="132D069F"/>
    <w:rsid w:val="1C623275"/>
    <w:rsid w:val="1DA405CA"/>
    <w:rsid w:val="1DB42996"/>
    <w:rsid w:val="1F0E0535"/>
    <w:rsid w:val="1FD15467"/>
    <w:rsid w:val="23BE4479"/>
    <w:rsid w:val="27776B16"/>
    <w:rsid w:val="2B364614"/>
    <w:rsid w:val="2E0B5E1C"/>
    <w:rsid w:val="3080030F"/>
    <w:rsid w:val="40F17526"/>
    <w:rsid w:val="4279275C"/>
    <w:rsid w:val="501854A7"/>
    <w:rsid w:val="52117DD1"/>
    <w:rsid w:val="57037544"/>
    <w:rsid w:val="587C365C"/>
    <w:rsid w:val="5AFD5DCD"/>
    <w:rsid w:val="5BFB12BE"/>
    <w:rsid w:val="5DF21CA4"/>
    <w:rsid w:val="5E5658DA"/>
    <w:rsid w:val="622E56C1"/>
    <w:rsid w:val="640D3BE6"/>
    <w:rsid w:val="65C660FE"/>
    <w:rsid w:val="65D26EF8"/>
    <w:rsid w:val="6955224A"/>
    <w:rsid w:val="6E4E2428"/>
    <w:rsid w:val="763D7C70"/>
    <w:rsid w:val="7BF55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qFormat="1" w:unhideWhenUsed="0" w:uiPriority="0" w:semiHidden="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0"/>
    <w:qFormat/>
    <w:uiPriority w:val="0"/>
    <w:rPr>
      <w:sz w:val="18"/>
      <w:szCs w:val="18"/>
    </w:r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line number"/>
    <w:basedOn w:val="8"/>
    <w:qFormat/>
    <w:uiPriority w:val="0"/>
  </w:style>
  <w:style w:type="character" w:styleId="10">
    <w:name w:val="Hyperlink"/>
    <w:basedOn w:val="8"/>
    <w:unhideWhenUsed/>
    <w:qFormat/>
    <w:uiPriority w:val="0"/>
    <w:rPr>
      <w:color w:val="0000FF"/>
      <w:u w:val="single"/>
    </w:rPr>
  </w:style>
  <w:style w:type="character" w:customStyle="1" w:styleId="11">
    <w:name w:val="TA_Main_Text Char"/>
    <w:link w:val="12"/>
    <w:unhideWhenUsed/>
    <w:qFormat/>
    <w:uiPriority w:val="0"/>
    <w:rPr>
      <w:rFonts w:ascii="Arno Pro" w:hAnsi="Arno Pro"/>
      <w:kern w:val="21"/>
      <w:sz w:val="19"/>
    </w:rPr>
  </w:style>
  <w:style w:type="paragraph" w:customStyle="1" w:styleId="12">
    <w:name w:val="TA_Main_Text"/>
    <w:basedOn w:val="1"/>
    <w:link w:val="11"/>
    <w:unhideWhenUsed/>
    <w:qFormat/>
    <w:uiPriority w:val="0"/>
    <w:pPr>
      <w:widowControl/>
      <w:spacing w:after="60"/>
      <w:ind w:firstLine="180"/>
    </w:pPr>
    <w:rPr>
      <w:rFonts w:ascii="Arno Pro" w:hAnsi="Arno Pro"/>
      <w:kern w:val="21"/>
      <w:sz w:val="19"/>
    </w:rPr>
  </w:style>
  <w:style w:type="paragraph" w:customStyle="1" w:styleId="13">
    <w:name w:val="BC_Author_Address"/>
    <w:basedOn w:val="1"/>
    <w:next w:val="1"/>
    <w:qFormat/>
    <w:uiPriority w:val="0"/>
    <w:pPr>
      <w:widowControl/>
      <w:spacing w:after="60"/>
      <w:jc w:val="left"/>
    </w:pPr>
    <w:rPr>
      <w:rFonts w:ascii="Arno Pro" w:hAnsi="Arno Pro" w:eastAsia="Times New Roman"/>
      <w:kern w:val="22"/>
      <w:sz w:val="20"/>
      <w:lang w:eastAsia="en-US"/>
    </w:rPr>
  </w:style>
  <w:style w:type="character" w:customStyle="1" w:styleId="14">
    <w:name w:val="页眉 Char"/>
    <w:basedOn w:val="8"/>
    <w:link w:val="4"/>
    <w:qFormat/>
    <w:uiPriority w:val="0"/>
    <w:rPr>
      <w:rFonts w:ascii="Calibri" w:hAnsi="Calibri"/>
      <w:kern w:val="2"/>
      <w:sz w:val="18"/>
      <w:szCs w:val="18"/>
    </w:rPr>
  </w:style>
  <w:style w:type="character" w:customStyle="1" w:styleId="15">
    <w:name w:val="页脚 Char"/>
    <w:basedOn w:val="8"/>
    <w:link w:val="3"/>
    <w:qFormat/>
    <w:uiPriority w:val="0"/>
    <w:rPr>
      <w:rFonts w:ascii="Calibri" w:hAnsi="Calibri"/>
      <w:kern w:val="2"/>
      <w:sz w:val="18"/>
      <w:szCs w:val="18"/>
    </w:rPr>
  </w:style>
  <w:style w:type="paragraph" w:customStyle="1" w:styleId="16">
    <w:name w:val="EndNote Bibliography Title"/>
    <w:basedOn w:val="1"/>
    <w:link w:val="17"/>
    <w:qFormat/>
    <w:uiPriority w:val="0"/>
    <w:pPr>
      <w:jc w:val="center"/>
    </w:pPr>
    <w:rPr>
      <w:sz w:val="20"/>
    </w:rPr>
  </w:style>
  <w:style w:type="character" w:customStyle="1" w:styleId="17">
    <w:name w:val="EndNote Bibliography Title Char"/>
    <w:basedOn w:val="8"/>
    <w:link w:val="16"/>
    <w:qFormat/>
    <w:uiPriority w:val="0"/>
    <w:rPr>
      <w:rFonts w:ascii="Calibri" w:hAnsi="Calibri"/>
      <w:kern w:val="2"/>
      <w:szCs w:val="22"/>
    </w:rPr>
  </w:style>
  <w:style w:type="paragraph" w:customStyle="1" w:styleId="18">
    <w:name w:val="EndNote Bibliography"/>
    <w:basedOn w:val="1"/>
    <w:link w:val="19"/>
    <w:qFormat/>
    <w:uiPriority w:val="0"/>
    <w:pPr>
      <w:jc w:val="left"/>
    </w:pPr>
    <w:rPr>
      <w:sz w:val="20"/>
    </w:rPr>
  </w:style>
  <w:style w:type="character" w:customStyle="1" w:styleId="19">
    <w:name w:val="EndNote Bibliography Char"/>
    <w:basedOn w:val="8"/>
    <w:link w:val="18"/>
    <w:qFormat/>
    <w:uiPriority w:val="0"/>
    <w:rPr>
      <w:rFonts w:ascii="Calibri" w:hAnsi="Calibri"/>
      <w:kern w:val="2"/>
      <w:szCs w:val="22"/>
    </w:rPr>
  </w:style>
  <w:style w:type="character" w:customStyle="1" w:styleId="20">
    <w:name w:val="批注框文本 Char"/>
    <w:basedOn w:val="8"/>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png"/><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929</Words>
  <Characters>5071</Characters>
  <Lines>57</Lines>
  <Paragraphs>16</Paragraphs>
  <TotalTime>1</TotalTime>
  <ScaleCrop>false</ScaleCrop>
  <LinksUpToDate>false</LinksUpToDate>
  <CharactersWithSpaces>5972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2022-03-25T12:36:00Z</dcterms:created>
  <dc:creator>老虎莉莉</dc:creator>
  <cp:lastModifiedBy>老虎莉莉</cp:lastModifiedBy>
  <dcterms:modified xsi:type="dcterms:W3CDTF">2022-09-22T09:02:24Z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DDAC4090BAD64ABAA022BCAA5BA9842F</vt:lpwstr>
  </property>
</Properties>
</file>