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DCE" w:rsidRPr="00D50CF9" w:rsidRDefault="00792DCE" w:rsidP="00792DCE">
      <w:pPr>
        <w:rPr>
          <w:b/>
          <w:sz w:val="32"/>
          <w:szCs w:val="32"/>
        </w:rPr>
      </w:pPr>
      <w:r w:rsidRPr="00D50CF9">
        <w:rPr>
          <w:b/>
          <w:sz w:val="32"/>
          <w:szCs w:val="32"/>
        </w:rPr>
        <w:t>Supp</w:t>
      </w:r>
      <w:r w:rsidR="00015C1A" w:rsidRPr="00D50CF9">
        <w:rPr>
          <w:b/>
          <w:sz w:val="32"/>
          <w:szCs w:val="32"/>
          <w:lang w:eastAsia="ko-KR"/>
        </w:rPr>
        <w:t>lementary</w:t>
      </w:r>
      <w:r w:rsidR="00015C1A" w:rsidRPr="00D50CF9">
        <w:rPr>
          <w:b/>
          <w:sz w:val="32"/>
          <w:szCs w:val="32"/>
        </w:rPr>
        <w:t xml:space="preserve"> </w:t>
      </w:r>
      <w:r w:rsidRPr="00D50CF9">
        <w:rPr>
          <w:b/>
          <w:sz w:val="32"/>
          <w:szCs w:val="32"/>
        </w:rPr>
        <w:t>Information for</w:t>
      </w:r>
    </w:p>
    <w:p w:rsidR="00F21800" w:rsidRPr="00D50CF9" w:rsidRDefault="00F21800" w:rsidP="00792DCE">
      <w:pPr>
        <w:rPr>
          <w:sz w:val="32"/>
          <w:szCs w:val="32"/>
        </w:rPr>
      </w:pPr>
    </w:p>
    <w:p w:rsidR="00792DCE" w:rsidRPr="00D50CF9" w:rsidRDefault="00792DCE" w:rsidP="001B0173">
      <w:pPr>
        <w:jc w:val="center"/>
        <w:rPr>
          <w:b/>
          <w:sz w:val="32"/>
          <w:szCs w:val="32"/>
        </w:rPr>
      </w:pPr>
      <w:r w:rsidRPr="00D50CF9">
        <w:rPr>
          <w:b/>
          <w:sz w:val="32"/>
          <w:szCs w:val="32"/>
        </w:rPr>
        <w:t xml:space="preserve">Synergistic combination of </w:t>
      </w:r>
      <w:r w:rsidRPr="00D50CF9">
        <w:rPr>
          <w:b/>
          <w:sz w:val="32"/>
          <w:szCs w:val="32"/>
          <w:lang w:eastAsia="ko-KR"/>
        </w:rPr>
        <w:t>information</w:t>
      </w:r>
      <w:r w:rsidRPr="00D50CF9">
        <w:rPr>
          <w:b/>
          <w:sz w:val="32"/>
          <w:szCs w:val="32"/>
        </w:rPr>
        <w:t xml:space="preserve"> </w:t>
      </w:r>
      <w:r w:rsidRPr="00D50CF9">
        <w:rPr>
          <w:b/>
          <w:sz w:val="32"/>
          <w:szCs w:val="32"/>
          <w:lang w:eastAsia="ko-KR"/>
        </w:rPr>
        <w:t>from</w:t>
      </w:r>
      <w:r w:rsidRPr="00D50CF9">
        <w:rPr>
          <w:b/>
          <w:sz w:val="32"/>
          <w:szCs w:val="32"/>
        </w:rPr>
        <w:t xml:space="preserve"> ground observations, geostationary satellite, and air quality modeling towards improved PM</w:t>
      </w:r>
      <w:r w:rsidRPr="00D50CF9">
        <w:rPr>
          <w:b/>
          <w:sz w:val="32"/>
          <w:szCs w:val="32"/>
          <w:vertAlign w:val="subscript"/>
        </w:rPr>
        <w:t>2.5</w:t>
      </w:r>
      <w:r w:rsidRPr="00D50CF9">
        <w:rPr>
          <w:b/>
          <w:bCs/>
          <w:sz w:val="32"/>
          <w:szCs w:val="32"/>
        </w:rPr>
        <w:t xml:space="preserve"> </w:t>
      </w:r>
      <w:r w:rsidRPr="00D50CF9">
        <w:rPr>
          <w:b/>
          <w:sz w:val="32"/>
          <w:szCs w:val="32"/>
        </w:rPr>
        <w:t>predictability</w:t>
      </w:r>
    </w:p>
    <w:p w:rsidR="00792DCE" w:rsidRPr="00D50CF9" w:rsidRDefault="00792DCE" w:rsidP="00792DCE">
      <w:pPr>
        <w:rPr>
          <w:szCs w:val="24"/>
        </w:rPr>
      </w:pPr>
    </w:p>
    <w:p w:rsidR="00792DCE" w:rsidRPr="00D50CF9" w:rsidRDefault="00792DCE" w:rsidP="00792DCE">
      <w:pPr>
        <w:rPr>
          <w:szCs w:val="24"/>
        </w:rPr>
      </w:pPr>
    </w:p>
    <w:p w:rsidR="00792DCE" w:rsidRPr="00D50CF9" w:rsidRDefault="00792DCE" w:rsidP="00D37978">
      <w:pPr>
        <w:jc w:val="center"/>
        <w:rPr>
          <w:b/>
          <w:szCs w:val="24"/>
        </w:rPr>
      </w:pPr>
      <w:r w:rsidRPr="00D50CF9">
        <w:rPr>
          <w:szCs w:val="24"/>
        </w:rPr>
        <w:t>Jinhyeok Yu, Chul H. Song, Dogyeong Lee, Sojin Lee, Hyun S. Kim, Kyung M. Han, Moon</w:t>
      </w:r>
      <w:r w:rsidRPr="00D50CF9">
        <w:rPr>
          <w:szCs w:val="24"/>
          <w:lang w:eastAsia="ko-KR"/>
        </w:rPr>
        <w:t>gu</w:t>
      </w:r>
      <w:r w:rsidRPr="00D50CF9">
        <w:rPr>
          <w:szCs w:val="24"/>
        </w:rPr>
        <w:t xml:space="preserve"> Jeon, Seohui Park, Jung</w:t>
      </w:r>
      <w:r w:rsidRPr="00D50CF9">
        <w:rPr>
          <w:szCs w:val="24"/>
          <w:lang w:eastAsia="ko-KR"/>
        </w:rPr>
        <w:t>ho</w:t>
      </w:r>
      <w:r w:rsidRPr="00D50CF9">
        <w:rPr>
          <w:szCs w:val="24"/>
        </w:rPr>
        <w:t xml:space="preserve"> </w:t>
      </w:r>
      <w:r w:rsidRPr="00D50CF9">
        <w:rPr>
          <w:szCs w:val="24"/>
          <w:lang w:eastAsia="ko-KR"/>
        </w:rPr>
        <w:t>I</w:t>
      </w:r>
      <w:r w:rsidRPr="00D50CF9">
        <w:rPr>
          <w:szCs w:val="24"/>
        </w:rPr>
        <w:t>m, Soon-Young Park, Vincent-Henri Peuch, Pablo E. Saide, Gregory R. Carmichael, J</w:t>
      </w:r>
      <w:r w:rsidRPr="00D50CF9">
        <w:rPr>
          <w:szCs w:val="24"/>
          <w:lang w:eastAsia="ko-KR"/>
        </w:rPr>
        <w:t>eeho</w:t>
      </w:r>
      <w:r w:rsidRPr="00D50CF9">
        <w:rPr>
          <w:szCs w:val="24"/>
        </w:rPr>
        <w:t xml:space="preserve"> Kim, Jhoon Kim, Chang</w:t>
      </w:r>
      <w:r w:rsidRPr="00D50CF9">
        <w:rPr>
          <w:szCs w:val="24"/>
          <w:lang w:eastAsia="ko-KR"/>
        </w:rPr>
        <w:t>-Keun</w:t>
      </w:r>
      <w:r w:rsidRPr="00D50CF9">
        <w:rPr>
          <w:szCs w:val="24"/>
        </w:rPr>
        <w:t xml:space="preserve"> Song, Jung</w:t>
      </w:r>
      <w:r w:rsidRPr="00D50CF9">
        <w:rPr>
          <w:szCs w:val="24"/>
          <w:lang w:eastAsia="ko-KR"/>
        </w:rPr>
        <w:t>-</w:t>
      </w:r>
      <w:r w:rsidRPr="00D50CF9">
        <w:rPr>
          <w:szCs w:val="24"/>
        </w:rPr>
        <w:t>H</w:t>
      </w:r>
      <w:r w:rsidRPr="00D50CF9">
        <w:rPr>
          <w:szCs w:val="24"/>
          <w:lang w:eastAsia="ko-KR"/>
        </w:rPr>
        <w:t>un</w:t>
      </w:r>
      <w:r w:rsidRPr="00D50CF9">
        <w:rPr>
          <w:szCs w:val="24"/>
        </w:rPr>
        <w:t xml:space="preserve"> Woo</w:t>
      </w:r>
      <w:r w:rsidR="004C6F56" w:rsidRPr="00D50CF9">
        <w:rPr>
          <w:szCs w:val="24"/>
        </w:rPr>
        <w:t xml:space="preserve"> &amp;</w:t>
      </w:r>
      <w:r w:rsidRPr="00D50CF9">
        <w:rPr>
          <w:szCs w:val="24"/>
        </w:rPr>
        <w:t xml:space="preserve"> Seong-Hyun Ryu</w:t>
      </w:r>
    </w:p>
    <w:p w:rsidR="00792DCE" w:rsidRPr="00D50CF9" w:rsidRDefault="00792DCE" w:rsidP="00792DCE">
      <w:pPr>
        <w:rPr>
          <w:b/>
          <w:szCs w:val="24"/>
        </w:rPr>
      </w:pPr>
    </w:p>
    <w:p w:rsidR="008803CA" w:rsidRPr="00D50CF9" w:rsidRDefault="008803CA" w:rsidP="00792DCE">
      <w:pPr>
        <w:rPr>
          <w:b/>
          <w:szCs w:val="24"/>
        </w:rPr>
      </w:pPr>
    </w:p>
    <w:p w:rsidR="00F21800" w:rsidRPr="00D50CF9" w:rsidRDefault="00F21800" w:rsidP="00F21800">
      <w:pPr>
        <w:spacing w:line="200" w:lineRule="exact"/>
        <w:jc w:val="center"/>
        <w:rPr>
          <w:szCs w:val="24"/>
        </w:rPr>
      </w:pPr>
      <w:r w:rsidRPr="00D50CF9">
        <w:rPr>
          <w:b/>
          <w:szCs w:val="24"/>
        </w:rPr>
        <w:t>Correspondence:</w:t>
      </w:r>
      <w:r w:rsidRPr="00D50CF9">
        <w:rPr>
          <w:szCs w:val="24"/>
        </w:rPr>
        <w:t xml:space="preserve"> Chul H. Song; </w:t>
      </w:r>
      <w:r w:rsidRPr="00D50CF9">
        <w:rPr>
          <w:b/>
          <w:szCs w:val="24"/>
        </w:rPr>
        <w:t>Email:</w:t>
      </w:r>
      <w:r w:rsidRPr="00D50CF9">
        <w:rPr>
          <w:szCs w:val="24"/>
        </w:rPr>
        <w:t xml:space="preserve"> chsong@gist.ac.kr</w:t>
      </w:r>
    </w:p>
    <w:p w:rsidR="00F21800" w:rsidRPr="00D50CF9" w:rsidRDefault="00F21800" w:rsidP="00F21800">
      <w:pPr>
        <w:pStyle w:val="afd"/>
        <w:ind w:left="760"/>
        <w:jc w:val="center"/>
        <w:rPr>
          <w:szCs w:val="24"/>
        </w:rPr>
      </w:pPr>
      <w:r w:rsidRPr="00D50CF9">
        <w:rPr>
          <w:szCs w:val="24"/>
        </w:rPr>
        <w:t>School of Earth &amp; Environmental Engineering, Gwangju Institute of Science and Technology (GIST), Gwangju, 61005, Republic of Korea</w:t>
      </w:r>
    </w:p>
    <w:p w:rsidR="00792DCE" w:rsidRPr="00D50CF9" w:rsidRDefault="00792DCE" w:rsidP="00792DCE">
      <w:pPr>
        <w:rPr>
          <w:szCs w:val="24"/>
        </w:rPr>
      </w:pPr>
    </w:p>
    <w:p w:rsidR="003E0EDE" w:rsidRPr="00D50CF9" w:rsidRDefault="003E0EDE" w:rsidP="00792DCE">
      <w:pPr>
        <w:rPr>
          <w:szCs w:val="24"/>
        </w:rPr>
      </w:pPr>
    </w:p>
    <w:p w:rsidR="00792DCE" w:rsidRPr="00D50CF9" w:rsidRDefault="00792DCE" w:rsidP="00792DCE">
      <w:pPr>
        <w:rPr>
          <w:b/>
          <w:szCs w:val="24"/>
        </w:rPr>
      </w:pPr>
      <w:r w:rsidRPr="00D50CF9">
        <w:rPr>
          <w:b/>
          <w:szCs w:val="24"/>
        </w:rPr>
        <w:t xml:space="preserve">This </w:t>
      </w:r>
      <w:r w:rsidRPr="00D50CF9">
        <w:rPr>
          <w:b/>
          <w:szCs w:val="24"/>
          <w:lang w:eastAsia="ko-KR"/>
        </w:rPr>
        <w:t>PDF</w:t>
      </w:r>
      <w:r w:rsidRPr="00D50CF9">
        <w:rPr>
          <w:b/>
          <w:szCs w:val="24"/>
        </w:rPr>
        <w:t xml:space="preserve"> </w:t>
      </w:r>
      <w:r w:rsidRPr="00D50CF9">
        <w:rPr>
          <w:b/>
          <w:szCs w:val="24"/>
          <w:lang w:eastAsia="ko-KR"/>
        </w:rPr>
        <w:t>file</w:t>
      </w:r>
      <w:r w:rsidRPr="00D50CF9">
        <w:rPr>
          <w:b/>
          <w:szCs w:val="24"/>
        </w:rPr>
        <w:t xml:space="preserve"> includes:</w:t>
      </w:r>
    </w:p>
    <w:p w:rsidR="00792DCE" w:rsidRPr="00D50CF9" w:rsidRDefault="00792DCE" w:rsidP="00792DCE">
      <w:pPr>
        <w:rPr>
          <w:szCs w:val="24"/>
        </w:rPr>
      </w:pPr>
    </w:p>
    <w:p w:rsidR="00792DCE" w:rsidRPr="00D50CF9" w:rsidRDefault="00182A65" w:rsidP="00792DCE">
      <w:pPr>
        <w:ind w:left="720"/>
        <w:rPr>
          <w:szCs w:val="24"/>
          <w:lang w:eastAsia="ko-KR"/>
        </w:rPr>
      </w:pPr>
      <w:r w:rsidRPr="00D50CF9">
        <w:rPr>
          <w:szCs w:val="24"/>
          <w:lang w:eastAsia="ko-KR"/>
        </w:rPr>
        <w:t>Supplementary Sections 1 to 12</w:t>
      </w:r>
    </w:p>
    <w:p w:rsidR="00792DCE" w:rsidRPr="00D50CF9" w:rsidRDefault="00182A65" w:rsidP="00792DCE">
      <w:pPr>
        <w:ind w:left="720"/>
        <w:rPr>
          <w:szCs w:val="24"/>
        </w:rPr>
      </w:pPr>
      <w:r w:rsidRPr="00D50CF9">
        <w:rPr>
          <w:szCs w:val="24"/>
          <w:lang w:eastAsia="ko-KR"/>
        </w:rPr>
        <w:t xml:space="preserve">Supplementary </w:t>
      </w:r>
      <w:r w:rsidR="00792DCE" w:rsidRPr="00D50CF9">
        <w:rPr>
          <w:szCs w:val="24"/>
        </w:rPr>
        <w:t>References</w:t>
      </w:r>
    </w:p>
    <w:p w:rsidR="00792DCE" w:rsidRPr="00D50CF9" w:rsidRDefault="00500FCD" w:rsidP="00792DCE">
      <w:pPr>
        <w:ind w:left="720"/>
        <w:rPr>
          <w:szCs w:val="24"/>
        </w:rPr>
      </w:pPr>
      <w:r w:rsidRPr="00D50CF9">
        <w:rPr>
          <w:szCs w:val="24"/>
          <w:lang w:eastAsia="ko-KR"/>
        </w:rPr>
        <w:t xml:space="preserve">Supplementary </w:t>
      </w:r>
      <w:r w:rsidR="00792DCE" w:rsidRPr="00D50CF9">
        <w:rPr>
          <w:szCs w:val="24"/>
        </w:rPr>
        <w:t>Figures 1 to</w:t>
      </w:r>
      <w:r w:rsidR="006463D8" w:rsidRPr="00D50CF9">
        <w:rPr>
          <w:szCs w:val="24"/>
        </w:rPr>
        <w:t xml:space="preserve"> </w:t>
      </w:r>
      <w:r w:rsidR="00792DCE" w:rsidRPr="00D50CF9">
        <w:rPr>
          <w:szCs w:val="24"/>
          <w:lang w:eastAsia="ko-KR"/>
        </w:rPr>
        <w:t>15</w:t>
      </w:r>
    </w:p>
    <w:p w:rsidR="00792DCE" w:rsidRPr="00D50CF9" w:rsidRDefault="00500FCD" w:rsidP="00792DCE">
      <w:pPr>
        <w:ind w:left="720"/>
        <w:rPr>
          <w:szCs w:val="24"/>
        </w:rPr>
      </w:pPr>
      <w:r w:rsidRPr="00D50CF9">
        <w:rPr>
          <w:szCs w:val="24"/>
          <w:lang w:eastAsia="ko-KR"/>
        </w:rPr>
        <w:t xml:space="preserve">Supplementary </w:t>
      </w:r>
      <w:r w:rsidR="00792DCE" w:rsidRPr="00D50CF9">
        <w:rPr>
          <w:szCs w:val="24"/>
        </w:rPr>
        <w:t xml:space="preserve">Tables 1 to </w:t>
      </w:r>
      <w:r w:rsidR="00792DCE" w:rsidRPr="00D50CF9">
        <w:rPr>
          <w:szCs w:val="24"/>
          <w:lang w:eastAsia="ko-KR"/>
        </w:rPr>
        <w:t>10</w:t>
      </w:r>
    </w:p>
    <w:p w:rsidR="00792DCE" w:rsidRPr="00D50CF9" w:rsidRDefault="00792DCE" w:rsidP="00792DCE">
      <w:pPr>
        <w:rPr>
          <w:b/>
          <w:bCs/>
          <w:kern w:val="32"/>
          <w:sz w:val="20"/>
        </w:rPr>
      </w:pPr>
      <w:bookmarkStart w:id="0" w:name="Tables"/>
      <w:bookmarkStart w:id="1" w:name="MaterialsMethods"/>
      <w:bookmarkEnd w:id="0"/>
      <w:bookmarkEnd w:id="1"/>
      <w:r w:rsidRPr="00D50CF9">
        <w:rPr>
          <w:sz w:val="20"/>
        </w:rPr>
        <w:br w:type="page"/>
      </w:r>
    </w:p>
    <w:p w:rsidR="00792DCE" w:rsidRPr="00D50CF9" w:rsidRDefault="00792DCE" w:rsidP="00792DCE">
      <w:pPr>
        <w:pStyle w:val="SMHeading"/>
      </w:pPr>
      <w:r w:rsidRPr="00D50CF9">
        <w:lastRenderedPageBreak/>
        <w:t>S</w:t>
      </w:r>
      <w:r w:rsidRPr="00D50CF9">
        <w:rPr>
          <w:lang w:eastAsia="ko-KR"/>
        </w:rPr>
        <w:t>ection</w:t>
      </w:r>
      <w:r w:rsidRPr="00D50CF9">
        <w:t xml:space="preserve"> </w:t>
      </w:r>
      <w:r w:rsidRPr="00D50CF9">
        <w:rPr>
          <w:lang w:eastAsia="ko-KR"/>
        </w:rPr>
        <w:t>1. Global and regional operational air quality prediction systems</w:t>
      </w:r>
    </w:p>
    <w:p w:rsidR="00792DCE" w:rsidRPr="00D50CF9" w:rsidRDefault="00792DCE" w:rsidP="00792DCE">
      <w:pPr>
        <w:pStyle w:val="SMSubheading"/>
        <w:ind w:firstLine="720"/>
        <w:jc w:val="both"/>
        <w:rPr>
          <w:szCs w:val="24"/>
          <w:u w:val="none"/>
        </w:rPr>
      </w:pPr>
      <w:r w:rsidRPr="00D50CF9">
        <w:rPr>
          <w:szCs w:val="24"/>
          <w:u w:val="none"/>
        </w:rPr>
        <w:t xml:space="preserve">Many countries have developed and operated their own short-term (or medium-range) air quality prediction systems. These operational air quality prediction systems are summarized in </w:t>
      </w:r>
      <w:r w:rsidR="003A2804" w:rsidRPr="00D50CF9">
        <w:rPr>
          <w:szCs w:val="24"/>
          <w:u w:val="none"/>
        </w:rPr>
        <w:t xml:space="preserve">Supplementary </w:t>
      </w:r>
      <w:r w:rsidRPr="00D50CF9">
        <w:rPr>
          <w:szCs w:val="24"/>
          <w:u w:val="none"/>
        </w:rPr>
        <w:t>Table 1, together with names of air quality models, organization that has developed the system, ambient species for predictions, horizontal resolutions, and techniques for data assimilation.</w:t>
      </w:r>
    </w:p>
    <w:p w:rsidR="00792DCE" w:rsidRPr="00D50CF9" w:rsidRDefault="00792DCE" w:rsidP="00792DCE">
      <w:pPr>
        <w:rPr>
          <w:szCs w:val="24"/>
        </w:rPr>
      </w:pPr>
    </w:p>
    <w:p w:rsidR="00792DCE" w:rsidRPr="00D50CF9" w:rsidRDefault="00792DCE" w:rsidP="00792DCE">
      <w:pPr>
        <w:pStyle w:val="SMHeading"/>
      </w:pPr>
      <w:r w:rsidRPr="00D50CF9">
        <w:rPr>
          <w:bCs w:val="0"/>
          <w:kern w:val="0"/>
        </w:rPr>
        <w:t>Se</w:t>
      </w:r>
      <w:r w:rsidRPr="00D50CF9">
        <w:rPr>
          <w:lang w:eastAsia="ko-KR"/>
        </w:rPr>
        <w:t>ction</w:t>
      </w:r>
      <w:r w:rsidRPr="00D50CF9">
        <w:t xml:space="preserve"> </w:t>
      </w:r>
      <w:r w:rsidRPr="00D50CF9">
        <w:rPr>
          <w:lang w:eastAsia="ko-KR"/>
        </w:rPr>
        <w:t>2. K_ACheMS v2.0 (Korean Air Chemistry Modeling System v2.0)</w:t>
      </w:r>
    </w:p>
    <w:p w:rsidR="00792DCE" w:rsidRPr="00D50CF9" w:rsidRDefault="00792DCE" w:rsidP="00792DCE">
      <w:pPr>
        <w:ind w:firstLine="720"/>
        <w:jc w:val="both"/>
        <w:rPr>
          <w:szCs w:val="24"/>
        </w:rPr>
      </w:pPr>
      <w:r w:rsidRPr="00D50CF9">
        <w:rPr>
          <w:szCs w:val="24"/>
        </w:rPr>
        <w:t xml:space="preserve">The K_ACheMS v2.0 (Korean Air Chemistry Modeling System version 2.0) has been developed by GIST science team under the national strategic particulate matter project. Main elements of the K_ACheMS v2.0 were briefly introduced in the </w:t>
      </w:r>
      <w:r w:rsidR="00D27271">
        <w:rPr>
          <w:szCs w:val="24"/>
          <w:lang w:eastAsia="ko-KR"/>
        </w:rPr>
        <w:t xml:space="preserve">Materials and </w:t>
      </w:r>
      <w:r w:rsidRPr="00D50CF9">
        <w:rPr>
          <w:szCs w:val="24"/>
        </w:rPr>
        <w:t xml:space="preserve">Methods. They are also summarized in </w:t>
      </w:r>
      <w:r w:rsidR="003A2804" w:rsidRPr="00D50CF9">
        <w:rPr>
          <w:szCs w:val="24"/>
        </w:rPr>
        <w:t xml:space="preserve">Supplementary Table </w:t>
      </w:r>
      <w:r w:rsidRPr="00D50CF9">
        <w:rPr>
          <w:szCs w:val="24"/>
        </w:rPr>
        <w:t>2. Here</w:t>
      </w:r>
      <w:r w:rsidRPr="00D50CF9">
        <w:rPr>
          <w:szCs w:val="24"/>
          <w:lang w:eastAsia="ko-KR"/>
        </w:rPr>
        <w:t>,</w:t>
      </w:r>
      <w:r w:rsidRPr="00D50CF9">
        <w:rPr>
          <w:szCs w:val="24"/>
        </w:rPr>
        <w:t xml:space="preserve"> we will describe main elements of the K_ACheMS v2.0.</w:t>
      </w:r>
    </w:p>
    <w:p w:rsidR="00792DCE" w:rsidRPr="00D50CF9" w:rsidRDefault="00792DCE" w:rsidP="00792DCE">
      <w:pPr>
        <w:ind w:firstLine="800"/>
        <w:jc w:val="both"/>
        <w:rPr>
          <w:szCs w:val="24"/>
        </w:rPr>
      </w:pPr>
      <w:r w:rsidRPr="00D50CF9">
        <w:rPr>
          <w:szCs w:val="24"/>
        </w:rPr>
        <w:t xml:space="preserve">In the K_ACheMS v2.0, two meteorological models are used for producing meteorological fields. The first model is the WRF v4.1.5 (Weather Research and Forecasting version 4.1.5) model </w:t>
      </w:r>
      <w:r w:rsidRPr="00D50CF9">
        <w:rPr>
          <w:szCs w:val="24"/>
        </w:rPr>
        <w:fldChar w:fldCharType="begin"/>
      </w:r>
      <w:r w:rsidR="003232C6" w:rsidRPr="00D50CF9">
        <w:rPr>
          <w:szCs w:val="24"/>
        </w:rPr>
        <w:instrText xml:space="preserve"> ADDIN ZOTERO_ITEM CSL_CITATION {"citationID":"DtgFUuEl","properties":{"formattedCitation":"\\super 1\\nosupersub{}","plainCitation":"1","noteIndex":0},"citationItems":[{"id":1030,"uris":["http://zotero.org/users/3789855/items/NJD29IC5"],"itemData":{"id":1030,"type":"article-journal","DOI":"10.5065/1dfh-6p97","language":"en","source":"opensky.ucar.edu","title":"A Description of the Advanced Research WRF Model Version 4.1","URL":"https://opensky.ucar.edu/islandora/object/technotes%3A576/","author":[{"family":"Skamarock","given":"C."},{"family":"Klemp","given":"B."},{"family":"Dudhia","given":"Jimy"},{"family":"Gill","given":"O."},{"family":"Liu","given":"Zhiquan"},{"family":"Berner","given":"Judith"},{"family":"Wang","given":"Wei"},{"family":"Powers","given":"G."},{"family":"Duda","given":"G."},{"family":"Barker","given":"Dale"},{"family":"Huang","given":"Xiang-yu"}],"accessed":{"date-parts":[["2022",8,2]]},"issued":{"date-parts":[["2019"]]}}}],"schema":"https://github.com/citation-style-language/schema/raw/master/csl-citation.json"} </w:instrText>
      </w:r>
      <w:r w:rsidRPr="00D50CF9">
        <w:rPr>
          <w:szCs w:val="24"/>
        </w:rPr>
        <w:fldChar w:fldCharType="separate"/>
      </w:r>
      <w:r w:rsidR="003232C6" w:rsidRPr="00D50CF9">
        <w:rPr>
          <w:szCs w:val="24"/>
          <w:vertAlign w:val="superscript"/>
        </w:rPr>
        <w:t>1</w:t>
      </w:r>
      <w:r w:rsidRPr="00D50CF9">
        <w:rPr>
          <w:szCs w:val="24"/>
        </w:rPr>
        <w:fldChar w:fldCharType="end"/>
      </w:r>
      <w:r w:rsidRPr="00D50CF9">
        <w:rPr>
          <w:szCs w:val="24"/>
        </w:rPr>
        <w:t xml:space="preserve">. It is driven by the NOAA (National Oceanic and Atmospheric Administration) real-time GFS (Global Forecasting System) data. The NOAA GFS provides the WRF model with initial and boundary conditions. Outputs from WRF model runs are then converted into a CMAQ vG (Community Multi-scale Air Quality version G)-ready format using Meteorology-Chemistry Interface Processor (MCIP). The second meteorological model is the UM (Unified Model) developed by UK (United Kingdom) MET office </w:t>
      </w:r>
      <w:r w:rsidRPr="00D50CF9">
        <w:rPr>
          <w:szCs w:val="24"/>
        </w:rPr>
        <w:fldChar w:fldCharType="begin"/>
      </w:r>
      <w:r w:rsidR="003232C6" w:rsidRPr="00D50CF9">
        <w:rPr>
          <w:szCs w:val="24"/>
        </w:rPr>
        <w:instrText xml:space="preserve"> ADDIN ZOTERO_ITEM CSL_CITATION {"citationID":"9K9mbx4A","properties":{"formattedCitation":"\\super 2\\nosupersub{}","plainCitation":"2","noteIndex":0},"citationItems":[{"id":828,"uris":["http://zotero.org/users/3789855/items/K2FW2RQC"],"itemData":{"id":828,"type":"article-journal","abstract":"&lt;section class=\"abstract\"&gt;&lt;p&gt;In recent years there has been a growing appreciation of the potential advantages of using a seamless approach to weather and climate prediction. However, what exactly should this mean in practice? To help address this question, we document some of the experiences already gathered over 25 years of developing and using the Met Office Unified Model (MetUM) for both weather and climate prediction. Overall, taking a unified approach has given enormous benefits, both scientific and in terms of efficiency, but we also detail some of the challenges it has presented and the approaches taken to overcome them.&lt;/p&gt;&lt;/section&gt;","container-title":"Bulletin of the American Meteorological Society","DOI":"10.1175/BAMS-D-12-00018.1","issue":"12","language":"EN","note":"publisher: American Meteorological Society\nsection: Bulletin of the American Meteorological Society","page":"1865-1877","source":"journals.ametsoc.org","title":"Unified Modeling and Prediction of Weather and Climate: A 25-Year Journey","title-short":"Unified Modeling and Prediction of Weather and Climate","volume":"93","author":[{"family":"Brown","given":"Andrew"},{"family":"Milton","given":"Sean"},{"family":"Cullen","given":"Mike"},{"family":"Golding","given":"Brian"},{"family":"Mitchell","given":"John"},{"family":"Shelly","given":"Ann"}],"issued":{"date-parts":[["2012",12,1]]}}}],"schema":"https://github.com/citation-style-language/schema/raw/master/csl-citation.json"} </w:instrText>
      </w:r>
      <w:r w:rsidRPr="00D50CF9">
        <w:rPr>
          <w:szCs w:val="24"/>
        </w:rPr>
        <w:fldChar w:fldCharType="separate"/>
      </w:r>
      <w:r w:rsidR="003232C6" w:rsidRPr="00D50CF9">
        <w:rPr>
          <w:szCs w:val="24"/>
          <w:vertAlign w:val="superscript"/>
        </w:rPr>
        <w:t>2</w:t>
      </w:r>
      <w:r w:rsidRPr="00D50CF9">
        <w:rPr>
          <w:szCs w:val="24"/>
        </w:rPr>
        <w:fldChar w:fldCharType="end"/>
      </w:r>
      <w:r w:rsidRPr="00D50CF9">
        <w:rPr>
          <w:szCs w:val="24"/>
        </w:rPr>
        <w:fldChar w:fldCharType="begin"/>
      </w:r>
      <w:r w:rsidRPr="00D50CF9">
        <w:rPr>
          <w:szCs w:val="24"/>
        </w:rPr>
        <w:instrText xml:space="preserve"> ADDIN ZOTERO_ITEM CSL_CITATION {"citationID":"3TWJualK","properties":{"formattedCitation":"(2)","plainCitation":"(2)","dontUpdate":true,"noteIndex":0},"citationItems":[{"id":828,"uris":["http://zotero.org/users/3789855/items/K2FW2RQC"],"itemData":{"id":828,"type":"article-journal","abstract":"&lt;section class=\"abstract\"&gt;&lt;p&gt;In recent years there has been a growing appreciation of the potential advantages of using a seamless approach to weather and climate prediction. However, what exactly should this mean in practice? To help address this question, we document some of the experiences already gathered over 25 years of developing and using the Met Office Unified Model (MetUM) for both weather and climate prediction. Overall, taking a unified approach has given enormous benefits, both scientific and in terms of efficiency, but we also detail some of the challenges it has presented and the approaches taken to overcome them.&lt;/p&gt;&lt;/section&gt;","container-title":"Bulletin of the American Meteorological Society","DOI":"10.1175/BAMS-D-12-00018.1","issue":"12","language":"EN","note":"publisher: American Meteorological Society\nsection: Bulletin of the American Meteorological Society","page":"1865-1877","source":"journals.ametsoc.org","title":"Unified Modeling and Prediction of Weather and Climate: A 25-Year Journey","title-short":"Unified Modeling and Prediction of Weather and Climate","volume":"93","author":[{"family":"Brown","given":"Andrew"},{"family":"Milton","given":"Sean"},{"family":"Cullen","given":"Mike"},{"family":"Golding","given":"Brian"},{"family":"Mitchell","given":"John"},{"family":"Shelly","given":"Ann"}],"issued":{"date-parts":[["2012",12,1]]}}}],"schema":"https://github.com/citation-style-language/schema/raw/master/csl-citation.json"} </w:instrText>
      </w:r>
      <w:r w:rsidRPr="00D50CF9">
        <w:rPr>
          <w:szCs w:val="24"/>
        </w:rPr>
        <w:fldChar w:fldCharType="end"/>
      </w:r>
      <w:r w:rsidRPr="00D50CF9">
        <w:rPr>
          <w:szCs w:val="24"/>
        </w:rPr>
        <w:t>. The UM is currently the operational NWP (Numerical weather prediction) model at the KMA (Korean Meteorological Administration) in South Korea. To convert UM-generated meteorological fields into the CMAQ vG-ready format, a UM-MCIP pre-processor has also been developed by the GIST science team.</w:t>
      </w:r>
    </w:p>
    <w:p w:rsidR="00792DCE" w:rsidRPr="00D50CF9" w:rsidRDefault="00792DCE" w:rsidP="00792DCE">
      <w:pPr>
        <w:ind w:firstLine="800"/>
        <w:jc w:val="both"/>
        <w:rPr>
          <w:szCs w:val="24"/>
        </w:rPr>
      </w:pPr>
      <w:r w:rsidRPr="00D50CF9">
        <w:rPr>
          <w:szCs w:val="24"/>
        </w:rPr>
        <w:t>For air quality model simulations, the CMAQ vG model has been developed by the GIST science team based on the US EPA (United States Environmental Protection Agency) CMAQ v5.2 model</w:t>
      </w:r>
      <w:r w:rsidRPr="00D50CF9">
        <w:rPr>
          <w:szCs w:val="24"/>
          <w:lang w:eastAsia="ko-KR"/>
        </w:rPr>
        <w:t xml:space="preserve"> </w:t>
      </w:r>
      <w:r w:rsidRPr="00D50CF9">
        <w:rPr>
          <w:szCs w:val="24"/>
          <w:lang w:eastAsia="ko-KR"/>
        </w:rPr>
        <w:fldChar w:fldCharType="begin"/>
      </w:r>
      <w:r w:rsidR="003232C6" w:rsidRPr="00D50CF9">
        <w:rPr>
          <w:szCs w:val="24"/>
          <w:lang w:eastAsia="ko-KR"/>
        </w:rPr>
        <w:instrText xml:space="preserve"> ADDIN ZOTERO_ITEM CSL_CITATION {"citationID":"X87yWNxR","properties":{"formattedCitation":"\\super 3\\nosupersub{}","plainCitation":"3","noteIndex":0},"citationItems":[{"id":357,"uris":["http://zotero.org/users/3789855/items/P6UTY986"],"itemData":{"id":357,"type":"article-journal","abstract":"This article describes the governing equations, computational algorithms, and other components entering into the Community Multiscale Air Quality (CMAQ) modeling system. This system has been designed to approach air quality as a whole by including state-of-the-science capabilities for modeling multiple air quality issues, including tropospheric ozone, fine particles, acid deposition, and visibility degradation. CMAQ was also designed to have multiscale capabilities so that separate models were not needed for urban and regional scale air quality modeling. By making CMAQ a modeling system that addresses multiple pollutants and different spatial scales, it has a “one-atmosphere” perspective that combines the efforts of the scientific community. To implement multiscale capabilities in CMAQ, several issues (such as scalable atmospheric dynamics and generalized coordinates), which depend on the desired model resolution, are addressed. A set of governing equations for compressible nonhydrostatic atmospheres is available to better resolve atmospheric dynamics at smaller scales. Because CMAQ is designed to handle scale-dependent meteorological formulations and a large amount of flexibility, its governing equations are expressed in a generalized coordinate system. This approach ensures consistency between CMAQ and the meteorological modeling system. The generalized coordinate system determines the necessary grid and coordinate transformations, and it can accommodate various vertical coordinates and map projections. The CMAQ modeling system simulates various chemical and physical processes that are thought to be important for understanding atmospheric trace gas transformations and distributions. The modeling system contains three types of modeling components (Models-3): a meteorological modeling system for the description of atmospheric states and motions, emission models for man-made and natural emissions that are injected into the atmosphere, and a chemistry-transport modeling system for simulation of the chemical transformation and fate. The chemical transport model includes the following process modules: horizontal advection, vertical advection, mass conservation adjustments for advection processes, horizontal diffusion, vertical diffusion, gas-phase chemical reactions and solvers, photolytic rate computation, aqueous-phase reactions and cloud mixing, aerosol dynamics, size distributions and chemistry, plume chemistry effects, and gas and aerosol deposition velocity estimation. This paper describes the Models-3 CMAQ system, its governing equations, important science algorithms, and a few application examples. This review article cites 114 references.","container-title":"Applied Mechanics Reviews","DOI":"10.1115/1.2128636","ISSN":"0003-6900","issue":"2","journalAbbreviation":"Appl. Mech. Rev","page":"51-77","source":"Silverchair","title":"Review of the Governing Equations, Computational Algorithms, and Other Components of the Models-3 Community Multiscale Air Quality (CMAQ) Modeling System","volume":"59","author":[{"family":"Byun","given":"Daewon"},{"family":"Schere","given":"Kenneth L."}],"issued":{"date-parts":[["2006",3,1]]}}}],"schema":"https://github.com/citation-style-language/schema/raw/master/csl-citation.json"} </w:instrText>
      </w:r>
      <w:r w:rsidRPr="00D50CF9">
        <w:rPr>
          <w:szCs w:val="24"/>
          <w:lang w:eastAsia="ko-KR"/>
        </w:rPr>
        <w:fldChar w:fldCharType="separate"/>
      </w:r>
      <w:r w:rsidR="003232C6" w:rsidRPr="00D50CF9">
        <w:rPr>
          <w:szCs w:val="24"/>
          <w:vertAlign w:val="superscript"/>
        </w:rPr>
        <w:t>3</w:t>
      </w:r>
      <w:r w:rsidRPr="00D50CF9">
        <w:rPr>
          <w:szCs w:val="24"/>
          <w:lang w:eastAsia="ko-KR"/>
        </w:rPr>
        <w:fldChar w:fldCharType="end"/>
      </w:r>
      <w:r w:rsidRPr="00D50CF9">
        <w:rPr>
          <w:szCs w:val="24"/>
        </w:rPr>
        <w:t xml:space="preserve">. The CMAQ vG model mainly uses modified version of SAPRC07TC (Statewide Air Pollution Research Center 07) chemical mechanism with several important updates, including the following: (i) daytime HONO photo-chemistries </w:t>
      </w:r>
      <w:r w:rsidRPr="00D50CF9">
        <w:rPr>
          <w:szCs w:val="24"/>
        </w:rPr>
        <w:fldChar w:fldCharType="begin"/>
      </w:r>
      <w:r w:rsidR="003232C6" w:rsidRPr="00D50CF9">
        <w:rPr>
          <w:szCs w:val="24"/>
        </w:rPr>
        <w:instrText xml:space="preserve"> ADDIN ZOTERO_ITEM CSL_CITATION {"citationID":"djUSuVqh","properties":{"formattedCitation":"\\super 4\\nosupersub{}","plainCitation":"4","noteIndex":0},"citationItems":[{"id":870,"uris":["http://zotero.org/users/3789855/items/4UF3BL8Y"],"itemData":{"id":870,"type":"article-journal","abstract":"Current chemical transport models commonly undersimulate the atmospheric concentration of nitrous acid (HONO), which plays an important role in atmospheric chemistry, due to the lack or inappropriate representations of some sources in the models. In the present study, we parameterized up-to-date HONO sources into a state-of-the-art three-dimensional chemical transport model (Weather Research and Forecasting model coupled with Chemistry: WRF-Chem). These sources included (1) heterogeneous reactions on ground surfaces with the photoenhanced effect on HONO production, (2) photoenhanced reactions on aerosol surfaces, (3) direct vehicle and vessel emissions, (4) potential conversion of NO2 at the ocean surface, and (5) emissions from soil bacteria. The revised WRF-Chem was applied to explore the sources of the high HONO concentrations (0.45–2.71 ppb) observed at a suburban site located within complex land types (with artificial land covers, ocean, and forests) in Hong Kong. With the addition of these sources, the revised model substantially reproduced the observed HONO levels. The heterogeneous conversions of NO2 on ground surfaces dominated HONO sources contributing about 42% to the observed HONO mixing ratios, with emissions from soil bacterial contributing around 29%, followed by the oceanic source ( 9%), photochemical formation via NO and OH ( 6%), conversion on aerosol surfaces ( 3%), and traffic emissions ( 2%). The results suggest that HONO sources in suburban areas could be more complex and diverse than those in urban or rural areas and that the bacterial and/or ocean processes need to be considered in HONO production in forested and/or coastal areas. Sensitivity tests showed that the simulated HONO was sensitive to the uptake coefficient of NO2 on the surfaces. Incorporation of the aforementioned HONO sources significantly improved the simulations of ozone, resulting in increases of ground-level ozone concentrations by 6–12% over urban areas in Hong Kong and the Pearl River Delta region. This result highlights the importance of accurately representing HONO sources in simulations of secondary pollutants over polluted regions.","container-title":"Journal of Geophysical Research: Atmospheres","DOI":"10.1002/2015JD024468","ISSN":"2169-8996","issue":"7","language":"en","note":"_eprint: https://onlinelibrary.wiley.com/doi/pdf/10.1002/2015JD024468","page":"3645-3662","source":"Wiley Online Library","title":"Potential sources of nitrous acid (HONO) and their impacts on ozone: A WRF-Chem study in a polluted subtropical region","title-short":"Potential sources of nitrous acid (HONO) and their impacts on ozone","volume":"121","author":[{"family":"Zhang","given":"Li"},{"family":"Wang","given":"Tao"},{"family":"Zhang","given":"Qiang"},{"family":"Zheng","given":"Junyu"},{"family":"Xu","given":"Zheng"},{"family":"Lv","given":"Mengyao"}],"issued":{"date-parts":[["2016"]]}}}],"schema":"https://github.com/citation-style-language/schema/raw/master/csl-citation.json"} </w:instrText>
      </w:r>
      <w:r w:rsidRPr="00D50CF9">
        <w:rPr>
          <w:szCs w:val="24"/>
        </w:rPr>
        <w:fldChar w:fldCharType="separate"/>
      </w:r>
      <w:r w:rsidR="003232C6" w:rsidRPr="00D50CF9">
        <w:rPr>
          <w:szCs w:val="24"/>
          <w:vertAlign w:val="superscript"/>
        </w:rPr>
        <w:t>4</w:t>
      </w:r>
      <w:r w:rsidRPr="00D50CF9">
        <w:rPr>
          <w:szCs w:val="24"/>
        </w:rPr>
        <w:fldChar w:fldCharType="end"/>
      </w:r>
      <w:r w:rsidRPr="00D50CF9">
        <w:rPr>
          <w:szCs w:val="24"/>
        </w:rPr>
        <w:t xml:space="preserve">; </w:t>
      </w:r>
      <w:r w:rsidRPr="00D50CF9">
        <w:rPr>
          <w:szCs w:val="24"/>
          <w:lang w:eastAsia="ko-KR"/>
        </w:rPr>
        <w:t>(</w:t>
      </w:r>
      <w:r w:rsidRPr="00D50CF9">
        <w:rPr>
          <w:szCs w:val="24"/>
        </w:rPr>
        <w:t>ii) heterogeneous HO</w:t>
      </w:r>
      <w:r w:rsidRPr="00D50CF9">
        <w:rPr>
          <w:szCs w:val="24"/>
          <w:vertAlign w:val="subscript"/>
        </w:rPr>
        <w:t>2</w:t>
      </w:r>
      <w:r w:rsidRPr="00D50CF9">
        <w:rPr>
          <w:szCs w:val="24"/>
        </w:rPr>
        <w:t xml:space="preserve"> reactions </w:t>
      </w:r>
      <w:r w:rsidRPr="00D50CF9">
        <w:rPr>
          <w:szCs w:val="24"/>
        </w:rPr>
        <w:fldChar w:fldCharType="begin"/>
      </w:r>
      <w:r w:rsidR="003232C6" w:rsidRPr="00D50CF9">
        <w:rPr>
          <w:szCs w:val="24"/>
        </w:rPr>
        <w:instrText xml:space="preserve"> ADDIN ZOTERO_ITEM CSL_CITATION {"citationID":"KjUcTW4u","properties":{"formattedCitation":"\\super 5\\nosupersub{}","plainCitation":"5","noteIndex":0},"citationItems":[{"id":873,"uris":["http://zotero.org/users/3789855/items/I7VK8RJJ"],"itemData":{"id":873,"type":"article-journal","abstract":"&lt;p&gt;&lt;strong class=\"journal-contentHeaderColor\"&gt;Abstract.&lt;/strong&gt; HO&lt;sub&gt;2&lt;/sub&gt; is an important atmospheric trace gas, whose sink to aerosol is poorly understood yet significant. Previous parameterisations of the rate of uptake have been limited by the lack of laboratory studies. This paper creates a parameterisation for &amp;gamma;&lt;sub&gt;HO&lt;sub&gt;2&lt;/sub&gt;&lt;/sub&gt; based on the available laboratory studies. The calculated global mean &amp;gamma;&lt;sub&gt;HO&lt;sub&gt;2&lt;/sub&gt;&lt;/sub&gt; is 0.028, significantly lower than previous work (0.2). Modelled concentrations of HO&lt;sub&gt;2&lt;/sub&gt; show significant regional sensitivity to the value of &amp;gamma;&lt;sub&gt;HO&lt;sub&gt;2&lt;/sub&gt;&lt;/sub&gt; (up to +106% at the surface with the parameterisation of &amp;gamma;&lt;sub&gt;HO&lt;sub&gt;2&lt;/sub&gt;&lt;/sub&gt; in this work as compared with a value of 0.2), but global sensitivity is small (+3.2%). The modelled response in O&lt;sub&gt;3&lt;/sub&gt; is also highly regional, being up to +27% at the surface over China, and only +0.3% globally (with the parameterisation of &amp;gamma;&lt;sub&gt;HO&lt;sub&gt;2&lt;/sub&gt;&lt;/sub&gt; in this work as compared with a value of 0.2). The impact of &amp;gamma;&lt;sub&gt;HO&lt;sub&gt;2&lt;/sub&gt;&lt;/sub&gt; on sulfate is more complex, with up to +16% over China and −5% over high latitudes, resulting in a global change of +1.2% (with the parameterisation of &amp;gamma;&lt;sub&gt;HO&lt;sub&gt;2&lt;/sub&gt;&lt;/sub&gt; in this work as compared with a value of 0.2). Uncertainty in the reaction mechanism and hence products (previously assumed to be H&lt;sub&gt;2&lt;/sub&gt;O&lt;sub&gt;2&lt;/sub&gt;) impacts the processing of sulfur and hence aerosol loads. Further laboratory studies are desirable to constrain the rate of reaction and to elucidate the reaction mechanism and products.&lt;/p&gt;","container-title":"Atmospheric Chemistry and Physics","DOI":"10.5194/acp-11-10965-2011","ISSN":"1680-7316","issue":"21","language":"English","note":"publisher: Copernicus GmbH","page":"10965-10974","source":"acp.copernicus.org","title":"Parameterisation and impact of aerosol uptake of HO&lt;sub&gt;2&lt;/sub&gt; on a global tropospheric model","volume":"11","author":[{"family":"Macintyre","given":"H. L."},{"family":"Evans","given":"M. J."}],"issued":{"date-parts":[["2011",11,4]]}}}],"schema":"https://github.com/citation-style-language/schema/raw/master/csl-citation.json"} </w:instrText>
      </w:r>
      <w:r w:rsidRPr="00D50CF9">
        <w:rPr>
          <w:szCs w:val="24"/>
        </w:rPr>
        <w:fldChar w:fldCharType="separate"/>
      </w:r>
      <w:r w:rsidR="003232C6" w:rsidRPr="00D50CF9">
        <w:rPr>
          <w:szCs w:val="24"/>
          <w:vertAlign w:val="superscript"/>
        </w:rPr>
        <w:t>5</w:t>
      </w:r>
      <w:r w:rsidRPr="00D50CF9">
        <w:rPr>
          <w:szCs w:val="24"/>
        </w:rPr>
        <w:fldChar w:fldCharType="end"/>
      </w:r>
      <w:r w:rsidRPr="00D50CF9">
        <w:rPr>
          <w:szCs w:val="24"/>
        </w:rPr>
        <w:t xml:space="preserve">; </w:t>
      </w:r>
      <w:r w:rsidRPr="00D50CF9">
        <w:rPr>
          <w:szCs w:val="24"/>
          <w:lang w:eastAsia="ko-KR"/>
        </w:rPr>
        <w:t>(</w:t>
      </w:r>
      <w:r w:rsidRPr="00D50CF9">
        <w:rPr>
          <w:szCs w:val="24"/>
        </w:rPr>
        <w:t xml:space="preserve">iii) gas- and aqueous-phase halogen chemistries </w:t>
      </w:r>
      <w:r w:rsidRPr="00D50CF9">
        <w:rPr>
          <w:szCs w:val="24"/>
        </w:rPr>
        <w:fldChar w:fldCharType="begin"/>
      </w:r>
      <w:r w:rsidR="003232C6" w:rsidRPr="00D50CF9">
        <w:rPr>
          <w:szCs w:val="24"/>
        </w:rPr>
        <w:instrText xml:space="preserve"> ADDIN ZOTERO_ITEM CSL_CITATION {"citationID":"WpvxbcCt","properties":{"formattedCitation":"\\super 6\\nosupersub{}","plainCitation":"6","noteIndex":0},"citationItems":[{"id":874,"uris":["http://zotero.org/users/3789855/items/5GC8KUD5"],"itemData":{"id":874,"type":"article-journal","abstract":"Fate of ozone in marine environments has been receiving increased attention due to the tightening of ambient air quality standards. The role of deposition and halogen chemistry is examined through incorporation of an enhanced ozone deposition algorithm and inclusion of halogen chemistry in a comprehensive atmospheric modeling system. The enhanced ozone deposition treatment accounts for the interaction of iodide in seawater with ozone and increases deposition velocities by 1 order of magnitude. Halogen chemistry includes detailed chemical reactions of organic and inorganic bromine and iodine species. Two different simulations are completed with the halogen chemistry: without and with photochemical reactions of higher iodine oxides. Enhanced deposition reduces mean summer-time surface ozone by </w:instrText>
      </w:r>
      <w:r w:rsidR="003232C6" w:rsidRPr="00D50CF9">
        <w:rPr>
          <w:rFonts w:ascii="바탕" w:eastAsia="바탕" w:hAnsi="바탕" w:cs="바탕" w:hint="eastAsia"/>
          <w:szCs w:val="24"/>
        </w:rPr>
        <w:instrText>∼</w:instrText>
      </w:r>
      <w:r w:rsidR="003232C6" w:rsidRPr="00D50CF9">
        <w:rPr>
          <w:szCs w:val="24"/>
        </w:rPr>
        <w:instrText xml:space="preserve">3% over marine regions in the Northern Hemisphere. Halogen chemistry without the photochemical reactions of higher iodine oxides reduces surface ozone by </w:instrText>
      </w:r>
      <w:r w:rsidR="003232C6" w:rsidRPr="00D50CF9">
        <w:rPr>
          <w:rFonts w:ascii="바탕" w:eastAsia="바탕" w:hAnsi="바탕" w:cs="바탕" w:hint="eastAsia"/>
          <w:szCs w:val="24"/>
        </w:rPr>
        <w:instrText>∼</w:instrText>
      </w:r>
      <w:r w:rsidR="003232C6" w:rsidRPr="00D50CF9">
        <w:rPr>
          <w:szCs w:val="24"/>
        </w:rPr>
        <w:instrText xml:space="preserve">15% whereas simulations with the photochemical reactions of higher iodine oxides indicate ozone reductions of </w:instrText>
      </w:r>
      <w:r w:rsidR="003232C6" w:rsidRPr="00D50CF9">
        <w:rPr>
          <w:rFonts w:ascii="바탕" w:eastAsia="바탕" w:hAnsi="바탕" w:cs="바탕" w:hint="eastAsia"/>
          <w:szCs w:val="24"/>
        </w:rPr>
        <w:instrText>∼</w:instrText>
      </w:r>
      <w:r w:rsidR="003232C6" w:rsidRPr="00D50CF9">
        <w:rPr>
          <w:szCs w:val="24"/>
        </w:rPr>
        <w:instrText xml:space="preserve">48%. The model without these processes overpredicts ozone compared to observations whereas the inclusion of these processes improves predictions. The inclusion of photochemical reactions for higher iodine oxides leads to ozone predictions that are lower than observations, underscoring the need for further refinement of the halogen emissions and chemistry scheme in the model.","container-title":"Environmental Science &amp; Technology","DOI":"10.1021/acs.est.5b01657","ISSN":"0013-936X","issue":"15","journalAbbreviation":"Environ. Sci. Technol.","note":"publisher: American Chemical Society","page":"9203-9211","source":"ACS Publications","title":"Impact of Enhanced Ozone Deposition and Halogen Chemistry on Tropospheric Ozone over the Northern Hemisphere","volume":"49","author":[{"family":"Sarwar","given":"Golam"},{"family":"Gantt","given":"Brett"},{"family":"Schwede","given":"Donna"},{"family":"Foley","given":"Kristen"},{"family":"Mathur","given":"Rohit"},{"family":"Saiz-Lopez","given":"Alfonso"}],"issued":{"date-parts":[["2015",8,4]]}}}],"schema":"https://github.com/citation-style-language/schema/raw/master/csl-citation.json"} </w:instrText>
      </w:r>
      <w:r w:rsidRPr="00D50CF9">
        <w:rPr>
          <w:szCs w:val="24"/>
        </w:rPr>
        <w:fldChar w:fldCharType="separate"/>
      </w:r>
      <w:r w:rsidR="003232C6" w:rsidRPr="00D50CF9">
        <w:rPr>
          <w:szCs w:val="24"/>
          <w:vertAlign w:val="superscript"/>
        </w:rPr>
        <w:t>6</w:t>
      </w:r>
      <w:r w:rsidRPr="00D50CF9">
        <w:rPr>
          <w:szCs w:val="24"/>
        </w:rPr>
        <w:fldChar w:fldCharType="end"/>
      </w:r>
      <w:r w:rsidRPr="00D50CF9">
        <w:rPr>
          <w:szCs w:val="24"/>
        </w:rPr>
        <w:t xml:space="preserve">; </w:t>
      </w:r>
      <w:r w:rsidRPr="00D50CF9">
        <w:rPr>
          <w:szCs w:val="24"/>
          <w:lang w:eastAsia="ko-KR"/>
        </w:rPr>
        <w:t>(</w:t>
      </w:r>
      <w:r w:rsidRPr="00D50CF9">
        <w:rPr>
          <w:szCs w:val="24"/>
        </w:rPr>
        <w:t xml:space="preserve">iv) new yield data for SOA formation acquired from multiple smog chamber experiments conducted under typical conditions of northeast Asia </w:t>
      </w:r>
      <w:r w:rsidRPr="00D50CF9">
        <w:rPr>
          <w:szCs w:val="24"/>
        </w:rPr>
        <w:fldChar w:fldCharType="begin"/>
      </w:r>
      <w:r w:rsidR="003232C6" w:rsidRPr="00D50CF9">
        <w:rPr>
          <w:szCs w:val="24"/>
        </w:rPr>
        <w:instrText xml:space="preserve"> ADDIN ZOTERO_ITEM CSL_CITATION {"citationID":"WXoENPPb","properties":{"formattedCitation":"\\super 7\\nosupersub{}","plainCitation":"7","noteIndex":0},"citationItems":[{"id":889,"uris":["http://zotero.org/users/3789855/items/3LL7V77D"],"itemData":{"id":889,"type":"article-journal","abstract":"ABSTRACTAn indoor smog chamber facility has been built for carrying out secondary organic aerosol (SOA) formation and for studying physicochemical properties of SOA. This facility comprises of ~7 m3 FEP Teflon reactor placed in temperature controlled room coupled with instruments for gas and particle phase data. Detailed characterization experiments have been presented describing control of reactor temperature, relative humidity (RH), effective mixing time, wall loss rates of gases and particles, light source, and air purification. This chamber showed a wide range of temperature control with acceptable precision (i.e., 18–33 ± 0.5°C). The gas wall loss rates for NO, NO2, and O3 were found to be 3.78 × 10–4 min–1, 4.48 × 10–5 min–1, and 6.47 × 10–5 min–1, respectively. NO2 photolysis rate constant was 0.17 min–1. Particle wall loss constant was found to be 3.96 × 10–3 min–1 at Dp = 100 nm. SOA yields of dark α-pinene ozonolysis ranged from 0.025 to 0.378 for α-pinene concentrations from 10 ppb to 100 ppb.","container-title":"Aerosol and Air Quality Research","DOI":"10.4209/aaqr.2015.10.0580","ISSN":"2071-1409","issue":"12","journalAbbreviation":"Aerosol Air Qual. Res.","language":"en","note":"publisher: Taiwan Association for Aerosol Research","page":"3102-3113","source":"aaqr.org","title":"Characterization of a Smog Chamber for Studying Formation and Physicochemical Properties of Secondary Organic Aerosol","volume":"16","author":[{"family":"Babar","given":"Zaeem Bin"},{"family":"Park","given":"Jun-Hyun"},{"family":"Kang","given":"Jia"},{"family":"Lim","given":"Ho-jin"}],"issued":{"date-parts":[["2016"]]}}}],"schema":"https://github.com/citation-style-language/schema/raw/master/csl-citation.json"} </w:instrText>
      </w:r>
      <w:r w:rsidRPr="00D50CF9">
        <w:rPr>
          <w:szCs w:val="24"/>
        </w:rPr>
        <w:fldChar w:fldCharType="separate"/>
      </w:r>
      <w:r w:rsidR="003232C6" w:rsidRPr="00D50CF9">
        <w:rPr>
          <w:szCs w:val="24"/>
          <w:vertAlign w:val="superscript"/>
        </w:rPr>
        <w:t>7</w:t>
      </w:r>
      <w:r w:rsidRPr="00D50CF9">
        <w:rPr>
          <w:szCs w:val="24"/>
        </w:rPr>
        <w:fldChar w:fldCharType="end"/>
      </w:r>
      <w:r w:rsidRPr="00D50CF9">
        <w:rPr>
          <w:szCs w:val="24"/>
        </w:rPr>
        <w:t xml:space="preserve">; and </w:t>
      </w:r>
      <w:r w:rsidRPr="00D50CF9">
        <w:rPr>
          <w:szCs w:val="24"/>
          <w:lang w:eastAsia="ko-KR"/>
        </w:rPr>
        <w:t>(</w:t>
      </w:r>
      <w:r w:rsidRPr="00D50CF9">
        <w:rPr>
          <w:szCs w:val="24"/>
        </w:rPr>
        <w:t xml:space="preserve">v) new convection (Kain-Fritsch) and advection (Trajectory-Grid) schemes </w:t>
      </w:r>
      <w:r w:rsidRPr="00D50CF9">
        <w:rPr>
          <w:szCs w:val="24"/>
          <w:lang w:eastAsia="ko-KR"/>
        </w:rPr>
        <w:fldChar w:fldCharType="begin"/>
      </w:r>
      <w:r w:rsidR="003232C6" w:rsidRPr="00D50CF9">
        <w:rPr>
          <w:szCs w:val="24"/>
          <w:lang w:eastAsia="ko-KR"/>
        </w:rPr>
        <w:instrText xml:space="preserve"> ADDIN ZOTERO_ITEM CSL_CITATION {"citationID":"z9TA2UXv","properties":{"formattedCitation":"\\super 8,9\\nosupersub{}","plainCitation":"8,9","noteIndex":0},"citationItems":[{"id":958,"uris":["http://zotero.org/users/3789855/items/4YJ4MTQB"],"itemData":{"id":958,"type":"article-journal","abstract":"To improve the representation of convective mixing of atmospheric pollutants in the presence of clouds, we developed a convection module based on Kain and Fritsch (KF) method and implemented it in the Community Multiscale Air Quality model. The KF-convection method is a mass-flux-based model that accounts for updraft flux, downdraft flux, entrainment, detrainment, and the subsidence effect. The method is consistent with the convection parametrization of the meteorology model. We apply the KF-convection model to an idealized case and to a reference setup prepared for East Asia during the KORUS-AQ campaign period to investigate its impact on carbon monoxide (CO) concentration at various atmospheric altitudes. We investigate the impact of KF-convection on the horizontal distribution of CO concentrations by comparing it to aircraft measurements and the MOPITT CO column. We further discuss two types of impacts of KF-convection: the direct impact caused by vertical movement of CO concentrations by updraft or downdraft and the indirect impact caused by transport of lifted CO concentrations to another region. May 12 saw a high indirect impact originating from the Shanghai region at higher altitudes and a high direct impact of updraft fluxes at 1 km altitude. However, May 26 revealed an immense updraft increasing higher altitude concentrations (up to 40 ppbv) and diverse indirect impacts over the region of the study (±50 ppbv). The overall comparison shows a strong connection between differences in the amount of concentration caused by the direct impact at each altitude with the presence of an updraft at that altitude. The developed model can be employed in large domains (i.e., East Asia, Europe, North America, and Northern Hemisphere) with sub-grid scale cloud modeling to include the impacts of convection.","container-title":"Journal of Advances in Modeling Earth Systems","DOI":"10.1029/2021MS002475","ISSN":"1942-2466","issue":"6","language":"en","note":"_eprint: https://onlinelibrary.wiley.com/doi/pdf/10.1029/2021MS002475","page":"e2021MS002475","source":"Wiley Online Library","title":"Development and Implementation of a Physics-Based Convective Mixing Scheme in the Community Multiscale Air Quality Modeling Framework","volume":"13","author":[{"family":"Pouyaei","given":"Arman"},{"family":"Sadeghi","given":"Bavand"},{"family":"Choi","given":"Yunsoo"},{"family":"Jung","given":"Jia"},{"family":"Souri","given":"Amir H."},{"family":"Zhao","given":"Chun"},{"family":"Song","given":"Chul Han"}],"issued":{"date-parts":[["2021"]]}}},{"id":940,"uris":["http://zotero.org/users/3789855/items/3UZQDEMN"],"itemData":{"id":940,"type":"article-journal","abstract":"&lt;p&gt;&lt;strong class=\"journal-contentHeaderColor\"&gt;Abstract.&lt;/strong&gt; This paper introduces a novel Lagrangian model (Concentration Trajectory Route of Air pollution with an Integrated Lagrangian model, C-TRAIL version 1.0) output from a Eulerian air quality model for validating the source–receptor direct link by following polluted air masses. To investigate the concentrations and trajectories of air masses simultaneously, we implement the trajectory-grid (TG) Lagrangian advection scheme in the CMAQ (Community Multiscale Air Quality) Eulerian model version 5.2. The TG algorithm follows the concentrations of representative air “packets” of species along trajectories determined by the wind field. The diagnostic output from C-TRAIL accurately identifies the origins of pollutants. For validation, we analyze the results of C-TRAIL during the KORUS-AQ campaign over South Korea. Initially, we implement C-TRAIL in a simulation of CO concentrations with an emphasis on the long- and short-range transport effects. The output from C-TRAIL reveals that local trajectories were responsible for CO concentrations over Seoul during the stagnant period (17–22 May 2016) and during the extreme pollution period (25–28 May 2016), highly polluted air masses from China were distinguished as sources of CO transported to the Seoul Metropolitan Area (SMA). We conclude that during the study period, long-range transport played a crucial role in high CO concentrations over the receptor area. Furthermore, for May 2016, we find that the potential sources of CO over the SMA were the result of either local transport or long-range transport from the Shandong Peninsula and, in some cases, from regions north of the SMA. By identifying the trajectories of CO concentrations, one can use the results from C-TRAIL to directly link strong potential sources of pollutants to a receptor in specific regions during various time frames.&lt;/p&gt;","container-title":"Geoscientific Model Development","DOI":"10.5194/gmd-13-3489-2020","ISSN":"1991-959X","issue":"8","language":"English","note":"publisher: Copernicus GmbH","page":"3489-3505","source":"gmd.copernicus.org","title":"Concentration Trajectory Route of Air pollution with an Integrated Lagrangian model (C-TRAIL Model v1.0) derived from the Community Multiscale Air Quality Model (CMAQ Model v5.2)","volume":"13","author":[{"family":"Pouyaei","given":"Arman"},{"family":"Choi","given":"Yunsoo"},{"family":"Jung","given":"Jia"},{"family":"Sadeghi","given":"Bavand"},{"family":"Song","given":"Chul Han"}],"issued":{"date-parts":[["2020",8,5]]}}}],"schema":"https://github.com/citation-style-language/schema/raw/master/csl-citation.json"} </w:instrText>
      </w:r>
      <w:r w:rsidRPr="00D50CF9">
        <w:rPr>
          <w:szCs w:val="24"/>
          <w:lang w:eastAsia="ko-KR"/>
        </w:rPr>
        <w:fldChar w:fldCharType="separate"/>
      </w:r>
      <w:r w:rsidR="003232C6" w:rsidRPr="00D50CF9">
        <w:rPr>
          <w:szCs w:val="24"/>
          <w:vertAlign w:val="superscript"/>
        </w:rPr>
        <w:t>8,9</w:t>
      </w:r>
      <w:r w:rsidRPr="00D50CF9">
        <w:rPr>
          <w:szCs w:val="24"/>
          <w:lang w:eastAsia="ko-KR"/>
        </w:rPr>
        <w:fldChar w:fldCharType="end"/>
      </w:r>
      <w:r w:rsidRPr="00D50CF9">
        <w:rPr>
          <w:szCs w:val="24"/>
        </w:rPr>
        <w:t>.</w:t>
      </w:r>
    </w:p>
    <w:p w:rsidR="00792DCE" w:rsidRPr="00D50CF9" w:rsidRDefault="00792DCE" w:rsidP="00792DCE">
      <w:pPr>
        <w:ind w:firstLine="800"/>
        <w:jc w:val="both"/>
        <w:rPr>
          <w:szCs w:val="24"/>
        </w:rPr>
      </w:pPr>
      <w:r w:rsidRPr="00D50CF9">
        <w:rPr>
          <w:szCs w:val="24"/>
        </w:rPr>
        <w:t xml:space="preserve"> The K_ACheMS v2.0 also includes two data assimilation methods to construct initial conditions for CMAQ vG model simulations. The first method is 3</w:t>
      </w:r>
      <w:r w:rsidRPr="00D50CF9">
        <w:rPr>
          <w:szCs w:val="24"/>
          <w:lang w:eastAsia="ko-KR"/>
        </w:rPr>
        <w:t>-</w:t>
      </w:r>
      <w:r w:rsidRPr="00D50CF9">
        <w:rPr>
          <w:szCs w:val="24"/>
        </w:rPr>
        <w:t>D VAR (3</w:t>
      </w:r>
      <w:r w:rsidRPr="00D50CF9">
        <w:rPr>
          <w:szCs w:val="24"/>
          <w:lang w:eastAsia="ko-KR"/>
        </w:rPr>
        <w:t>-</w:t>
      </w:r>
      <w:r w:rsidRPr="00D50CF9">
        <w:rPr>
          <w:szCs w:val="24"/>
        </w:rPr>
        <w:t xml:space="preserve">Dimensional Variational) method </w:t>
      </w:r>
      <w:r w:rsidRPr="00D50CF9">
        <w:rPr>
          <w:szCs w:val="24"/>
        </w:rPr>
        <w:fldChar w:fldCharType="begin"/>
      </w:r>
      <w:r w:rsidR="003232C6" w:rsidRPr="00D50CF9">
        <w:rPr>
          <w:szCs w:val="24"/>
        </w:rPr>
        <w:instrText xml:space="preserve"> ADDIN ZOTERO_ITEM CSL_CITATION {"citationID":"l3xWVAGN","properties":{"formattedCitation":"\\super 10\\nosupersub{}","plainCitation":"10","noteIndex":0},"citationItems":[{"id":931,"uris":["http://zotero.org/users/3789855/items/S2PDLIUI"],"itemData":{"id":931,"type":"article-journal","abstract":"To improve PM2.5 predictions in Northeast Asia, we estimated a new background error covariance matrix (BEC) for aerosol data assimilation using surface PM2.5 observations. In contrast to the conventional method of BEC estimation that uses perturbations in meteorological data, this method additionally considered the perturbations using two different emission inventories. By taking the emission uncertainty into account, we found that the standard deviations in the BEC were significantly increased. The standard deviations became around three times larger than those in the conventional method at the surface. The impacts of the new BEC were then tested for the prediction of surface PM2.5 over Northeast Asia using the Community Multiscale Air Quality (CMAQ) model initialized by three-dimensional variational method (3D-VAR). The surface PM2.5 data measured at 154 sites in South Korea and 1535 sites in China were assimilated every 6 h during the campaign period of the Korea-United States Air Quality Study (KORUS-AQ) (1 May–14 June 2016). The data assimilation with the new BEC showed better agreement with the surface PM2.5 observations than with the BEC from the conventional method. Our method was also more consistent with the observations in 24-h PM2.5 predictions than the conventional method (specifically, with a </w:instrText>
      </w:r>
      <w:r w:rsidR="003232C6" w:rsidRPr="00D50CF9">
        <w:rPr>
          <w:rFonts w:ascii="바탕" w:eastAsia="바탕" w:hAnsi="바탕" w:cs="바탕" w:hint="eastAsia"/>
          <w:szCs w:val="24"/>
        </w:rPr>
        <w:instrText>∼</w:instrText>
      </w:r>
      <w:r w:rsidR="003232C6" w:rsidRPr="00D50CF9">
        <w:rPr>
          <w:szCs w:val="24"/>
        </w:rPr>
        <w:instrText xml:space="preserve">44% reduction of negative biases). We concluded that increased standard deviations, together with updated horizontal and vertical length scales in the new BEC, improved the data assimilation and short-term predictions of the surface PM2.5. This paper also suggests several research efforts to further improve the BEC for better short-term PM2.5 predictions in Northeast Asia.","container-title":"Atmospheric Environment","DOI":"10.1016/j.atmosenv.2021.118921","ISSN":"1352-2310","journalAbbreviation":"Atmospheric Environment","language":"en","page":"118921","source":"ScienceDirect","title":"Impacts of uncertainties in emissions on aerosol data assimilation and short-term PM2.5 predictions over Northeast Asia","volume":"271","author":[{"family":"Lee","given":"Sojin"},{"family":"Song","given":"Chul Han"},{"family":"Han","given":"Kyung Man"},{"family":"Henze","given":"Daven K."},{"family":"Lee","given":"Kyunghwa"},{"family":"Yu","given":"Jinhyeok"},{"family":"Woo","given":"Jung-Hun"},{"family":"Jung","given":"Jia"},{"family":"Choi","given":"Yunsoo"},{"family":"Saide","given":"Pablo E."},{"family":"Carmichael","given":"Gregory R."}],"issued":{"date-parts":[["2022",2,15]]}}}],"schema":"https://github.com/citation-style-language/schema/raw/master/csl-citation.json"} </w:instrText>
      </w:r>
      <w:r w:rsidRPr="00D50CF9">
        <w:rPr>
          <w:szCs w:val="24"/>
        </w:rPr>
        <w:fldChar w:fldCharType="separate"/>
      </w:r>
      <w:r w:rsidR="003232C6" w:rsidRPr="00D50CF9">
        <w:rPr>
          <w:szCs w:val="24"/>
          <w:vertAlign w:val="superscript"/>
        </w:rPr>
        <w:t>10</w:t>
      </w:r>
      <w:r w:rsidRPr="00D50CF9">
        <w:rPr>
          <w:szCs w:val="24"/>
        </w:rPr>
        <w:fldChar w:fldCharType="end"/>
      </w:r>
      <w:r w:rsidRPr="00D50CF9">
        <w:rPr>
          <w:szCs w:val="24"/>
        </w:rPr>
        <w:t xml:space="preserve"> and the second one is the EnKF (Ensemble Kalman Filter) technique </w:t>
      </w:r>
      <w:r w:rsidRPr="00D50CF9">
        <w:rPr>
          <w:szCs w:val="24"/>
        </w:rPr>
        <w:fldChar w:fldCharType="begin"/>
      </w:r>
      <w:r w:rsidR="003232C6" w:rsidRPr="00D50CF9">
        <w:rPr>
          <w:szCs w:val="24"/>
        </w:rPr>
        <w:instrText xml:space="preserve"> ADDIN ZOTERO_ITEM CSL_CITATION {"citationID":"ac37vxTF","properties":{"formattedCitation":"\\super 11\\nosupersub{}","plainCitation":"11","noteIndex":0},"citationItems":[{"id":962,"uris":["http://zotero.org/users/3789855/items/KH48375C"],"itemData":{"id":962,"type":"article-journal","abstract":"&lt;p&gt;&lt;strong class=\"journal-contentHeaderColor\"&gt;Abstract.&lt;/strong&gt; In this study, we developed a data assimilation (DA) system for chemical transport model (CTM) simulations using an ensemble Kalman filter (EnKF) technique. This DA technique is easy to implement in an existing system without seriously modifying the original CTM and can provide flow-dependent corrections based on error covariance by short-term ensemble propagations. First, the PM&lt;span class=\"inline-formula\"&gt;&lt;sub&gt;2.5&lt;/sub&gt;&lt;/span&gt; observations at ground stations were assimilated in this DA system every 6 h over South Korea for the period of the KORUS–AQ campaign from 1 May to 12 June 2016. The DA performances with the EnKF were then compared to a control run (CTR) without DA and a run with three-dimensional variational (3D-Var) DA. Consistent improvements owing to the initial conditions (ICs) assimilated with the EnKF were found in the DA experiments at a 6 h interval compared to the CTR run and to the run with 3D-Var. In addition, we attempted to assimilate the ground observations from China to examine the impacts of improved boundary conditions (BCs) on the PM&lt;span class=\"inline-formula\"&gt;&lt;sub&gt;2.5&lt;/sub&gt;&lt;/span&gt; predictability over South Korea. The contributions of the ICs and BCs to improvements in the PM&lt;span class=\"inline-formula\"&gt;&lt;sub&gt;2.5&lt;/sub&gt;&lt;/span&gt; predictability were also quantified. For example, the relative reductions in terms of the normalized mean bias (NMB) were found to be approximately 27.2 % for the 6 h reanalysis run. A series of 24 h PM&lt;span class=\"inline-formula\"&gt;&lt;sub&gt;2.5&lt;/sub&gt;&lt;/span&gt; predictions were additionally conducted each day at 00:00 UTC with the optimized ICs. The relative reduction of the NMB was 17.3 % for the 24 h prediction run when the updated ICs were applied at 00:00 UTC. This means that after the application of the updated BCs, an additional 9.0 % reduction in the NMB was achieved for 24 h PM&lt;span class=\"inline-formula\"&gt;&lt;sub&gt;2.5&lt;/sub&gt;&lt;/span&gt; predictions in South Korea.&lt;/p&gt;","container-title":"Geoscientific Model Development","DOI":"10.5194/gmd-15-2773-2022","ISSN":"1991-959X","issue":"7","language":"English","note":"publisher: Copernicus GmbH","page":"2773-2790","source":"gmd.copernicus.org","title":"Implementation of an ensemble Kalman filter in the Community Multiscale Air Quality model (CMAQ model v5.1) for data assimilation of ground-level PM&lt;sub&gt;2.5&lt;/sub&gt;","volume":"15","author":[{"family":"Park","given":"Soon-Young"},{"family":"Dash","given":"Uzzal Kumar"},{"family":"Yu","given":"Jinhyeok"},{"family":"Yumimoto","given":"Keiya"},{"family":"Uno","given":"Itsushi"},{"family":"Song","given":"Chul Han"}],"issued":{"date-parts":[["2022",4,6]]}}}],"schema":"https://github.com/citation-style-language/schema/raw/master/csl-citation.json"} </w:instrText>
      </w:r>
      <w:r w:rsidRPr="00D50CF9">
        <w:rPr>
          <w:szCs w:val="24"/>
        </w:rPr>
        <w:fldChar w:fldCharType="separate"/>
      </w:r>
      <w:r w:rsidR="003232C6" w:rsidRPr="00D50CF9">
        <w:rPr>
          <w:szCs w:val="24"/>
          <w:vertAlign w:val="superscript"/>
        </w:rPr>
        <w:t>11</w:t>
      </w:r>
      <w:r w:rsidRPr="00D50CF9">
        <w:rPr>
          <w:szCs w:val="24"/>
        </w:rPr>
        <w:fldChar w:fldCharType="end"/>
      </w:r>
      <w:r w:rsidRPr="00D50CF9">
        <w:rPr>
          <w:szCs w:val="24"/>
        </w:rPr>
        <w:t xml:space="preserve">. As discussed in the main text, two types of observation data can be utilized for data assimilation: ground observations and GEO/LEO satellite-retrieved observations. The way to collect ground observation data depends on the operation mode of the K_ACheMS v2.0. If it is operated in a diagnostic mode, data can be downloaded from the websites mentioned in the main text. If the operation mode is prognostic, then observations should be collected by the screen crawling technique. Further technical details of these two data assimilation methods will be described in </w:t>
      </w:r>
      <w:r w:rsidR="00AC0DCF">
        <w:rPr>
          <w:szCs w:val="24"/>
        </w:rPr>
        <w:t xml:space="preserve">Supplementary </w:t>
      </w:r>
      <w:r w:rsidRPr="00D50CF9">
        <w:rPr>
          <w:szCs w:val="24"/>
        </w:rPr>
        <w:t>Section 13.</w:t>
      </w:r>
    </w:p>
    <w:p w:rsidR="00792DCE" w:rsidRPr="00D50CF9" w:rsidRDefault="00792DCE" w:rsidP="00792DCE">
      <w:pPr>
        <w:ind w:firstLine="800"/>
        <w:jc w:val="both"/>
        <w:rPr>
          <w:szCs w:val="24"/>
        </w:rPr>
      </w:pPr>
      <w:r w:rsidRPr="00D50CF9">
        <w:rPr>
          <w:szCs w:val="24"/>
        </w:rPr>
        <w:lastRenderedPageBreak/>
        <w:t>For the consideration of anthropogenic emissions over northeast Asia, KORUS v5.0 inventory has been developed. This anthropogenic emission inventory of the KORUS v5.0 was originally constructed to support the KORUS-AQ (Korea</w:t>
      </w:r>
      <w:r w:rsidRPr="00D50CF9">
        <w:rPr>
          <w:rFonts w:eastAsia="맑은 고딕"/>
          <w:szCs w:val="24"/>
        </w:rPr>
        <w:t>–</w:t>
      </w:r>
      <w:r w:rsidRPr="00D50CF9">
        <w:rPr>
          <w:szCs w:val="24"/>
        </w:rPr>
        <w:t xml:space="preserve">United States Air Quality) campaign. This inventory is a mosaic inventory. It is composed of three emission datasets: (i) CREATE (Comprehensive Regional Emissions inventory for Atmospheric Transport Experiment) 2015 emissions for China and Japan; (ii) CAPSS (Clean Air Policy Support System) 2015 emission for South Korea; and (iii) SEAC4RS (Studies of Emissions and Atmospheric Composition, Clouds and Climate Coupling by Regional Surveys) 2012 for other regions in East Asia </w:t>
      </w:r>
      <w:r w:rsidRPr="00D50CF9">
        <w:rPr>
          <w:szCs w:val="24"/>
        </w:rPr>
        <w:fldChar w:fldCharType="begin"/>
      </w:r>
      <w:r w:rsidR="003232C6" w:rsidRPr="00D50CF9">
        <w:rPr>
          <w:szCs w:val="24"/>
        </w:rPr>
        <w:instrText xml:space="preserve"> ADDIN ZOTERO_ITEM CSL_CITATION {"citationID":"yvtmZ90s","properties":{"formattedCitation":"\\super 12\\nosupersub{}","plainCitation":"12","noteIndex":0},"citationItems":[{"id":769,"uris":["http://zotero.org/users/3789855/items/L7V6WG6P"],"itemData":{"id":769,"type":"article-journal","abstract":"A bottom-up emissions inventory is one of the most important data sets needed to understand air quality (AQ) and climate change (CC). Several emission inventories have been developed for Asia, including Transport and Chemical Evolution over the Pacific (TRACE-P), Regional Emission Inventory in Asia (REAS), and Inter-Continental Chemical Transport Experiment (INTEX) and, while these have been used successfully for many international studies, they have limitations including restricted amounts of information on pollutant types and low levels of transparency with respect to the polluting sectors or fuel types involved. To address these shortcomings, we developed: (1) a base-year, bottom-up anthropogenic emissions inventory for Asia, using the most current parameters and international frameworks (i.e., the Greenhouse gas&amp;mdash;Air pollution INteractions and Synergies (GAINS) model); and (2) a base-year, natural emissions inventory for biogenic and biomass burning. For (1), we focused mainly on China, South Korea, and Japan; however, we also covered emission inventories for other regions in Asia using data covering recent energy/industry statistics, emission factors, and control technology penetration. The emissions inventory (Comprehensive Regional Emissions inventory for Atmospheric Transport Experiment (CREATE)) covers 54 fuel classes, 201 subsectors, and 13 pollutants, namely SO2, NOx, CO, non-methane volatile organic compounds (NMVOC), NH3, OC, BC, PM10, PM2.5, CO2, CH4, N2O, and Hg. For the base-year natural emissions inventory, the Model of Emissions of Gases and Aerosols from Nature (MEGAN) and BlueSky-Asia frameworks were used to estimate biogenic and biomass burning emissions, respectively. Since the CREATE emission inventory was designed/developed using international climate change/air quality (CC/AQ) assessment frameworks, such as GAINS, and has been fully connected with the most comprehensive emissions modeling systems&amp;mdash;such as the US Environmental Protection Agency (EPA) Chemical Manufacturing Area Source (CMAS) system&amp;mdash;it can be used to support various climate and AQ integrated modeling studies, both now and in the future.","container-title":"Sustainability","DOI":"10.3390/su12197930","issue":"19","language":"en","license":"http://creativecommons.org/licenses/by/3.0/","note":"number: 19\npublisher: Multidisciplinary Digital Publishing Institute","page":"7930","source":"www.mdpi.com","title":"Development of the CREATE Inventory in Support of Integrated Climate and Air Quality Modeling for Asia","volume":"12","author":[{"family":"Woo","given":"Jung-Hun"},{"family":"Kim","given":"Younha"},{"family":"Kim","given":"Hyeon-Kook"},{"family":"Choi","given":"Ki-Chul"},{"family":"Eum","given":"Jeong-Hee"},{"family":"Lee","given":"Jae-Bum"},{"family":"Lim","given":"Jae-Hyun"},{"family":"Kim","given":"Jiyoung"},{"family":"Seong","given":"Miae"}],"issued":{"date-parts":[["2020",1]]}}}],"schema":"https://github.com/citation-style-language/schema/raw/master/csl-citation.json"} </w:instrText>
      </w:r>
      <w:r w:rsidRPr="00D50CF9">
        <w:rPr>
          <w:szCs w:val="24"/>
        </w:rPr>
        <w:fldChar w:fldCharType="separate"/>
      </w:r>
      <w:r w:rsidR="003232C6" w:rsidRPr="00D50CF9">
        <w:rPr>
          <w:szCs w:val="24"/>
          <w:vertAlign w:val="superscript"/>
        </w:rPr>
        <w:t>12</w:t>
      </w:r>
      <w:r w:rsidRPr="00D50CF9">
        <w:rPr>
          <w:szCs w:val="24"/>
        </w:rPr>
        <w:fldChar w:fldCharType="end"/>
      </w:r>
      <w:r w:rsidRPr="00D50CF9">
        <w:rPr>
          <w:szCs w:val="24"/>
        </w:rPr>
        <w:t xml:space="preserve">. To take biogenic emissions into account, the MEGAN v2.1 (Model of Emissions of Gases and Aerosols from Nature version 2.1) model was </w:t>
      </w:r>
      <w:r w:rsidRPr="00D50CF9">
        <w:rPr>
          <w:color w:val="000000" w:themeColor="text1"/>
          <w:szCs w:val="24"/>
          <w:lang w:eastAsia="ko-KR"/>
        </w:rPr>
        <w:t>run</w:t>
      </w:r>
      <w:r w:rsidRPr="00D50CF9">
        <w:rPr>
          <w:szCs w:val="24"/>
        </w:rPr>
        <w:t xml:space="preserve"> over the modeling domain show</w:t>
      </w:r>
      <w:r w:rsidRPr="00D50CF9">
        <w:rPr>
          <w:color w:val="000000"/>
          <w:szCs w:val="24"/>
        </w:rPr>
        <w:t xml:space="preserve">n </w:t>
      </w:r>
      <w:r w:rsidRPr="00D50CF9">
        <w:rPr>
          <w:color w:val="000000"/>
          <w:szCs w:val="24"/>
          <w:lang w:eastAsia="ko-KR"/>
        </w:rPr>
        <w:t xml:space="preserve">in </w:t>
      </w:r>
      <w:r w:rsidRPr="00D50CF9">
        <w:rPr>
          <w:szCs w:val="24"/>
        </w:rPr>
        <w:t xml:space="preserve">Fig. 1 </w:t>
      </w:r>
      <w:r w:rsidRPr="00D50CF9">
        <w:rPr>
          <w:szCs w:val="24"/>
          <w:lang w:eastAsia="ko-KR"/>
        </w:rPr>
        <w:fldChar w:fldCharType="begin"/>
      </w:r>
      <w:r w:rsidR="003232C6" w:rsidRPr="00D50CF9">
        <w:rPr>
          <w:szCs w:val="24"/>
          <w:lang w:eastAsia="ko-KR"/>
        </w:rPr>
        <w:instrText xml:space="preserve"> ADDIN ZOTERO_ITEM CSL_CITATION {"citationID":"kRaXjn7F","properties":{"formattedCitation":"\\super 13\\nosupersub{}","plainCitation":"13","noteIndex":0},"citationItems":[{"id":388,"uris":["http://zotero.org/users/3789855/items/PMXZU4RM"],"itemData":{"id":388,"type":"article-journal","abstract":"The Model of Emissions of Gases and Aerosols from Nature version 2.1 (MEGAN2.1) is a modeling framework for estimating fluxes of biogenic compounds between terrestrial ecosystems and the atmosphere using simple mechanistic algorithms to account for the major known processes controlling biogenic emissions. It is available as an offline code and has also been coupled into land surface and atmospheric chemistry models. MEGAN2.1 is an update from the previous versions including MEGAN2.0, which was described for isoprene emissions by Guenther et al. (2006) and MEGAN2.02, which was described for monoterpene and sesquiterpene emissions by Sakulyanontvittaya et al. (2008). Isoprene comprises about half of the total global biogenic volatile organic compound (BVOC) emission of 1 Pg (1000 Tg or 1015 g) estimated using MEGAN2.1. Methanol, ethanol, acetaldehyde, acetone, α-pinene, β-pinene, t-β-ocimene, limonene, ethene, and propene together contribute another 30% of the MEGAN2.1 estimated emission. An additional 20 compounds (mostly terpenoids) are associated with the MEGAN2.1 estimates of another 17% of the total emission with the remaining 3% distributed among &gt;100 compounds. Emissions of 41 monoterpenes and 32 sesquiterpenes together comprise about 15% and 3%, respectively, of the estimated total global BVOC emission. Tropical trees cover about 18% of the global land surface and are estimated to be responsible for ~80% of terpenoid emissions and ~50% of other VOC emissions. Other trees cover about the same area but are estimated to contribute only about 10% of total emissions. The magnitude of the emissions estimated with MEGAN2.1 are within the range of estimates reported using other approaches and much of the differences between reported values can be attributed to land cover and meteorological driving variables. The offline version of MEGAN2.1 source code and driving variables is available from http://bai.acd.ucar.edu/MEGAN/ and the version integrated into the Community Land Model version 4 (CLM4) can be downloaded from http://www.cesm.ucar.edu/.","container-title":"Geosci. Model Dev.","DOI":"10.5194/gmd-5-1471-2012","ISSN":"1991-9603","issue":"6","journalAbbreviation":"Geosci. Model Dev.","page":"1471-1492","source":"Copernicus Online Journals","title":"The Model of Emissions of Gases and Aerosols from Nature version 2.1 (MEGAN2.1): an extended and updated framework for modeling biogenic emissions","title-short":"The Model of Emissions of Gases and Aerosols from Nature version 2.1 (MEGAN2.1)","volume":"5","author":[{"family":"Guenther","given":"Alex B."},{"family":"Jiang","given":"X."},{"family":"Heald","given":"C. L."},{"family":"Sakulyanontvittaya","given":"T."},{"family":"Duhl","given":"T."},{"family":"Emmons","given":"L. K."},{"family":"Wang","given":"X."}],"issued":{"date-parts":[["2012",11,26]]}}}],"schema":"https://github.com/citation-style-language/schema/raw/master/csl-citation.json"} </w:instrText>
      </w:r>
      <w:r w:rsidRPr="00D50CF9">
        <w:rPr>
          <w:szCs w:val="24"/>
          <w:lang w:eastAsia="ko-KR"/>
        </w:rPr>
        <w:fldChar w:fldCharType="separate"/>
      </w:r>
      <w:r w:rsidR="003232C6" w:rsidRPr="00D50CF9">
        <w:rPr>
          <w:szCs w:val="24"/>
          <w:vertAlign w:val="superscript"/>
        </w:rPr>
        <w:t>13</w:t>
      </w:r>
      <w:r w:rsidRPr="00D50CF9">
        <w:rPr>
          <w:szCs w:val="24"/>
          <w:lang w:eastAsia="ko-KR"/>
        </w:rPr>
        <w:fldChar w:fldCharType="end"/>
      </w:r>
      <w:r w:rsidRPr="00D50CF9">
        <w:rPr>
          <w:szCs w:val="24"/>
        </w:rPr>
        <w:t>. To run the MEGAN model, both PFT (Plant Functional Type) and LAI (Leaf Area Index) datasets are required.</w:t>
      </w:r>
      <w:r w:rsidRPr="00D50CF9">
        <w:rPr>
          <w:szCs w:val="24"/>
          <w:vertAlign w:val="superscript"/>
        </w:rPr>
        <w:t xml:space="preserve"> </w:t>
      </w:r>
      <w:r w:rsidRPr="00D50CF9">
        <w:rPr>
          <w:szCs w:val="24"/>
        </w:rPr>
        <w:t>These datasets over the modeling domain were retrieved from the MODIS sensor. Considering pyrogenic (fire) emissions, FINN v1.5 (Fire I</w:t>
      </w:r>
      <w:r w:rsidRPr="00D50CF9">
        <w:rPr>
          <w:szCs w:val="24"/>
          <w:lang w:eastAsia="ko-KR"/>
        </w:rPr>
        <w:t>n</w:t>
      </w:r>
      <w:r w:rsidRPr="00D50CF9">
        <w:rPr>
          <w:szCs w:val="24"/>
        </w:rPr>
        <w:t xml:space="preserve">ventory from NCAR version 1.5) was used </w:t>
      </w:r>
      <w:r w:rsidRPr="00D50CF9">
        <w:rPr>
          <w:szCs w:val="24"/>
          <w:lang w:eastAsia="ko-KR"/>
        </w:rPr>
        <w:fldChar w:fldCharType="begin"/>
      </w:r>
      <w:r w:rsidR="003232C6" w:rsidRPr="00D50CF9">
        <w:rPr>
          <w:szCs w:val="24"/>
          <w:lang w:eastAsia="ko-KR"/>
        </w:rPr>
        <w:instrText xml:space="preserve"> ADDIN ZOTERO_ITEM CSL_CITATION {"citationID":"7GeyZJyH","properties":{"formattedCitation":"\\super 14\\nosupersub{}","plainCitation":"14","noteIndex":0},"citationItems":[{"id":965,"uris":["http://zotero.org/users/3789855/items/WBWMSXFF"],"itemData":{"id":965,"type":"article-journal","abstract":"&lt;p&gt;&lt;strong class=\"journal-contentHeaderColor\"&gt;Abstract.&lt;/strong&gt; The Fire INventory from NCAR version 1.0 (FINNv1) provides daily, 1 km resolution, global estimates of the trace gas and particle emissions from open burning of biomass, which includes wildfire, agricultural fires, and prescribed burning and does not include biofuel use and trash burning. Emission factors used in the calculations have been updated with recent data, particularly for the non-methane organic compounds (NMOC). The resulting global annual NMOC emission estimates are as much as a factor of 5 greater than some prior estimates. Chemical speciation profiles, necessary to allocate the total NMOC emission estimates to lumped species for use by chemical transport models, are provided for three widely used chemical mechanisms: SAPRC99, GEOS-CHEM, and MOZART-4. Using these profiles, FINNv1 also provides global estimates of key organic compounds, including formaldehyde and methanol. Uncertainties in the emissions estimates arise from several of the method steps. The use of fire hot spots, assumed area burned, land cover maps, biomass consumption estimates, and emission factors all introduce error into the model estimates. The uncertainty in the FINNv1 emission estimates are about a factor of two; but, the global estimates agree reasonably well with other global inventories of biomass burning emissions for CO, CO&lt;sub&gt;2&lt;/sub&gt;, and other species with less variable emission factors. FINNv1 emission estimates have been developed specifically for modeling atmospheric chemistry and air quality in a consistent framework at scales from local to global. The product is unique because of the high temporal and spatial resolution, global coverage, and the number of species estimated. FINNv1 can be used for both hindcast and forecast or near-real time model applications and the results are being critically evaluated with models and observations whenever possible.&lt;/p&gt;","container-title":"Geoscientific Model Development","DOI":"10.5194/gmd-4-625-2011","ISSN":"1991-959X","issue":"3","language":"English","note":"publisher: Copernicus GmbH","page":"625-641","source":"gmd.copernicus.org","title":"The Fire INventory from NCAR (FINN): a high resolution global model to estimate the emissions from open burning","title-short":"The Fire INventory from NCAR (FINN)","volume":"4","author":[{"family":"Wiedinmyer","given":"C."},{"family":"Akagi","given":"S. K."},{"family":"Yokelson","given":"R. J."},{"family":"Emmons","given":"L. K."},{"family":"Al-Saadi","given":"J. A."},{"family":"Orlando","given":"J. J."},{"family":"Soja","given":"A. J."}],"issued":{"date-parts":[["2011",7,20]]}}}],"schema":"https://github.com/citation-style-language/schema/raw/master/csl-citation.json"} </w:instrText>
      </w:r>
      <w:r w:rsidRPr="00D50CF9">
        <w:rPr>
          <w:szCs w:val="24"/>
          <w:lang w:eastAsia="ko-KR"/>
        </w:rPr>
        <w:fldChar w:fldCharType="separate"/>
      </w:r>
      <w:r w:rsidR="003232C6" w:rsidRPr="00D50CF9">
        <w:rPr>
          <w:szCs w:val="24"/>
          <w:vertAlign w:val="superscript"/>
        </w:rPr>
        <w:t>14</w:t>
      </w:r>
      <w:r w:rsidRPr="00D50CF9">
        <w:rPr>
          <w:szCs w:val="24"/>
          <w:lang w:eastAsia="ko-KR"/>
        </w:rPr>
        <w:fldChar w:fldCharType="end"/>
      </w:r>
      <w:r w:rsidRPr="00D50CF9">
        <w:rPr>
          <w:szCs w:val="24"/>
        </w:rPr>
        <w:t>. All anthropogenic, biogenic, and pyrogenic emissions were then merged and post-processed to prepare the CMAQ vG-ready format.</w:t>
      </w:r>
    </w:p>
    <w:p w:rsidR="00792DCE" w:rsidRPr="00D50CF9" w:rsidRDefault="00792DCE" w:rsidP="00792DCE">
      <w:pPr>
        <w:ind w:firstLine="800"/>
        <w:jc w:val="both"/>
        <w:rPr>
          <w:szCs w:val="24"/>
        </w:rPr>
      </w:pPr>
      <w:r w:rsidRPr="00D50CF9">
        <w:rPr>
          <w:szCs w:val="24"/>
        </w:rPr>
        <w:t xml:space="preserve">The K_ACheMS v2.0 also contains two modules for ML (machine learning). The first ML module is DRNN LSTM (Deep Recurrent Neural Network Long-Short Term Memory) module, which has been developed for the role of ‘AI (Artificial Intelligence) forecaster’ </w:t>
      </w:r>
      <w:r w:rsidRPr="00D50CF9">
        <w:rPr>
          <w:szCs w:val="24"/>
          <w:lang w:eastAsia="ko-KR"/>
        </w:rPr>
        <w:fldChar w:fldCharType="begin"/>
      </w:r>
      <w:r w:rsidR="003232C6" w:rsidRPr="00D50CF9">
        <w:rPr>
          <w:szCs w:val="24"/>
          <w:lang w:eastAsia="ko-KR"/>
        </w:rPr>
        <w:instrText xml:space="preserve"> ADDIN ZOTERO_ITEM CSL_CITATION {"citationID":"m6mFmWxY","properties":{"formattedCitation":"\\super 15\\nosupersub{}","plainCitation":"15","noteIndex":0},"citationItems":[{"id":968,"uris":["http://zotero.org/users/3789855/items/ZZHKYAHD"],"itemData":{"id":968,"type":"article-journal","abstract":"&lt;p&gt;&lt;strong class=\"journal-contentHeaderColor\"&gt;Abstract.&lt;/strong&gt; A deep recurrent neural network system based on a long short-term memory (LSTM) model was developed for daily PM&lt;span class=\"inline-formula\"&gt;&lt;sub&gt;10&lt;/sub&gt;&lt;/span&gt; and PM&lt;span class=\"inline-formula\"&gt;&lt;sub&gt;2.5&lt;/sub&gt;&lt;/span&gt; predictions in South Korea. The structural and learnable parameters of the newly developed system were optimized from iterative model training. Independent variables were obtained from ground-based observations over 2.3 years. The performance of the particulate matter (PM) prediction LSTM was then evaluated by comparisons with ground PM observations and with the PM concentrations predicted from two sets of 3-D chemistry-transport model (CTM) simulations (with and without data assimilation for initial conditions). The comparisons showed, in general, better performance with the LSTM than with the 3-D CTM simulations. For example, in terms of IOAs (index of agreements), the PM prediction IOAs were enhanced from 0.36–0.78 with the 3-D CTM simulations to 0.62–0.79 with the LSTM-based model. The deep LSTM-based PM prediction system developed at observation sites is expected to be further integrated with 3-D CTM-based prediction systems in the future. In addition to this, further possible applications of the deep LSTM-based system are discussed, together with some limitations of the current system.&lt;/p&gt;","container-title":"Atmospheric Chemistry and Physics","DOI":"10.5194/acp-19-12935-2019","ISSN":"1680-7316","issue":"20","language":"English","note":"publisher: Copernicus GmbH","page":"12935-12951","source":"acp.copernicus.org","title":"Development of a daily PM&lt;sub&gt;10&lt;/sub&gt; and PM&lt;sub&gt;2.5&lt;/sub&gt; prediction system using a deep long short-term memory neural network model","volume":"19","author":[{"family":"Kim","given":"Hyun S."},{"family":"Park","given":"Inyoung"},{"family":"Song","given":"Chul H."},{"family":"Lee","given":"Kyunghwa"},{"family":"Yun","given":"Jae W."},{"family":"Kim","given":"Hong K."},{"family":"Jeon","given":"Moongu"},{"family":"Lee","given":"Jiwon"},{"family":"Han","given":"Kyung M."}],"issued":{"date-parts":[["2019",10,18]]}}}],"schema":"https://github.com/citation-style-language/schema/raw/master/csl-citation.json"} </w:instrText>
      </w:r>
      <w:r w:rsidRPr="00D50CF9">
        <w:rPr>
          <w:szCs w:val="24"/>
          <w:lang w:eastAsia="ko-KR"/>
        </w:rPr>
        <w:fldChar w:fldCharType="separate"/>
      </w:r>
      <w:r w:rsidR="003232C6" w:rsidRPr="00D50CF9">
        <w:rPr>
          <w:szCs w:val="24"/>
          <w:vertAlign w:val="superscript"/>
        </w:rPr>
        <w:t>15</w:t>
      </w:r>
      <w:r w:rsidRPr="00D50CF9">
        <w:rPr>
          <w:szCs w:val="24"/>
          <w:lang w:eastAsia="ko-KR"/>
        </w:rPr>
        <w:fldChar w:fldCharType="end"/>
      </w:r>
      <w:r w:rsidRPr="00D50CF9">
        <w:rPr>
          <w:szCs w:val="24"/>
        </w:rPr>
        <w:t xml:space="preserve">. The second ML module is the ‘bias and error corrector’, which has been developed for correcting errors and biases of predictions made by prognostic CMAQ vG model simulations. A technique named XGBoost (eXtreme Gradient Boost) is selected for this ‘bias and error corrector’ in the K_ACheMS v2.0 </w:t>
      </w:r>
      <w:r w:rsidRPr="00D50CF9">
        <w:rPr>
          <w:szCs w:val="24"/>
          <w:lang w:eastAsia="ko-KR"/>
        </w:rPr>
        <w:fldChar w:fldCharType="begin"/>
      </w:r>
      <w:r w:rsidR="003232C6" w:rsidRPr="00D50CF9">
        <w:rPr>
          <w:szCs w:val="24"/>
          <w:lang w:eastAsia="ko-KR"/>
        </w:rPr>
        <w:instrText xml:space="preserve"> ADDIN ZOTERO_ITEM CSL_CITATION {"citationID":"g2eDG5HO","properties":{"formattedCitation":"\\super 16\\nosupersub{}","plainCitation":"16","noteIndex":0},"citationItems":[{"id":937,"uris":["http://zotero.org/users/3789855/items/VFPPXY56"],"itemData":{"id":937,"type":"article-journal","abstract":"&lt;p&gt;&lt;strong class=\"journal-contentHeaderColor\"&gt;Abstract.&lt;/strong&gt; Predictions from process-based models of environmental systems are biased, due to uncertainties in their inputs and parameterizations, reducing their utility. We develop a predictor for the bias in tropospheric ozone (&lt;span class=\"inline-formula\"&gt;O&lt;sub&gt;3&lt;/sub&gt;&lt;/span&gt;, a key pollutant) calculated by an atmospheric chemistry transport model (GEOS-Chem), based on outputs from the model and observations of ozone from both the surface (EPA, EMEP, and GAW) and the ozone-sonde networks. We train a gradient-boosted decision tree algorithm (XGBoost) to predict model bias (model divided by observation), with model and observational data for 2010–2015, and then we test the approach using the years 2016–2017. We show that the bias-corrected model performs considerably better than the uncorrected model. The root-mean-square error is reduced from 16.2 to 7.5&amp;thinsp;ppb, the normalized mean bias is reduced from 0.28 to &lt;span class=\"inline-formula\"&gt;−0.04&lt;/span&gt;, and Pearson's &lt;span class=\"inline-formula\"&gt;&lt;i&gt;R&lt;/i&gt;&lt;/span&gt; is increased from 0.48 to 0.84. Comparisons with observations from the NASA ATom flights (which were not included in the training) also show improvements but to a smaller extent, reducing the root-mean-square error (RMSE) from 12.1 to 10.5&amp;thinsp;ppb, reducing the normalized mean bias (NMB) from 0.08 to 0.06, and increasing Pearson's &lt;span class=\"inline-formula\"&gt;&lt;i&gt;R&lt;/i&gt;&lt;/span&gt; from 0.76 to 0.79. We attribute the smaller improvements to the lack of routine observational constraints for much of the remote troposphere. We show that the method is robust to variations in the volume of training data, with approximately a year of data needed to produce useful performance. Data denial experiments (removing observational sites from the algorithm training) show that information from one location (for example Europe) can reduce the model bias over other locations (for example North America) which might provide insights into the processes controlling the model bias. We explore the choice of predictor (bias prediction versus direct prediction) and conclude both may have utility. We conclude that combining machine learning approaches with process-based models may provide a useful tool for improving these models.&lt;/p&gt;","container-title":"Atmospheric Chemistry and Physics","DOI":"10.5194/acp-20-8063-2020","ISSN":"1680-7316","issue":"13","language":"English","note":"publisher: Copernicus GmbH","page":"8063-8082","source":"acp.copernicus.org","title":"Improving the prediction of an atmospheric chemistry transport model using gradient-boosted regression trees","volume":"20","author":[{"family":"Ivatt","given":"Peter D."},{"family":"Evans","given":"Mathew J."}],"issued":{"date-parts":[["2020",7,13]]}}}],"schema":"https://github.com/citation-style-language/schema/raw/master/csl-citation.json"} </w:instrText>
      </w:r>
      <w:r w:rsidRPr="00D50CF9">
        <w:rPr>
          <w:szCs w:val="24"/>
          <w:lang w:eastAsia="ko-KR"/>
        </w:rPr>
        <w:fldChar w:fldCharType="separate"/>
      </w:r>
      <w:r w:rsidR="003232C6" w:rsidRPr="00D50CF9">
        <w:rPr>
          <w:szCs w:val="24"/>
          <w:vertAlign w:val="superscript"/>
        </w:rPr>
        <w:t>16</w:t>
      </w:r>
      <w:r w:rsidRPr="00D50CF9">
        <w:rPr>
          <w:szCs w:val="24"/>
          <w:lang w:eastAsia="ko-KR"/>
        </w:rPr>
        <w:fldChar w:fldCharType="end"/>
      </w:r>
      <w:r w:rsidRPr="00D50CF9">
        <w:rPr>
          <w:szCs w:val="24"/>
        </w:rPr>
        <w:t>.</w:t>
      </w:r>
    </w:p>
    <w:p w:rsidR="00792DCE" w:rsidRPr="00D50CF9" w:rsidRDefault="00792DCE" w:rsidP="00792DCE">
      <w:pPr>
        <w:ind w:firstLine="800"/>
        <w:jc w:val="both"/>
        <w:rPr>
          <w:szCs w:val="24"/>
        </w:rPr>
      </w:pPr>
      <w:r w:rsidRPr="00D50CF9">
        <w:rPr>
          <w:szCs w:val="24"/>
        </w:rPr>
        <w:t xml:space="preserve">The K_ACheMS v2.0 also has a policy-related module. Currently, a module named DDM-PIM (Direct Decoupled Method coupled with Path Integral Method) is being developed </w:t>
      </w:r>
      <w:r w:rsidRPr="00D50CF9">
        <w:rPr>
          <w:szCs w:val="24"/>
          <w:lang w:eastAsia="ko-KR"/>
        </w:rPr>
        <w:fldChar w:fldCharType="begin"/>
      </w:r>
      <w:r w:rsidR="003232C6" w:rsidRPr="00D50CF9">
        <w:rPr>
          <w:szCs w:val="24"/>
          <w:lang w:eastAsia="ko-KR"/>
        </w:rPr>
        <w:instrText xml:space="preserve"> ADDIN ZOTERO_ITEM CSL_CITATION {"citationID":"QJvatOfZ","properties":{"formattedCitation":"\\super 17\\nosupersub{}","plainCitation":"17","noteIndex":0},"citationItems":[{"id":971,"uris":["http://zotero.org/users/3789855/items/LGEI48G4"],"itemData":{"id":971,"type":"article-journal","abstract":"&lt;p&gt;&lt;strong class=\"journal-contentHeaderColor\"&gt;Abstract.&lt;/strong&gt; A new, path-integral method is presented for apportioning the concentrations of pollutants predicted by a photochemical model to emissions from different sources. A novel feature of the method is that it can apportion the difference in a species concentration between two simulations. For example, the anthropogenic ozone increment, which is the difference between a simulation with all emissions present and another simulation with only the background (e.g., biogenic) emissions included, can be allocated to the anthropogenic emission sources. The method is based on an existing, exact mathematical equation. This equation is applied to relate the concentration difference between simulations to line or path integrals of first-order sensitivity coefficients. The sensitivities describe the effects of changing the emissions and are accurately calculated by the decoupled direct method. The path represents a continuous variation of emissions between the two simulations, and each path can be viewed as a separate emission-control strategy. The method does not require auxiliary assumptions, e.g., whether ozone formation is limited by the availability of volatile organic compounds (VOCs) or nitrogen oxides (NO&lt;sub&gt;&lt;i&gt;x&lt;/i&gt;&lt;/sub&gt;), and can be used for all the species predicted by the model. A simplified configuration of the Comprehensive Air Quality Model with Extensions (CAMx) is used to evaluate the accuracy of different numerical integration procedures and the dependence of the source contributions on the path. A Gauss–Legendre formula using three or four points along the path gives good accuracy for apportioning the anthropogenic increments of ozone, nitrogen dioxide, formaldehyde, and nitric acid. Source contributions to these increments were obtained for paths representing proportional control of all anthropogenic emissions together, control of NO&lt;sub&gt;&lt;i&gt;x&lt;/i&gt;&lt;/sub&gt; emissions before VOC emissions, and control of VOC emissions before NO&lt;sub&gt;&lt;i&gt;x&lt;/i&gt;&lt;/sub&gt; emissions. There are similarities in the source contributions from the three paths but also differences due to the different chemical regimes resulting from the emission-control strategies.&lt;/p&gt;","container-title":"Geoscientific Model Development","DOI":"10.5194/gmd-8-1763-2015","ISSN":"1991-959X","issue":"6","language":"English","note":"publisher: Copernicus GmbH","page":"1763-1773","source":"gmd.copernicus.org","title":"Path-integral method for the source apportionment of photochemical pollutants","volume":"8","author":[{"family":"Dunker","given":"A. M."}],"issued":{"date-parts":[["2015",6,12]]}}}],"schema":"https://github.com/citation-style-language/schema/raw/master/csl-citation.json"} </w:instrText>
      </w:r>
      <w:r w:rsidRPr="00D50CF9">
        <w:rPr>
          <w:szCs w:val="24"/>
          <w:lang w:eastAsia="ko-KR"/>
        </w:rPr>
        <w:fldChar w:fldCharType="separate"/>
      </w:r>
      <w:r w:rsidR="003232C6" w:rsidRPr="00D50CF9">
        <w:rPr>
          <w:szCs w:val="24"/>
          <w:vertAlign w:val="superscript"/>
        </w:rPr>
        <w:t>17</w:t>
      </w:r>
      <w:r w:rsidRPr="00D50CF9">
        <w:rPr>
          <w:szCs w:val="24"/>
          <w:lang w:eastAsia="ko-KR"/>
        </w:rPr>
        <w:fldChar w:fldCharType="end"/>
      </w:r>
      <w:r w:rsidRPr="00D50CF9">
        <w:rPr>
          <w:szCs w:val="24"/>
        </w:rPr>
        <w:t xml:space="preserve">. After completion of developing this DDM-PIM module, the module will be used for calculating S-R relations (Source-Receptor relations). </w:t>
      </w:r>
    </w:p>
    <w:p w:rsidR="00792DCE" w:rsidRPr="00D50CF9" w:rsidRDefault="00792DCE" w:rsidP="00792DCE">
      <w:pPr>
        <w:pStyle w:val="SMSubheading"/>
        <w:jc w:val="both"/>
        <w:rPr>
          <w:szCs w:val="24"/>
          <w:lang w:eastAsia="ko-KR"/>
        </w:rPr>
      </w:pPr>
    </w:p>
    <w:p w:rsidR="00792DCE" w:rsidRPr="00D50CF9" w:rsidRDefault="00792DCE" w:rsidP="00792DCE">
      <w:pPr>
        <w:pStyle w:val="SMHeading"/>
      </w:pPr>
      <w:r w:rsidRPr="00D50CF9">
        <w:t>S</w:t>
      </w:r>
      <w:r w:rsidRPr="00D50CF9">
        <w:rPr>
          <w:lang w:eastAsia="ko-KR"/>
        </w:rPr>
        <w:t>ection</w:t>
      </w:r>
      <w:r w:rsidRPr="00D50CF9">
        <w:t xml:space="preserve"> </w:t>
      </w:r>
      <w:r w:rsidRPr="00D50CF9">
        <w:rPr>
          <w:lang w:eastAsia="ko-KR"/>
        </w:rPr>
        <w:t>3. C-IFS (Integrated Forecasting System with Atmospheric Composition)</w:t>
      </w:r>
    </w:p>
    <w:p w:rsidR="00792DCE" w:rsidRPr="00D50CF9" w:rsidRDefault="00792DCE" w:rsidP="00792DCE">
      <w:pPr>
        <w:ind w:firstLine="800"/>
        <w:jc w:val="both"/>
        <w:rPr>
          <w:szCs w:val="24"/>
        </w:rPr>
      </w:pPr>
      <w:r w:rsidRPr="00D50CF9">
        <w:rPr>
          <w:szCs w:val="24"/>
        </w:rPr>
        <w:t xml:space="preserve">In this supplementary information, we will briefly explain what options and methods are utilized for meteorological, physical, photochemical and emission processes in C-IFS model simulations in comparison with the K_ACheMS v2.0. </w:t>
      </w:r>
    </w:p>
    <w:p w:rsidR="00792DCE" w:rsidRPr="00D50CF9" w:rsidRDefault="00792DCE" w:rsidP="00792DCE">
      <w:pPr>
        <w:ind w:firstLine="800"/>
        <w:jc w:val="both"/>
        <w:rPr>
          <w:szCs w:val="24"/>
        </w:rPr>
      </w:pPr>
      <w:r w:rsidRPr="00D50CF9">
        <w:rPr>
          <w:szCs w:val="24"/>
        </w:rPr>
        <w:t>The CAMS (Copernicus Atmosphere Monitoring Service) has been operated by the ECMWF (European Centre for Medium-Range Weather Forecasts) to monitor and forecast global atmospheric composition. For this purpose, the C-IFS (</w:t>
      </w:r>
      <w:r w:rsidRPr="00D50CF9">
        <w:rPr>
          <w:rFonts w:eastAsiaTheme="minorHAnsi"/>
          <w:szCs w:val="24"/>
        </w:rPr>
        <w:t>Integrated Forecasting System with Atmospheric Composition</w:t>
      </w:r>
      <w:r w:rsidRPr="00D50CF9">
        <w:rPr>
          <w:szCs w:val="24"/>
        </w:rPr>
        <w:t xml:space="preserve">) model has been developed to simulate and predict atmospheric concentrations of trace gases and aerosols </w:t>
      </w:r>
      <w:r w:rsidRPr="00D50CF9">
        <w:rPr>
          <w:szCs w:val="24"/>
        </w:rPr>
        <w:fldChar w:fldCharType="begin"/>
      </w:r>
      <w:r w:rsidR="003232C6" w:rsidRPr="00D50CF9">
        <w:rPr>
          <w:szCs w:val="24"/>
        </w:rPr>
        <w:instrText xml:space="preserve"> ADDIN ZOTERO_ITEM CSL_CITATION {"citationID":"6rFKbP2y","properties":{"formattedCitation":"\\super 18\\nosupersub{}","plainCitation":"18","noteIndex":0},"citationItems":[{"id":782,"uris":["http://zotero.org/users/3789855/items/RZUSPL24"],"itemData":{"id":782,"type":"article-journal","abstract":"&lt;p&gt;&lt;strong class=\"journal-contentHeaderColor\"&gt;Abstract.&lt;/strong&gt; A representation of atmospheric chemistry has been included in the Integrated Forecasting System (IFS) of the European Centre for Medium-Range Weather Forecasts (ECMWF). The new chemistry modules complement the aerosol modules of the IFS for atmospheric composition, which is named C-IFS. C-IFS for chemistry supersedes a coupled system in which chemical transport model (CTM) Model for OZone and Related chemical Tracers 3 was two-way coupled to the IFS (IFS-MOZART). This paper contains a description of the new on-line implementation, an evaluation with observations and a comparison of the performance of C-IFS with MOZART and with a re-analysis of atmospheric composition produced by IFS-MOZART within the Monitoring Atmospheric Composition and Climate (MACC) project. The chemical mechanism of C-IFS is an extended version of the Carbon Bond 2005 (CB05) chemical mechanism as implemented in CTM Transport Model 5 (TM5). CB05 describes tropospheric chemistry with 54 species and 126 reactions. Wet deposition and lightning nitrogen monoxide (NO) emissions are modelled in C-IFS using the detailed input of the IFS physics package. A 1 year simulation by C-IFS, MOZART and the MACC re-analysis is evaluated against ozonesondes, carbon monoxide (CO) aircraft profiles, European surface observations of ozone (O&lt;sub&gt;3&lt;/sub&gt;), CO, sulfur dioxide (SO&lt;sub&gt;2&lt;/sub&gt;) and nitrogen dioxide (NO&lt;sub&gt;2&lt;/sub&gt;) as well as satellite retrievals of CO, tropospheric NO&lt;sub&gt;2&lt;/sub&gt; and formaldehyde. Anthropogenic emissions from the MACC/CityZen (MACCity) inventory and biomass burning emissions from the Global Fire Assimilation System (GFAS) data set were used in the simulations by both C-IFS and MOZART. C-IFS (CB05) showed an improved performance with respect to MOZART for CO, upper tropospheric O&lt;sub&gt;3&lt;/sub&gt;, and wintertime SO&lt;sub&gt;2&lt;/sub&gt;, and was of a similar accuracy for other evaluated species. C-IFS (CB05) is about 10 times more computationally efficient than IFS-MOZART.&lt;/p&gt;","container-title":"Geoscientific Model Development","DOI":"10.5194/gmd-8-975-2015","ISSN":"1991-959X","issue":"4","language":"English","note":"publisher: Copernicus GmbH","page":"975-1003","source":"gmd.copernicus.org","title":"Tropospheric chemistry in the Integrated Forecasting System of ECMWF","volume":"8","author":[{"family":"Flemming","given":"J."},{"family":"Huijnen","given":"V."},{"family":"Arteta","given":"J."},{"family":"Bechtold","given":"P."},{"family":"Beljaars","given":"A."},{"family":"Blechschmidt","given":"A.-M."},{"family":"Diamantakis","given":"M."},{"family":"Engelen","given":"R. J."},{"family":"Gaudel","given":"A."},{"family":"Inness","given":"A."},{"family":"Jones","given":"L."},{"family":"Josse","given":"B."},{"family":"Katragkou","given":"E."},{"family":"Marecal","given":"V."},{"family":"Peuch","given":"V.-H."},{"family":"Richter","given":"A."},{"family":"Schultz","given":"M. G."},{"family":"Stein","given":"O."},{"family":"Tsikerdekis","given":"A."}],"issued":{"date-parts":[["2015",4,7]]}}}],"schema":"https://github.com/citation-style-language/schema/raw/master/csl-citation.json"} </w:instrText>
      </w:r>
      <w:r w:rsidRPr="00D50CF9">
        <w:rPr>
          <w:szCs w:val="24"/>
        </w:rPr>
        <w:fldChar w:fldCharType="separate"/>
      </w:r>
      <w:r w:rsidR="003232C6" w:rsidRPr="00D50CF9">
        <w:rPr>
          <w:szCs w:val="24"/>
          <w:vertAlign w:val="superscript"/>
        </w:rPr>
        <w:t>18</w:t>
      </w:r>
      <w:r w:rsidRPr="00D50CF9">
        <w:rPr>
          <w:szCs w:val="24"/>
        </w:rPr>
        <w:fldChar w:fldCharType="end"/>
      </w:r>
      <w:r w:rsidRPr="00D50CF9">
        <w:rPr>
          <w:szCs w:val="24"/>
        </w:rPr>
        <w:t>. Among several versions of the C-IFS models that have been developed, the version CY41R1 (Cycle41R1) of the C-IFS was operated for air quality forecasting during the period of the KORUS-AQ campaign. Therefore, this version of the model is described here. However, for further comparison, we will also introduce two recent versions of the C-IFS model (CY43R1 and CY47R</w:t>
      </w:r>
      <w:r w:rsidRPr="00D50CF9">
        <w:rPr>
          <w:szCs w:val="24"/>
          <w:lang w:eastAsia="ko-KR"/>
        </w:rPr>
        <w:t>3</w:t>
      </w:r>
      <w:r w:rsidRPr="00D50CF9">
        <w:rPr>
          <w:szCs w:val="24"/>
        </w:rPr>
        <w:t xml:space="preserve">) in </w:t>
      </w:r>
      <w:r w:rsidR="00C276AC" w:rsidRPr="00D50CF9">
        <w:rPr>
          <w:szCs w:val="24"/>
        </w:rPr>
        <w:t xml:space="preserve">Supplementary </w:t>
      </w:r>
      <w:r w:rsidRPr="00D50CF9">
        <w:rPr>
          <w:szCs w:val="24"/>
        </w:rPr>
        <w:t xml:space="preserve">Table 3. </w:t>
      </w:r>
    </w:p>
    <w:p w:rsidR="00792DCE" w:rsidRPr="00D50CF9" w:rsidRDefault="00792DCE" w:rsidP="00792DCE">
      <w:pPr>
        <w:ind w:firstLine="800"/>
        <w:jc w:val="both"/>
        <w:rPr>
          <w:szCs w:val="24"/>
        </w:rPr>
      </w:pPr>
      <w:r w:rsidRPr="00D50CF9">
        <w:rPr>
          <w:szCs w:val="24"/>
        </w:rPr>
        <w:t xml:space="preserve">In the C-IFS model, a modified version of Carbon Bond 05 (CB05) mechanism has been used to describe tropospheric gas-phase photochemistry </w:t>
      </w:r>
      <w:r w:rsidRPr="00D50CF9">
        <w:rPr>
          <w:szCs w:val="24"/>
        </w:rPr>
        <w:fldChar w:fldCharType="begin"/>
      </w:r>
      <w:r w:rsidR="003232C6" w:rsidRPr="00D50CF9">
        <w:rPr>
          <w:szCs w:val="24"/>
        </w:rPr>
        <w:instrText xml:space="preserve"> ADDIN ZOTERO_ITEM CSL_CITATION {"citationID":"fcmhPsL9","properties":{"formattedCitation":"\\super 19\\nosupersub{}","plainCitation":"19","noteIndex":0},"citationItems":[{"id":838,"uris":["http://zotero.org/users/3789855/items/G6G5RHYS"],"itemData":{"id":838,"type":"article-journal","abstract":"&lt;p&gt;&lt;strong class=\"journal-contentHeaderColor\"&gt;Abstract.&lt;/strong&gt; The emission of organic compounds from biogenic processes acts as an important source of trace gases in remote regions away from urban conurbations, and is likely to become more important in future decades due to the further mitigation of anthropogenic emissions that affect air quality and climate forcing. In this study we examine the contribution of biogenic volatile organic compounds (BVOCs) towards global tropospheric composition using the global 3-D chemistry transport model TM5 and the recently developed modified CB05 chemical mechanism. By comparing regional BVOC emission estimates we show that biogenic processes act as dominant sources for many regions and exhibit a large variability in the annually and seasonally integrated emission fluxes. By performing sensitivity studies we find that the contribution of BVOC species containing between 1 to 3 carbon atoms has an impact on the resident mixing ratios of tropospheric O&lt;sub&gt;3&lt;/sub&gt; and CO, accounting for ~2.5% and ~10.8% of the simulated global distribution, respectively. This is approximately a third of the cumulative effect introduced by isoprene and the monoterpenes. By examining an ensemble of 3-D global chemistry transport simulations which adopt different global BVOC emission inventories we determine the associated uncertainty introduced towards simulating the composition of the troposphere for the year 2000. By comparing the model ensemble values against a composite of atmospheric measurements we show that the effects on tropospheric O&lt;sub&gt;3&lt;/sub&gt; are limited to the lower troposphere (with an uncertainty between −2% to 10%), whereas that for tropospheric CO extends up to the upper troposphere (with an uncertainty of between 10 to 45%). Comparing the mixing ratios for low molecular weight alkenes in TM5 against surface measurements taken in Europe implies that the cumulative emission estimates are too low, regardless of the chosen BVOC inventory. This variability in the global distribution of CO due to BVOC emissions introduces an associated uncertainty in the tropospheric CO burden of 11.4%, which impacts strongly on the oxidative capacity of the troposphere, introducing an uncertainty in the atmospheric lifetime of the greenhouse gas CH&lt;sub&gt;4&lt;/sub&gt; of ~3.3%. This study thus identifies the necessity of placing further constraints on non-CH&lt;sub&gt;4&lt;/sub&gt; global biogenic emission estimates in large-scale global atmospheric chemistry models.&lt;/p&gt;","container-title":"Atmospheric Chemistry and Physics","DOI":"10.5194/acp-13-2857-2013","ISSN":"1680-7316","issue":"5","language":"English","note":"publisher: Copernicus GmbH","page":"2857-2891","source":"acp.copernicus.org","title":"Quantifying the uncertainty in simulating global tropospheric composition due to the variability in global emission estimates of Biogenic Volatile Organic Compounds","volume":"13","author":[{"family":"Williams","given":"J. E."},{"family":"Velthoven","given":"P. F. J.","non-dropping-particle":"van"},{"family":"Brenninkmeijer","given":"C. a. M."}],"issued":{"date-parts":[["2013",3,11]]}}}],"schema":"https://github.com/citation-style-language/schema/raw/master/csl-citation.json"} </w:instrText>
      </w:r>
      <w:r w:rsidRPr="00D50CF9">
        <w:rPr>
          <w:szCs w:val="24"/>
        </w:rPr>
        <w:fldChar w:fldCharType="separate"/>
      </w:r>
      <w:r w:rsidR="003232C6" w:rsidRPr="00D50CF9">
        <w:rPr>
          <w:szCs w:val="24"/>
          <w:vertAlign w:val="superscript"/>
        </w:rPr>
        <w:t>19</w:t>
      </w:r>
      <w:r w:rsidRPr="00D50CF9">
        <w:rPr>
          <w:szCs w:val="24"/>
        </w:rPr>
        <w:fldChar w:fldCharType="end"/>
      </w:r>
      <w:r w:rsidRPr="00D50CF9">
        <w:rPr>
          <w:szCs w:val="24"/>
        </w:rPr>
        <w:t xml:space="preserve">. Because the modified CB05 chemical mechanism does not include stratospheric photochemistry, the </w:t>
      </w:r>
      <w:r w:rsidRPr="00D50CF9">
        <w:rPr>
          <w:szCs w:val="24"/>
        </w:rPr>
        <w:lastRenderedPageBreak/>
        <w:t xml:space="preserve">stratospheric ozone photochemistry in the C-IFS model is parameterized implicitly through the Cariolle scheme </w:t>
      </w:r>
      <w:r w:rsidRPr="00D50CF9">
        <w:rPr>
          <w:szCs w:val="24"/>
        </w:rPr>
        <w:fldChar w:fldCharType="begin"/>
      </w:r>
      <w:r w:rsidR="003232C6" w:rsidRPr="00D50CF9">
        <w:rPr>
          <w:szCs w:val="24"/>
        </w:rPr>
        <w:instrText xml:space="preserve"> ADDIN ZOTERO_ITEM CSL_CITATION {"citationID":"SYJMkZxp","properties":{"formattedCitation":"\\super 20\\nosupersub{}","plainCitation":"20","noteIndex":0},"citationItems":[{"id":974,"uris":["http://zotero.org/users/3789855/items/KD5M3THN"],"itemData":{"id":974,"type":"article-journal","abstract":"&lt;p&gt;&lt;strong class=\"journal-contentHeaderColor\"&gt;Abstract.&lt;/strong&gt; This article describes the validation of a linear parameterization of the ozone photochemistry for use in upper tropospheric and stratospheric studies. The present work extends a previously developed scheme by improving the 2-D model used to derive the coefficients of the parameterization. The chemical reaction rates are updated from a compilation that includes recent laboratory work. Furthermore, the polar ozone destruction due to heterogeneous reactions at the surface of the polar stratospheric clouds is taken into account as a function of the stratospheric temperature and the total chlorine content. &lt;br&gt;&lt;br&gt; Two versions of the parameterization are tested. The first one only requires the solution of a continuity equation for the time evolution of the ozone mixing ratio, the second one uses one additional equation for a cold tracer. The parameterization has been introduced into the chemical transport model MOCAGE. The model is integrated with wind and temperature fields from the ECMWF operational analyses over the period 2000&amp;ndash;2004. Overall, the results from the two versions show a very good agreement between the modelled ozone distribution and the Total Ozone Mapping Spectrometer (TOMS) satellite data and the \"in-situ\" vertical soundings. During the course of the integration the model does not show any drift and the biases are generally small, of the order of 10%. The model also reproduces fairly well the polar ozone variability, notably the formation of \"ozone holes\" in the Southern Hemisphere with amplitudes and a seasonal evolution that follow the dynamics and time evolution of the polar vortex. &lt;br&gt;&lt;br&gt; The introduction of the cold tracer further improves the model simulation by allowing additional ozone destruction inside air masses exported from the high to the mid-latitudes, and by maintaining low ozone content inside the polar vortex of the Southern Hemisphere over longer periods in spring time. &lt;br&gt;&lt;br&gt; It is concluded that for the study of climate scenarios or the assimilation of ozone data, the present parameterization gives a valuable alternative to the introduction of detailed and computationally costly chemical schemes into general circulation models.&lt;/p&gt;","container-title":"Atmospheric Chemistry and Physics","DOI":"10.5194/acp-7-2183-2007","ISSN":"1680-7316","issue":"9","language":"English","note":"publisher: Copernicus GmbH","page":"2183-2196","source":"acp.copernicus.org","title":"A revised linear ozone photochemistry parameterization for use in transport and general circulation models: multi-annual simulations","title-short":"A revised linear ozone photochemistry parameterization for use in transport and general circulation models","volume":"7","author":[{"family":"Cariolle","given":"D."},{"family":"Teyssèdre","given":"H."}],"issued":{"date-parts":[["2007",5,2]]}}}],"schema":"https://github.com/citation-style-language/schema/raw/master/csl-citation.json"} </w:instrText>
      </w:r>
      <w:r w:rsidRPr="00D50CF9">
        <w:rPr>
          <w:szCs w:val="24"/>
        </w:rPr>
        <w:fldChar w:fldCharType="separate"/>
      </w:r>
      <w:r w:rsidR="003232C6" w:rsidRPr="00D50CF9">
        <w:rPr>
          <w:szCs w:val="24"/>
          <w:vertAlign w:val="superscript"/>
        </w:rPr>
        <w:t>20</w:t>
      </w:r>
      <w:r w:rsidRPr="00D50CF9">
        <w:rPr>
          <w:szCs w:val="24"/>
        </w:rPr>
        <w:fldChar w:fldCharType="end"/>
      </w:r>
      <w:r w:rsidRPr="00D50CF9">
        <w:rPr>
          <w:szCs w:val="24"/>
        </w:rPr>
        <w:t>. The stratospheric mixing ratio of NO</w:t>
      </w:r>
      <w:r w:rsidRPr="00D50CF9">
        <w:rPr>
          <w:szCs w:val="24"/>
          <w:vertAlign w:val="subscript"/>
        </w:rPr>
        <w:t>X</w:t>
      </w:r>
      <w:r w:rsidRPr="00D50CF9">
        <w:rPr>
          <w:szCs w:val="24"/>
        </w:rPr>
        <w:t xml:space="preserve"> is determined using climatological ratio of HNO</w:t>
      </w:r>
      <w:r w:rsidRPr="00D50CF9">
        <w:rPr>
          <w:szCs w:val="24"/>
          <w:vertAlign w:val="subscript"/>
        </w:rPr>
        <w:t>3</w:t>
      </w:r>
      <w:r w:rsidRPr="00D50CF9">
        <w:rPr>
          <w:szCs w:val="24"/>
        </w:rPr>
        <w:t xml:space="preserve"> to O</w:t>
      </w:r>
      <w:r w:rsidRPr="00D50CF9">
        <w:rPr>
          <w:szCs w:val="24"/>
          <w:vertAlign w:val="subscript"/>
        </w:rPr>
        <w:t>3</w:t>
      </w:r>
      <w:r w:rsidRPr="00D50CF9">
        <w:rPr>
          <w:szCs w:val="24"/>
        </w:rPr>
        <w:t xml:space="preserve"> at 10 hPa. Considering aerosol processes, the CAMS bulk aerosol module was chosen. This CAMS bulk aerosol module is from the LOA/LMD-Z</w:t>
      </w:r>
      <w:r w:rsidRPr="00D50CF9">
        <w:rPr>
          <w:szCs w:val="24"/>
          <w:shd w:val="clear" w:color="auto" w:fill="FFFFFF"/>
        </w:rPr>
        <w:t xml:space="preserve"> (Laboratoire d'Optique Atmosphérique</w:t>
      </w:r>
      <w:r w:rsidRPr="00D50CF9">
        <w:rPr>
          <w:szCs w:val="24"/>
        </w:rPr>
        <w:t xml:space="preserve">/Laboratoire de Météorologie Dynamique-Zoom) model </w:t>
      </w:r>
      <w:r w:rsidRPr="00D50CF9">
        <w:rPr>
          <w:szCs w:val="24"/>
        </w:rPr>
        <w:fldChar w:fldCharType="begin"/>
      </w:r>
      <w:r w:rsidR="003232C6" w:rsidRPr="00D50CF9">
        <w:rPr>
          <w:szCs w:val="24"/>
        </w:rPr>
        <w:instrText xml:space="preserve"> ADDIN ZOTERO_ITEM CSL_CITATION {"citationID":"o19MjJxq","properties":{"formattedCitation":"\\super 21\\nosupersub{}","plainCitation":"21","noteIndex":0},"citationItems":[{"id":846,"uris":["http://zotero.org/users/3789855/items/6KWBVJGH"],"itemData":{"id":846,"type":"article-journal","abstract":"This paper presents the aerosol modeling now part of the ECMWF Integrated Forecasting System (IFS). It includes new prognostic variables for the mass of sea salt, dust, organic matter and black carbon, and sulphate aerosols, interactive with both the dynamics and the physics of the model. It details the various parameterizations used in the IFS to account for the presence of tropospheric aerosols. Details are given of the various formulations and data sets for the sources of the different aerosols and of the parameterizations describing their sinks. Comparisons of monthly mean and daily aerosol quantities like optical depths against satellite and surface observations are presented. The capability of the forecast model to simulate aerosol events is illustrated through comparisons of dust plume events. The ECMWF IFS provides a good description of the horizontal distribution and temporal variability of the main aerosol types. The forecast-only model described here generally gives the total aerosol optical depth within 0.12 of the relevant observations and can therefore provide the background trajectory information for the aerosol assimilation system described in part 2 of this paper.","container-title":"Journal of Geophysical Research: Atmospheres","DOI":"10.1029/2008JD011235","ISSN":"2156-2202","issue":"D6","language":"en","note":"_eprint: https://onlinelibrary.wiley.com/doi/pdf/10.1029/2008JD011235","source":"Wiley Online Library","title":"Aerosol analysis and forecast in the European Centre for Medium-Range Weather Forecasts Integrated Forecast System: Forward modeling","title-short":"Aerosol analysis and forecast in the European Centre for Medium-Range Weather Forecasts Integrated Forecast System","URL":"https://onlinelibrary.wiley.com/doi/abs/10.1029/2008JD011235","volume":"114","author":[{"family":"Morcrette","given":"J.-J."},{"family":"Boucher","given":"O."},{"family":"Jones","given":"L."},{"family":"Salmond","given":"D."},{"family":"Bechtold","given":"P."},{"family":"Beljaars","given":"A."},{"family":"Benedetti","given":"A."},{"family":"Bonet","given":"A."},{"family":"Kaiser","given":"J. W."},{"family":"Razinger","given":"M."},{"family":"Schulz","given":"M."},{"family":"Serrar","given":"S."},{"family":"Simmons","given":"A. J."},{"family":"Sofiev","given":"M."},{"family":"Suttie","given":"M."},{"family":"Tompkins","given":"A. M."},{"family":"Untch","given":"A."}],"accessed":{"date-parts":[["2021",9,30]]},"issued":{"date-parts":[["2009"]]}}}],"schema":"https://github.com/citation-style-language/schema/raw/master/csl-citation.json"} </w:instrText>
      </w:r>
      <w:r w:rsidRPr="00D50CF9">
        <w:rPr>
          <w:szCs w:val="24"/>
        </w:rPr>
        <w:fldChar w:fldCharType="separate"/>
      </w:r>
      <w:r w:rsidR="003232C6" w:rsidRPr="00D50CF9">
        <w:rPr>
          <w:szCs w:val="24"/>
          <w:vertAlign w:val="superscript"/>
        </w:rPr>
        <w:t>21</w:t>
      </w:r>
      <w:r w:rsidRPr="00D50CF9">
        <w:rPr>
          <w:szCs w:val="24"/>
        </w:rPr>
        <w:fldChar w:fldCharType="end"/>
      </w:r>
      <w:r w:rsidRPr="00D50CF9">
        <w:rPr>
          <w:szCs w:val="24"/>
        </w:rPr>
        <w:t xml:space="preserve">. It deals with five types of particles: sea-salt, dust, organic matter, black carbon, and sulfate. Formations of SOAs (secondary organic aerosols) from biogenic and anthropogenic VOCs (volatile organic compounds) are parameterized simply based on proportional scales to terpene </w:t>
      </w:r>
      <w:r w:rsidRPr="00D50CF9">
        <w:rPr>
          <w:szCs w:val="24"/>
        </w:rPr>
        <w:fldChar w:fldCharType="begin"/>
      </w:r>
      <w:r w:rsidR="003232C6" w:rsidRPr="00D50CF9">
        <w:rPr>
          <w:szCs w:val="24"/>
        </w:rPr>
        <w:instrText xml:space="preserve"> ADDIN ZOTERO_ITEM CSL_CITATION {"citationID":"Dqt4Fmdc","properties":{"formattedCitation":"\\super 22\\nosupersub{}","plainCitation":"22","noteIndex":0},"citationItems":[{"id":864,"uris":["http://zotero.org/users/3789855/items/DHYF5Z89"],"itemData":{"id":864,"type":"article-journal","abstract":"&lt;p&gt;&lt;strong class=\"journal-contentHeaderColor\"&gt;Abstract.&lt;/strong&gt; Inventories for global aerosol and aerosol precursor emissions have been collected (based on published inventories and published simulations), assessed and prepared for the year 2000 (present-day conditions) and for the year 1750 (pre-industrial conditions). These global datasets establish a comprehensive source for emission input to global modeling, when simulating the aerosol impact on climate with state-of-the-art aerosol component modules. As these modules stratify aerosol into dust, sea-salt, sulfate, organic matter and soot, for all these aerosol types global fields on emission strength and recommendations for injection altitude and particulate size are provided. Temporal resolution varies between daily (dust and sea-salt), monthly (wild-land fires) and annual (all other emissions). These datasets benchmark aerosol emissions according to the knowledge in the year 2004. They are intended to serve as systematic constraints in sensitivity studies of the AeroCom initiative, which seeks to quantify (actual) uncertainties in aerosol global modeling.&lt;/p&gt;","container-title":"Atmospheric Chemistry and Physics","DOI":"10.5194/acp-6-4321-2006","ISSN":"1680-7316","issue":"12","language":"English","note":"publisher: Copernicus GmbH","page":"4321-4344","source":"acp.copernicus.org","title":"Emissions of primary aerosol and precursor gases in the years 2000 and 1750 prescribed data-sets for AeroCom","volume":"6","author":[{"family":"Dentener","given":"F."},{"family":"Kinne","given":"S."},{"family":"Bond","given":"T."},{"family":"Boucher","given":"O."},{"family":"Cofala","given":"J."},{"family":"Generoso","given":"S."},{"family":"Ginoux","given":"P."},{"family":"Gong","given":"S."},{"family":"Hoelzemann","given":"J. J."},{"family":"Ito","given":"A."},{"family":"Marelli","given":"L."},{"family":"Penner","given":"J. E."},{"family":"Putaud","given":"J.-P."},{"family":"Textor","given":"C."},{"family":"Schulz","given":"M."},{"family":"Werf","given":"G. R.","non-dropping-particle":"van der"},{"family":"Wilson","given":"J."}],"issued":{"date-parts":[["2006",9,26]]}}}],"schema":"https://github.com/citation-style-language/schema/raw/master/csl-citation.json"} </w:instrText>
      </w:r>
      <w:r w:rsidRPr="00D50CF9">
        <w:rPr>
          <w:szCs w:val="24"/>
        </w:rPr>
        <w:fldChar w:fldCharType="separate"/>
      </w:r>
      <w:r w:rsidR="003232C6" w:rsidRPr="00D50CF9">
        <w:rPr>
          <w:szCs w:val="24"/>
          <w:vertAlign w:val="superscript"/>
        </w:rPr>
        <w:t>22</w:t>
      </w:r>
      <w:r w:rsidRPr="00D50CF9">
        <w:rPr>
          <w:szCs w:val="24"/>
        </w:rPr>
        <w:fldChar w:fldCharType="end"/>
      </w:r>
      <w:r w:rsidRPr="00D50CF9">
        <w:rPr>
          <w:szCs w:val="24"/>
        </w:rPr>
        <w:t xml:space="preserve"> and CO emissions </w:t>
      </w:r>
      <w:r w:rsidRPr="00D50CF9">
        <w:rPr>
          <w:szCs w:val="24"/>
        </w:rPr>
        <w:fldChar w:fldCharType="begin"/>
      </w:r>
      <w:r w:rsidR="003232C6" w:rsidRPr="00D50CF9">
        <w:rPr>
          <w:szCs w:val="24"/>
        </w:rPr>
        <w:instrText xml:space="preserve"> ADDIN ZOTERO_ITEM CSL_CITATION {"citationID":"FXDRHAwK","properties":{"formattedCitation":"\\super 23\\nosupersub{}","plainCitation":"23","noteIndex":0},"citationItems":[{"id":865,"uris":["http://zotero.org/users/3789855/items/N65JUFUH"],"itemData":{"id":865,"type":"article-journal","abstract":"&lt;p&gt;&lt;strong class=\"journal-contentHeaderColor\"&gt;Abstract.&lt;/strong&gt; The budget of atmospheric secondary organic aerosol (SOA) is very uncertain, with recent estimates suggesting a global source of between 12 and 1820 Tg (SOA) a&lt;sup&gt;−1&lt;/sup&gt;. We used a dataset of aerosol mass spectrometer (AMS) observations from 34 different surface locations to evaluate the GLOMAP global chemical transport model. The standard model simulation (which included SOA from monoterpenes only) underpredicted organic aerosol (OA) observed by the AMS and had little skill reproducing the variability in the dataset. We simulated SOA formation from biogenic (monoterpenes and isoprene), lumped anthropogenic and lumped biomass burning volatile organic compounds (VOCs) and varied the SOA yield from each precursor source to produce the best overall match between model and observations. We assumed that SOA is essentially non-volatile and condenses irreversibly onto existing aerosol. Our best estimate of the SOA source is 140 Tg (SOA) a&lt;sup&gt;−1&lt;/sup&gt; but with a large uncertainty range which we estimate to be 50–380 Tg (SOA) a&lt;sup&gt;−1&lt;/sup&gt;. We found the minimum in normalised mean error (NME) between model and the AMS dataset when we assumed a large SOA source (100 Tg (SOA) a&lt;sup&gt;−1&lt;/sup&gt;) from sources that spatially matched anthropogenic pollution (which we term antropogenically controlled SOA). We used organic carbon observations compiled by Bahadur et al. (2009) to evaluate our estimated SOA sources. We found that the model with a large anthropogenic SOA source was the most consistent with these observations, however improvement over the model with a large biogenic SOA source (250 Tg (SOA) a&lt;sup&gt;−1&lt;/sup&gt;) was small. We used a dataset of &lt;sup&gt;14&lt;/sup&gt;C observations from rural locations to evaluate our estimated SOA sources. We estimated a maximum of 10 Tg (SOA) a&lt;sup&gt;−1&lt;/sup&gt; (10 %) of the anthropogenically controlled SOA source could be from fossil (urban/industrial) sources. We suggest that an additional anthropogenic source is most likely due to an anthropogenic pollution enhancement of SOA formation from biogenic VOCs. Such an anthropogenically controlled SOA source would result in substantial climate forcing. We estimated a global mean aerosol direct effect of −0.26 &amp;plusmn; 0.15 Wm&lt;sup&gt;&amp;minus;2&lt;/sup&gt; and indirect (cloud albedo) effect of &amp;minus;0.6&lt;sup&gt;+0.24&lt;/sup&gt;&lt;sub&gt;&amp;minus;0.14&lt;/sub&gt; Wm&lt;sup&gt;−2&lt;/sup&gt; from anthropogenically controlled SOA. The biogenic and biomass SOA sources are not well constrained with this analysis due to the limited number of OA observations in regions and periods strongly impacted by these sources. To further improve the constraints by this method, additional OA observations are needed in the tropics and the Southern Hemisphere.&lt;/p&gt;","container-title":"Atmospheric Chemistry and Physics","DOI":"10.5194/acp-11-12109-2011","ISSN":"1680-7316","issue":"23","language":"English","note":"publisher: Copernicus GmbH","page":"12109-12136","source":"acp.copernicus.org","title":"Aerosol mass spectrometer constraint on the global secondary organic aerosol budget","volume":"11","author":[{"family":"Spracklen","given":"D. V."},{"family":"Jimenez","given":"J. L."},{"family":"Carslaw","given":"K. S."},{"family":"Worsnop","given":"D. R."},{"family":"Evans","given":"M. J."},{"family":"Mann","given":"G. W."},{"family":"Zhang","given":"Q."},{"family":"Canagaratna","given":"M. R."},{"family":"Allan","given":"J."},{"family":"Coe","given":"H."},{"family":"McFiggans","given":"G."},{"family":"Rap","given":"A."},{"family":"Forster","given":"P."}],"issued":{"date-parts":[["2011",12,7]]}}}],"schema":"https://github.com/citation-style-language/schema/raw/master/csl-citation.json"} </w:instrText>
      </w:r>
      <w:r w:rsidRPr="00D50CF9">
        <w:rPr>
          <w:szCs w:val="24"/>
        </w:rPr>
        <w:fldChar w:fldCharType="separate"/>
      </w:r>
      <w:r w:rsidR="003232C6" w:rsidRPr="00D50CF9">
        <w:rPr>
          <w:szCs w:val="24"/>
          <w:vertAlign w:val="superscript"/>
        </w:rPr>
        <w:t>23</w:t>
      </w:r>
      <w:r w:rsidRPr="00D50CF9">
        <w:rPr>
          <w:szCs w:val="24"/>
        </w:rPr>
        <w:fldChar w:fldCharType="end"/>
      </w:r>
      <w:r w:rsidRPr="00D50CF9">
        <w:rPr>
          <w:szCs w:val="24"/>
        </w:rPr>
        <w:t>, respectively.</w:t>
      </w:r>
    </w:p>
    <w:p w:rsidR="00792DCE" w:rsidRPr="00D50CF9" w:rsidRDefault="00792DCE" w:rsidP="00792DCE">
      <w:pPr>
        <w:ind w:firstLine="800"/>
        <w:jc w:val="both"/>
        <w:rPr>
          <w:szCs w:val="24"/>
        </w:rPr>
      </w:pPr>
      <w:r w:rsidRPr="00D50CF9">
        <w:rPr>
          <w:szCs w:val="24"/>
        </w:rPr>
        <w:t xml:space="preserve">Anthropogenic emissions used in the CY41R1 of the C-IFS were obtained from the MACCity (Monitoring Atmospheric Composition and Climate/CityZen EU projects) dataset </w:t>
      </w:r>
      <w:r w:rsidRPr="00D50CF9">
        <w:rPr>
          <w:szCs w:val="24"/>
        </w:rPr>
        <w:fldChar w:fldCharType="begin"/>
      </w:r>
      <w:r w:rsidR="003232C6" w:rsidRPr="00D50CF9">
        <w:rPr>
          <w:szCs w:val="24"/>
        </w:rPr>
        <w:instrText xml:space="preserve"> ADDIN ZOTERO_ITEM CSL_CITATION {"citationID":"MUbKNMqN","properties":{"formattedCitation":"\\super 24\\nosupersub{}","plainCitation":"24","noteIndex":0},"citationItems":[{"id":849,"uris":["http://zotero.org/users/3789855/items/B5LEFZFA"],"itemData":{"id":849,"type":"article-journal","abstract":"Several different inventories of global and regional anthropogenic and biomass burning emissions are assessed for the 1980–2010 period. The species considered in this study are carbon monoxide, nitrogen oxides, sulfur dioxide and black carbon. The inventories considered include the ACCMIP historical emissions developed in support of the simulations for the IPCC AR5 assessment. Emissions for 2005 and 2010 from the Representative Concentration Pathways (RCPs) are also included. Large discrepancies between the global and regional emissions are identified, which shows that there is still no consensus on the best estimates for surface emissions of atmospheric compounds. At the global scale, anthropogenic emissions of CO, NOx and SO2 show the best agreement for most years, although agreement does not necessarily mean that uncertainty is low. The agreement is low for BC emissions, particularly in the period prior to 2000. The best consensus is for NOx emissions for all periods and all regions, except for China, where emissions in 1980 and 1990 need to be better defined. Emissions of CO need better quantification in the USA and India for all periods; in Central Europe, the evolution of emissions during the past two decades needs to be better determined. The agreement between the different SO2 emissions datasets is rather good for the USA, but better quantification is needed elsewhere, particularly for Central Europe, India and China. The comparisons performed in this study show that the use of RCP8.5 for the extension of the ACCMIP inventory beyond 2000 is reasonable, until more global or regional estimates become available. Concerning biomass burning emissions, most inventories agree within 50–80%, depending on the year and season. The large differences between biomass burning inventories are due to differences in the estimates of burned areas from the different available products, as well as in the amount of biomass burned.","container-title":"Climatic Change","DOI":"10.1007/s10584-011-0154-1","ISSN":"1573-1480","issue":"1","journalAbbreviation":"Climatic Change","language":"en","page":"163","source":"Springer Link","title":"Evolution of anthropogenic and biomass burning emissions of air pollutants at global and regional scales during the 1980–2010 period","volume":"109","author":[{"family":"Granier","given":"Claire"},{"family":"Bessagnet","given":"Bertrand"},{"family":"Bond","given":"Tami"},{"family":"D’Angiola","given":"Ariela"},{"family":"Denier van der Gon","given":"Hugo"},{"family":"Frost","given":"Gregory J."},{"family":"Heil","given":"Angelika"},{"family":"Kaiser","given":"Johannes W."},{"family":"Kinne","given":"Stefan"},{"family":"Klimont","given":"Zbigniew"},{"family":"Kloster","given":"Silvia"},{"family":"Lamarque","given":"Jean-François"},{"family":"Liousse","given":"Catherine"},{"family":"Masui","given":"Toshihiko"},{"family":"Meleux","given":"Frederik"},{"family":"Mieville","given":"Aude"},{"family":"Ohara","given":"Toshimasa"},{"family":"Raut","given":"Jean-Christophe"},{"family":"Riahi","given":"Keywan"},{"family":"Schultz","given":"Martin G."},{"family":"Smith","given":"Steven J."},{"family":"Thompson","given":"Allison"},{"family":"Aardenne","given":"John","non-dropping-particle":"van"},{"family":"Werf","given":"Guido R.","non-dropping-particle":"van der"},{"family":"Vuuren","given":"Detlef P.","non-dropping-particle":"van"}],"issued":{"date-parts":[["2011",8,9]]}}}],"schema":"https://github.com/citation-style-language/schema/raw/master/csl-citation.json"} </w:instrText>
      </w:r>
      <w:r w:rsidRPr="00D50CF9">
        <w:rPr>
          <w:szCs w:val="24"/>
        </w:rPr>
        <w:fldChar w:fldCharType="separate"/>
      </w:r>
      <w:r w:rsidR="003232C6" w:rsidRPr="00D50CF9">
        <w:rPr>
          <w:szCs w:val="24"/>
          <w:vertAlign w:val="superscript"/>
        </w:rPr>
        <w:t>24</w:t>
      </w:r>
      <w:r w:rsidRPr="00D50CF9">
        <w:rPr>
          <w:szCs w:val="24"/>
        </w:rPr>
        <w:fldChar w:fldCharType="end"/>
      </w:r>
      <w:r w:rsidRPr="00D50CF9">
        <w:rPr>
          <w:szCs w:val="24"/>
        </w:rPr>
        <w:t xml:space="preserve">. Because the base year for MACCity emissions was 2010, yearly projected emissions based on the RCP (Representative Concentration Pathway) 8.5 scenario were used to update emissions after 2010. For biogenic emissions, MEGAN-MACC emissions were used except for isoprene emissions </w:t>
      </w:r>
      <w:r w:rsidRPr="00D50CF9">
        <w:rPr>
          <w:szCs w:val="24"/>
        </w:rPr>
        <w:fldChar w:fldCharType="begin"/>
      </w:r>
      <w:r w:rsidR="003232C6" w:rsidRPr="00D50CF9">
        <w:rPr>
          <w:szCs w:val="24"/>
        </w:rPr>
        <w:instrText xml:space="preserve"> ADDIN ZOTERO_ITEM CSL_CITATION {"citationID":"oiBwIwoG","properties":{"formattedCitation":"\\super 25\\nosupersub{}","plainCitation":"25","noteIndex":0},"citationItems":[{"id":979,"uris":["http://zotero.org/users/3789855/items/IACUIBE2"],"itemData":{"id":979,"type":"article-journal","abstract":"&lt;p&gt;&lt;strong class=\"journal-contentHeaderColor\"&gt;Abstract.&lt;/strong&gt; The Model of Emissions of Gases and Aerosols from Nature (MEGANv2.1) together with the Modern-Era Retrospective Analysis for Research and Applications (MERRA) meteorological fields were used to create a global emission data set of biogenic volatile organic compounds (BVOC) available on a monthly basis for the time period of 1980–2010. This data set, developed under the Monitoring Atmospheric Composition and Climate project (MACC), is called MEGAN–MACC. The model estimated mean annual total BVOC emission of 760 Tg (C) yr&lt;sup&gt;−1&lt;/sup&gt; consisting of isoprene (70%), monoterpenes (11%), methanol (6%), acetone (3%), sesquiterpenes (2.5%) and other BVOC species each contributing less than 2%. &lt;br&gt;&lt;br&gt; Several sensitivity model runs were performed to study the impact of different model input and model settings on isoprene estimates and resulted in differences of up to ±17% of the reference isoprene total. A greater impact was observed for a sensitivity run applying parameterization of soil moisture deficit that led to a 50% reduction of isoprene emissions on a global scale, most significantly in specific regions of Africa, South America and Australia. &lt;br&gt;&lt;br&gt; MEGAN–MACC estimates are comparable to results of previous studies. More detailed comparison with other isoprene inventories indicated significant spatial and temporal differences between the data sets especially for Australia, Southeast Asia and South America. MEGAN–MACC estimates of isoprene, α-pinene and group of monoterpenes showed a reasonable agreement with surface flux measurements at sites located in tropical forests in the Amazon and Malaysia. The model was able to capture the seasonal variation of isoprene emissions in the Amazon forest.&lt;/p&gt;","container-title":"Atmospheric Chemistry and Physics","DOI":"10.5194/acp-14-9317-2014","ISSN":"1680-7316","issue":"17","language":"English","note":"publisher: Copernicus GmbH","page":"9317-9341","source":"acp.copernicus.org","title":"Global data set of biogenic VOC emissions calculated by the MEGAN model over the last 30 years","volume":"14","author":[{"family":"Sindelarova","given":"K."},{"family":"Granier","given":"C."},{"family":"Bouarar","given":"I."},{"family":"Guenther","given":"A."},{"family":"Tilmes","given":"S."},{"family":"Stavrakou","given":"T."},{"family":"Müller","given":"J.-F."},{"family":"Kuhn","given":"U."},{"family":"Stefani","given":"P."},{"family":"Knorr","given":"W."}],"issued":{"date-parts":[["2014",9,9]]}}}],"schema":"https://github.com/citation-style-language/schema/raw/master/csl-citation.json"} </w:instrText>
      </w:r>
      <w:r w:rsidRPr="00D50CF9">
        <w:rPr>
          <w:szCs w:val="24"/>
        </w:rPr>
        <w:fldChar w:fldCharType="separate"/>
      </w:r>
      <w:r w:rsidR="003232C6" w:rsidRPr="00D50CF9">
        <w:rPr>
          <w:szCs w:val="24"/>
          <w:vertAlign w:val="superscript"/>
        </w:rPr>
        <w:t>25</w:t>
      </w:r>
      <w:r w:rsidRPr="00D50CF9">
        <w:rPr>
          <w:szCs w:val="24"/>
        </w:rPr>
        <w:fldChar w:fldCharType="end"/>
      </w:r>
      <w:r w:rsidRPr="00D50CF9">
        <w:rPr>
          <w:szCs w:val="24"/>
        </w:rPr>
        <w:t xml:space="preserve">. For isoprene emissions, POET (Precursors of Ozone and their Effects in the Troposphere) emissions were adopted to use </w:t>
      </w:r>
      <w:r w:rsidRPr="00D50CF9">
        <w:rPr>
          <w:szCs w:val="24"/>
        </w:rPr>
        <w:fldChar w:fldCharType="begin"/>
      </w:r>
      <w:r w:rsidR="003232C6" w:rsidRPr="00D50CF9">
        <w:rPr>
          <w:szCs w:val="24"/>
        </w:rPr>
        <w:instrText xml:space="preserve"> ADDIN ZOTERO_ITEM CSL_CITATION {"citationID":"PqVP5oc6","properties":{"formattedCitation":"\\super 26\\nosupersub{}","plainCitation":"26","noteIndex":0},"citationItems":[{"id":1029,"uris":["http://zotero.org/users/3789855/items/2E5AGRRQ"],"itemData":{"id":1029,"type":"article-journal","container-title":"POET Report #2","title":"Present and future surface emissions of atmospheric compounds","volume":"EU project EVK2-1999-00011","author":[{"family":"Oliver","given":"Jos"},{"family":"Peters","given":"Jeroen"},{"family":"Granier","given":"Claire"},{"family":"Pétron","given":"Gabrielle"},{"family":"Müller","given":"Jean-François"},{"family":"Wallens","given":"Sabine"}],"issued":{"date-parts":[["2003"]]}}}],"schema":"https://github.com/citation-style-language/schema/raw/master/csl-citation.json"} </w:instrText>
      </w:r>
      <w:r w:rsidRPr="00D50CF9">
        <w:rPr>
          <w:szCs w:val="24"/>
        </w:rPr>
        <w:fldChar w:fldCharType="separate"/>
      </w:r>
      <w:r w:rsidR="003232C6" w:rsidRPr="00D50CF9">
        <w:rPr>
          <w:szCs w:val="24"/>
          <w:vertAlign w:val="superscript"/>
        </w:rPr>
        <w:t>26</w:t>
      </w:r>
      <w:r w:rsidRPr="00D50CF9">
        <w:rPr>
          <w:szCs w:val="24"/>
        </w:rPr>
        <w:fldChar w:fldCharType="end"/>
      </w:r>
      <w:r w:rsidRPr="00D50CF9">
        <w:rPr>
          <w:szCs w:val="24"/>
        </w:rPr>
        <w:t xml:space="preserve">. Considering pyrogenic emissions, near-real time GFAS (Global Fire Assimilation System) v1.2 was applied </w:t>
      </w:r>
      <w:r w:rsidRPr="00D50CF9">
        <w:rPr>
          <w:szCs w:val="24"/>
        </w:rPr>
        <w:fldChar w:fldCharType="begin"/>
      </w:r>
      <w:r w:rsidR="003232C6" w:rsidRPr="00D50CF9">
        <w:rPr>
          <w:szCs w:val="24"/>
        </w:rPr>
        <w:instrText xml:space="preserve"> ADDIN ZOTERO_ITEM CSL_CITATION {"citationID":"FAUBNMoN","properties":{"formattedCitation":"\\super 27\\nosupersub{}","plainCitation":"27","noteIndex":0},"citationItems":[{"id":854,"uris":["http://zotero.org/users/3789855/items/4CAM6VN2"],"itemData":{"id":854,"type":"article-journal","abstract":"&lt;p&gt;&lt;strong class=\"journal-contentHeaderColor\"&gt;Abstract.&lt;/strong&gt; The Global Fire Assimilation System (GFASv1.0) calculates biomass burning emissions by assimilating Fire Radiative Power (FRP) observations from the MODIS instruments onboard the Terra and Aqua satellites. It corrects for gaps in the observations, which are mostly due to cloud cover, and filters spurious FRP observations of volcanoes, gas flares and other industrial activity. The combustion rate is subsequently calculated with land cover-specific conversion factors. Emission factors for 40 gas-phase and aerosol trace species have been compiled from a literature survey. The corresponding daily emissions have been calculated on a global 0.5&lt;sup&gt;&amp;deg;&lt;/sup&gt; &amp;times; 0.5&lt;sup&gt;&amp;deg;&lt;/sup&gt; grid from 2003 to the present. General consistency with the Global Fire Emission Database version 3.1 (GFED3.1) within its accuracy is achieved while maintaining the advantages of an FRP-based approach: GFASv1.0 makes use of the quantitative information on the combustion rate that is contained in the FRP observations, and it detects fires in real time at high spatial and temporal resolution. GFASv1.0 indicates omission errors in GFED3.1 due to undetected small fires. It also exhibits slightly longer fire seasons in South America and North Africa and a slightly shorter fire season in Southeast Asia. GFASv1.0 has already been used for atmospheric reactive gas simulations in an independent study, which found good agreement with atmospheric observations. We have performed simulations of the atmospheric aerosol distribution with and without the assimilation of MODIS aerosol optical depth (AOD). They indicate that the emissions of particulate matter need to be boosted by a factor of 2–4 to reproduce the global distribution of organic matter and black carbon. This discrepancy is also evident in the comparison of previously published top-down and bottom-up estimates. For the time being, a global enhancement of the particulate matter emissions by 3.4 is recommended. Validation with independent AOD and PM&lt;sub&gt;10&lt;/sub&gt; observations recorded during the Russian fires in summer 2010 show that the global Monitoring Atmospheric Composition and Change (MACC) aerosol model with GFASv1.0 aerosol emissions captures the smoke plume evolution well when organic matter and black carbon are enhanced by the recommended factor. In conjunction with the assimilation of MODIS AOD, the use of GFASv1.0 with enhanced emission factors quantitatively improves the forecast of the aerosol load near the surface sufficiently to allow air quality warnings with a lead time of up to four days.&lt;/p&gt;","container-title":"Biogeosciences","DOI":"10.5194/bg-9-527-2012","ISSN":"1726-4170","issue":"1","language":"English","note":"publisher: Copernicus GmbH","page":"527-554","source":"bg.copernicus.org","title":"Biomass burning emissions estimated with a global fire assimilation system based on observed fire radiative power","volume":"9","author":[{"family":"Kaiser","given":"J. W."},{"family":"Heil","given":"A."},{"family":"Andreae","given":"M. O."},{"family":"Benedetti","given":"A."},{"family":"Chubarova","given":"N."},{"family":"Jones","given":"L."},{"family":"Morcrette","given":"J.-J."},{"family":"Razinger","given":"M."},{"family":"Schultz","given":"M. G."},{"family":"Suttie","given":"M."},{"family":"Werf","given":"G. R.","non-dropping-particle":"van der"}],"issued":{"date-parts":[["2012",1,27]]}}}],"schema":"https://github.com/citation-style-language/schema/raw/master/csl-citation.json"} </w:instrText>
      </w:r>
      <w:r w:rsidRPr="00D50CF9">
        <w:rPr>
          <w:szCs w:val="24"/>
        </w:rPr>
        <w:fldChar w:fldCharType="separate"/>
      </w:r>
      <w:r w:rsidR="003232C6" w:rsidRPr="00D50CF9">
        <w:rPr>
          <w:szCs w:val="24"/>
          <w:vertAlign w:val="superscript"/>
        </w:rPr>
        <w:t>27</w:t>
      </w:r>
      <w:r w:rsidRPr="00D50CF9">
        <w:rPr>
          <w:szCs w:val="24"/>
        </w:rPr>
        <w:fldChar w:fldCharType="end"/>
      </w:r>
      <w:r w:rsidRPr="00D50CF9">
        <w:rPr>
          <w:szCs w:val="24"/>
        </w:rPr>
        <w:t xml:space="preserve">. Both sea-salt and dust emissions were computed in an on-line mode within the C-IFS model. </w:t>
      </w:r>
    </w:p>
    <w:p w:rsidR="00792DCE" w:rsidRPr="00D50CF9" w:rsidRDefault="00792DCE" w:rsidP="00792DCE">
      <w:pPr>
        <w:ind w:firstLine="720"/>
        <w:jc w:val="both"/>
        <w:rPr>
          <w:szCs w:val="24"/>
        </w:rPr>
      </w:pPr>
    </w:p>
    <w:p w:rsidR="00792DCE" w:rsidRPr="00D50CF9" w:rsidRDefault="00792DCE" w:rsidP="00792DCE">
      <w:pPr>
        <w:pStyle w:val="SMHeading"/>
      </w:pPr>
      <w:r w:rsidRPr="00D50CF9">
        <w:t>S</w:t>
      </w:r>
      <w:r w:rsidRPr="00D50CF9">
        <w:rPr>
          <w:lang w:eastAsia="ko-KR"/>
        </w:rPr>
        <w:t>ection</w:t>
      </w:r>
      <w:r w:rsidRPr="00D50CF9">
        <w:t xml:space="preserve"> </w:t>
      </w:r>
      <w:r w:rsidRPr="00D50CF9">
        <w:rPr>
          <w:lang w:eastAsia="ko-KR"/>
        </w:rPr>
        <w:t>4. Statistical analysis between observed and predicted PM</w:t>
      </w:r>
      <w:r w:rsidRPr="00D50CF9">
        <w:rPr>
          <w:vertAlign w:val="subscript"/>
          <w:lang w:eastAsia="ko-KR"/>
        </w:rPr>
        <w:t>2.5</w:t>
      </w:r>
    </w:p>
    <w:p w:rsidR="00792DCE" w:rsidRPr="00D50CF9" w:rsidRDefault="00792DCE" w:rsidP="00792DCE">
      <w:pPr>
        <w:ind w:firstLine="800"/>
        <w:jc w:val="both"/>
        <w:rPr>
          <w:szCs w:val="24"/>
        </w:rPr>
      </w:pPr>
      <w:r w:rsidRPr="00D50CF9">
        <w:rPr>
          <w:szCs w:val="24"/>
        </w:rPr>
        <w:t>In Fig. 2, we only presented IOA (Index of Agreement) on the basis of comparison between observed and model-predicted PM</w:t>
      </w:r>
      <w:r w:rsidRPr="00D50CF9">
        <w:rPr>
          <w:szCs w:val="24"/>
          <w:vertAlign w:val="subscript"/>
        </w:rPr>
        <w:t xml:space="preserve">2.5 </w:t>
      </w:r>
      <w:r w:rsidRPr="00D50CF9">
        <w:rPr>
          <w:szCs w:val="24"/>
        </w:rPr>
        <w:t>at AIR KOREA stations located in South Korea. We believe that the IOA is a representative metric with which we can evaluate performances of experiments. Even so, we also decided to deliver further statistical details of our analyses.</w:t>
      </w:r>
      <w:r w:rsidR="00EA4778" w:rsidRPr="00D50CF9">
        <w:rPr>
          <w:szCs w:val="24"/>
        </w:rPr>
        <w:t xml:space="preserve"> Supplementary</w:t>
      </w:r>
      <w:r w:rsidRPr="00D50CF9">
        <w:rPr>
          <w:szCs w:val="24"/>
        </w:rPr>
        <w:t xml:space="preserve"> Fig. 3 provides one-to-one plot analysis between observed and predicted PM</w:t>
      </w:r>
      <w:r w:rsidRPr="00D50CF9">
        <w:rPr>
          <w:szCs w:val="24"/>
          <w:vertAlign w:val="subscript"/>
        </w:rPr>
        <w:t>2.5</w:t>
      </w:r>
      <w:r w:rsidRPr="00D50CF9">
        <w:rPr>
          <w:szCs w:val="24"/>
        </w:rPr>
        <w:t xml:space="preserve">, with RMSE (root mean square error), MB (mean bias), and R (Pearson correlation coefficient) for </w:t>
      </w:r>
      <w:r w:rsidRPr="00D50CF9">
        <w:rPr>
          <w:color w:val="000000"/>
          <w:szCs w:val="24"/>
          <w:lang w:eastAsia="ko-KR"/>
        </w:rPr>
        <w:t>eight</w:t>
      </w:r>
      <w:r w:rsidRPr="00D50CF9">
        <w:rPr>
          <w:szCs w:val="24"/>
        </w:rPr>
        <w:t xml:space="preserve"> experiments we carried out. In </w:t>
      </w:r>
      <w:r w:rsidR="009369EE" w:rsidRPr="00D50CF9">
        <w:rPr>
          <w:szCs w:val="24"/>
        </w:rPr>
        <w:t xml:space="preserve">Supplementary </w:t>
      </w:r>
      <w:r w:rsidRPr="00D50CF9">
        <w:rPr>
          <w:szCs w:val="24"/>
        </w:rPr>
        <w:t xml:space="preserve">Fig. 3, panel numbering convention from </w:t>
      </w:r>
      <w:r w:rsidR="000A55D5" w:rsidRPr="00D50CF9">
        <w:rPr>
          <w:szCs w:val="24"/>
        </w:rPr>
        <w:t>a</w:t>
      </w:r>
      <w:r w:rsidRPr="00D50CF9">
        <w:rPr>
          <w:szCs w:val="24"/>
        </w:rPr>
        <w:t xml:space="preserve"> to </w:t>
      </w:r>
      <w:r w:rsidR="000A55D5" w:rsidRPr="00D50CF9">
        <w:rPr>
          <w:szCs w:val="24"/>
          <w:lang w:eastAsia="ko-KR"/>
        </w:rPr>
        <w:t>h</w:t>
      </w:r>
      <w:r w:rsidRPr="00D50CF9">
        <w:rPr>
          <w:szCs w:val="24"/>
        </w:rPr>
        <w:t xml:space="preserve"> is the same as that in Fig. 2. Definitions of RMSE, MB, and R are described in </w:t>
      </w:r>
      <w:r w:rsidR="00AC0DCF">
        <w:rPr>
          <w:szCs w:val="24"/>
        </w:rPr>
        <w:t>Supplementary</w:t>
      </w:r>
      <w:r w:rsidR="00AC0DCF" w:rsidRPr="00D50CF9">
        <w:rPr>
          <w:szCs w:val="24"/>
        </w:rPr>
        <w:t xml:space="preserve"> </w:t>
      </w:r>
      <w:r w:rsidRPr="00D50CF9">
        <w:rPr>
          <w:szCs w:val="24"/>
        </w:rPr>
        <w:t>Section 10.</w:t>
      </w:r>
    </w:p>
    <w:p w:rsidR="00792DCE" w:rsidRPr="00D50CF9" w:rsidRDefault="00792DCE" w:rsidP="00792DCE">
      <w:pPr>
        <w:ind w:firstLine="800"/>
        <w:jc w:val="both"/>
        <w:rPr>
          <w:szCs w:val="24"/>
        </w:rPr>
      </w:pPr>
      <w:r w:rsidRPr="00D50CF9">
        <w:rPr>
          <w:szCs w:val="24"/>
        </w:rPr>
        <w:t xml:space="preserve">As shown in </w:t>
      </w:r>
      <w:r w:rsidR="00735B8F" w:rsidRPr="00D50CF9">
        <w:rPr>
          <w:szCs w:val="24"/>
        </w:rPr>
        <w:t xml:space="preserve">Supplementary </w:t>
      </w:r>
      <w:r w:rsidRPr="00D50CF9">
        <w:rPr>
          <w:szCs w:val="24"/>
        </w:rPr>
        <w:t>Fig. 3, correlation coefficients (Rs) continued to increase from 0.52 to 0.6</w:t>
      </w:r>
      <w:r w:rsidRPr="00D50CF9">
        <w:rPr>
          <w:szCs w:val="24"/>
          <w:lang w:eastAsia="ko-KR"/>
        </w:rPr>
        <w:t>2</w:t>
      </w:r>
      <w:r w:rsidRPr="00D50CF9">
        <w:rPr>
          <w:szCs w:val="24"/>
        </w:rPr>
        <w:t xml:space="preserve"> from panel </w:t>
      </w:r>
      <w:r w:rsidR="00070219">
        <w:rPr>
          <w:szCs w:val="24"/>
        </w:rPr>
        <w:t>b</w:t>
      </w:r>
      <w:r w:rsidRPr="00D50CF9">
        <w:rPr>
          <w:szCs w:val="24"/>
        </w:rPr>
        <w:t xml:space="preserve"> to </w:t>
      </w:r>
      <w:r w:rsidR="00070219">
        <w:rPr>
          <w:szCs w:val="24"/>
        </w:rPr>
        <w:t>h</w:t>
      </w:r>
      <w:r w:rsidRPr="00D50CF9">
        <w:rPr>
          <w:szCs w:val="24"/>
        </w:rPr>
        <w:t xml:space="preserve">, while RMSEs and MBs decreased from 16.81 </w:t>
      </w:r>
      <w:r w:rsidR="00B8757F">
        <w:rPr>
          <w:szCs w:val="24"/>
        </w:rPr>
        <w:t xml:space="preserve">to 15.07 and from </w:t>
      </w:r>
      <w:r w:rsidR="00B8757F" w:rsidRPr="00B8757F">
        <w:rPr>
          <w:rFonts w:eastAsia="맑은 고딕"/>
          <w:szCs w:val="24"/>
        </w:rPr>
        <w:t>–</w:t>
      </w:r>
      <w:r w:rsidRPr="00D50CF9">
        <w:rPr>
          <w:szCs w:val="24"/>
          <w:lang w:eastAsia="ko-KR"/>
        </w:rPr>
        <w:t>4</w:t>
      </w:r>
      <w:r w:rsidRPr="00D50CF9">
        <w:rPr>
          <w:szCs w:val="24"/>
        </w:rPr>
        <w:t>.</w:t>
      </w:r>
      <w:r w:rsidRPr="00D50CF9">
        <w:rPr>
          <w:szCs w:val="24"/>
          <w:lang w:eastAsia="ko-KR"/>
        </w:rPr>
        <w:t>56</w:t>
      </w:r>
      <w:r w:rsidRPr="00D50CF9">
        <w:rPr>
          <w:szCs w:val="24"/>
        </w:rPr>
        <w:t xml:space="preserve"> to </w:t>
      </w:r>
      <w:r w:rsidR="00B8757F" w:rsidRPr="00B8757F">
        <w:rPr>
          <w:rFonts w:eastAsia="맑은 고딕"/>
          <w:szCs w:val="24"/>
        </w:rPr>
        <w:t>–</w:t>
      </w:r>
      <w:r w:rsidRPr="00D50CF9">
        <w:rPr>
          <w:szCs w:val="24"/>
        </w:rPr>
        <w:t xml:space="preserve">2.19, respectively, throughout panels </w:t>
      </w:r>
      <w:r w:rsidR="00FD5412">
        <w:rPr>
          <w:szCs w:val="24"/>
        </w:rPr>
        <w:t>b</w:t>
      </w:r>
      <w:r w:rsidRPr="00D50CF9">
        <w:rPr>
          <w:szCs w:val="24"/>
        </w:rPr>
        <w:t xml:space="preserve"> to </w:t>
      </w:r>
      <w:r w:rsidR="00FD5412">
        <w:rPr>
          <w:szCs w:val="24"/>
        </w:rPr>
        <w:t>h</w:t>
      </w:r>
      <w:r w:rsidRPr="00D50CF9">
        <w:rPr>
          <w:szCs w:val="24"/>
        </w:rPr>
        <w:t>. Both increasing correlation and decreasing errors and biases clearly indicated that PM</w:t>
      </w:r>
      <w:r w:rsidRPr="00D50CF9">
        <w:rPr>
          <w:szCs w:val="24"/>
          <w:vertAlign w:val="subscript"/>
        </w:rPr>
        <w:t xml:space="preserve">2.5 </w:t>
      </w:r>
      <w:r w:rsidRPr="00D50CF9">
        <w:rPr>
          <w:szCs w:val="24"/>
        </w:rPr>
        <w:t xml:space="preserve">predictability was improved from panel </w:t>
      </w:r>
      <w:r w:rsidR="00FA3D0D">
        <w:rPr>
          <w:szCs w:val="24"/>
        </w:rPr>
        <w:t>b</w:t>
      </w:r>
      <w:r w:rsidRPr="00D50CF9">
        <w:rPr>
          <w:szCs w:val="24"/>
        </w:rPr>
        <w:t xml:space="preserve"> to </w:t>
      </w:r>
      <w:r w:rsidR="00FA3D0D">
        <w:rPr>
          <w:szCs w:val="24"/>
        </w:rPr>
        <w:t>h</w:t>
      </w:r>
      <w:r w:rsidRPr="00D50CF9">
        <w:rPr>
          <w:szCs w:val="24"/>
        </w:rPr>
        <w:t>.</w:t>
      </w:r>
    </w:p>
    <w:p w:rsidR="00792DCE" w:rsidRPr="00D50CF9" w:rsidRDefault="00792DCE" w:rsidP="00792DCE">
      <w:pPr>
        <w:ind w:firstLine="800"/>
        <w:jc w:val="both"/>
        <w:rPr>
          <w:szCs w:val="24"/>
        </w:rPr>
      </w:pPr>
      <w:r w:rsidRPr="00D50CF9">
        <w:rPr>
          <w:szCs w:val="24"/>
        </w:rPr>
        <w:t xml:space="preserve">When statistical metrics were compared between CAMS and K_ACheMS products, we found that statistical metrics jumped from 0.51 to 0.78 (in </w:t>
      </w:r>
      <w:r w:rsidRPr="00D50CF9">
        <w:rPr>
          <w:szCs w:val="24"/>
          <w:lang w:eastAsia="ko-KR"/>
        </w:rPr>
        <w:t>the</w:t>
      </w:r>
      <w:r w:rsidRPr="00D50CF9">
        <w:rPr>
          <w:szCs w:val="24"/>
        </w:rPr>
        <w:t xml:space="preserve"> case of IOAs) and from 0.27 to 0.6</w:t>
      </w:r>
      <w:r w:rsidRPr="00D50CF9">
        <w:rPr>
          <w:szCs w:val="24"/>
          <w:lang w:eastAsia="ko-KR"/>
        </w:rPr>
        <w:t>2</w:t>
      </w:r>
      <w:r w:rsidRPr="00D50CF9">
        <w:rPr>
          <w:szCs w:val="24"/>
        </w:rPr>
        <w:t xml:space="preserve"> (in </w:t>
      </w:r>
      <w:r w:rsidRPr="00D50CF9">
        <w:rPr>
          <w:szCs w:val="24"/>
          <w:lang w:eastAsia="ko-KR"/>
        </w:rPr>
        <w:t>the</w:t>
      </w:r>
      <w:r w:rsidRPr="00D50CF9">
        <w:rPr>
          <w:szCs w:val="24"/>
        </w:rPr>
        <w:t xml:space="preserve"> case of R</w:t>
      </w:r>
      <w:r w:rsidRPr="00D50CF9">
        <w:rPr>
          <w:szCs w:val="24"/>
          <w:lang w:eastAsia="ko-KR"/>
        </w:rPr>
        <w:t>s</w:t>
      </w:r>
      <w:r w:rsidRPr="00D50CF9">
        <w:rPr>
          <w:szCs w:val="24"/>
        </w:rPr>
        <w:t>). RMSEs and MBs greatly diminished from 2</w:t>
      </w:r>
      <w:r w:rsidR="00B8757F">
        <w:rPr>
          <w:szCs w:val="24"/>
        </w:rPr>
        <w:t xml:space="preserve">4.67 to 15.07 and from 7.11 to </w:t>
      </w:r>
      <w:r w:rsidR="00B8757F" w:rsidRPr="00B8757F">
        <w:rPr>
          <w:rFonts w:eastAsia="맑은 고딕"/>
          <w:szCs w:val="24"/>
        </w:rPr>
        <w:t>–</w:t>
      </w:r>
      <w:r w:rsidRPr="00D50CF9">
        <w:rPr>
          <w:szCs w:val="24"/>
        </w:rPr>
        <w:t>2.19, respectively. All these statistical numbers indicate that K_ACheMS PM</w:t>
      </w:r>
      <w:r w:rsidRPr="00D50CF9">
        <w:rPr>
          <w:szCs w:val="24"/>
          <w:vertAlign w:val="subscript"/>
        </w:rPr>
        <w:t xml:space="preserve">2.5 </w:t>
      </w:r>
      <w:r w:rsidRPr="00D50CF9">
        <w:rPr>
          <w:szCs w:val="24"/>
        </w:rPr>
        <w:t>predictions are improved compared to CMAS PM</w:t>
      </w:r>
      <w:r w:rsidRPr="00D50CF9">
        <w:rPr>
          <w:szCs w:val="24"/>
          <w:vertAlign w:val="subscript"/>
        </w:rPr>
        <w:t xml:space="preserve">2.5 </w:t>
      </w:r>
      <w:r w:rsidRPr="00D50CF9">
        <w:rPr>
          <w:szCs w:val="24"/>
        </w:rPr>
        <w:t xml:space="preserve">predictions.  </w:t>
      </w:r>
    </w:p>
    <w:p w:rsidR="00792DCE" w:rsidRPr="00D50CF9" w:rsidRDefault="00792DCE" w:rsidP="00792DCE">
      <w:pPr>
        <w:ind w:firstLine="800"/>
        <w:jc w:val="both"/>
        <w:rPr>
          <w:szCs w:val="24"/>
        </w:rPr>
      </w:pPr>
      <w:r w:rsidRPr="00D50CF9">
        <w:rPr>
          <w:szCs w:val="24"/>
        </w:rPr>
        <w:t>In the main text, we reported the percentages of improvements in the PM</w:t>
      </w:r>
      <w:r w:rsidRPr="00D50CF9">
        <w:rPr>
          <w:szCs w:val="24"/>
          <w:vertAlign w:val="subscript"/>
        </w:rPr>
        <w:t>2.5</w:t>
      </w:r>
      <w:r w:rsidRPr="00D50CF9">
        <w:rPr>
          <w:szCs w:val="24"/>
        </w:rPr>
        <w:t xml:space="preserve"> predictability throughout the seven experiments shown in Fig. 2. The percentage of improvements were calculated by </w:t>
      </w:r>
      <w:r w:rsidR="0023463B">
        <w:rPr>
          <w:szCs w:val="24"/>
        </w:rPr>
        <w:t xml:space="preserve">Supplementary </w:t>
      </w:r>
      <w:r w:rsidRPr="00D50CF9">
        <w:rPr>
          <w:szCs w:val="24"/>
        </w:rPr>
        <w:t>Eq</w:t>
      </w:r>
      <w:r w:rsidRPr="00D50CF9">
        <w:rPr>
          <w:szCs w:val="24"/>
          <w:lang w:eastAsia="ko-KR"/>
        </w:rPr>
        <w:t>.</w:t>
      </w:r>
      <w:r w:rsidRPr="00D50CF9">
        <w:rPr>
          <w:szCs w:val="24"/>
        </w:rPr>
        <w:t xml:space="preserve"> </w:t>
      </w:r>
      <w:r w:rsidR="00BB25F5" w:rsidRPr="00D50CF9">
        <w:rPr>
          <w:szCs w:val="24"/>
        </w:rPr>
        <w:t>(</w:t>
      </w:r>
      <w:r w:rsidRPr="00D50CF9">
        <w:rPr>
          <w:szCs w:val="24"/>
          <w:lang w:eastAsia="ko-KR"/>
        </w:rPr>
        <w:t>1</w:t>
      </w:r>
      <w:r w:rsidR="00BB25F5" w:rsidRPr="00D50CF9">
        <w:rPr>
          <w:szCs w:val="24"/>
          <w:lang w:eastAsia="ko-KR"/>
        </w:rPr>
        <w:t>)</w:t>
      </w:r>
      <w:r w:rsidRPr="00D50CF9">
        <w:rPr>
          <w:szCs w:val="24"/>
        </w:rPr>
        <w:t>.</w:t>
      </w:r>
    </w:p>
    <w:tbl>
      <w:tblPr>
        <w:tblStyle w:val="afff1"/>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0"/>
        <w:gridCol w:w="7240"/>
        <w:gridCol w:w="700"/>
      </w:tblGrid>
      <w:tr w:rsidR="00792DCE" w:rsidRPr="00D50CF9" w:rsidTr="00FF6C9B">
        <w:trPr>
          <w:trHeight w:val="283"/>
        </w:trPr>
        <w:tc>
          <w:tcPr>
            <w:tcW w:w="405" w:type="pct"/>
            <w:vAlign w:val="center"/>
          </w:tcPr>
          <w:p w:rsidR="00792DCE" w:rsidRPr="00D50CF9" w:rsidRDefault="00792DCE" w:rsidP="00FF6C9B">
            <w:pPr>
              <w:spacing w:line="480" w:lineRule="auto"/>
              <w:rPr>
                <w:rFonts w:eastAsia="바탕"/>
                <w:szCs w:val="24"/>
              </w:rPr>
            </w:pPr>
          </w:p>
        </w:tc>
        <w:tc>
          <w:tcPr>
            <w:tcW w:w="4189" w:type="pct"/>
            <w:vAlign w:val="center"/>
          </w:tcPr>
          <w:p w:rsidR="00792DCE" w:rsidRPr="00D50CF9" w:rsidRDefault="00792DCE" w:rsidP="00FF6C9B">
            <w:pPr>
              <w:spacing w:line="480" w:lineRule="auto"/>
              <w:rPr>
                <w:rFonts w:eastAsia="바탕"/>
                <w:szCs w:val="24"/>
                <w:lang w:eastAsia="ko-KR"/>
              </w:rPr>
            </w:pPr>
            <m:oMath>
              <m:r>
                <w:rPr>
                  <w:rFonts w:ascii="Cambria Math" w:eastAsia="바탕" w:hAnsi="Cambria Math"/>
                  <w:szCs w:val="24"/>
                </w:rPr>
                <m:t xml:space="preserve">Percentage of Improvement </m:t>
              </m:r>
              <m:d>
                <m:dPr>
                  <m:ctrlPr>
                    <w:rPr>
                      <w:rFonts w:ascii="Cambria Math" w:eastAsia="바탕" w:hAnsi="Cambria Math"/>
                      <w:i/>
                      <w:szCs w:val="24"/>
                    </w:rPr>
                  </m:ctrlPr>
                </m:dPr>
                <m:e>
                  <m:r>
                    <w:rPr>
                      <w:rFonts w:ascii="Cambria Math" w:eastAsia="바탕" w:hAnsi="Cambria Math"/>
                      <w:szCs w:val="24"/>
                    </w:rPr>
                    <m:t>%</m:t>
                  </m:r>
                </m:e>
              </m:d>
              <m:r>
                <w:rPr>
                  <w:rFonts w:ascii="Cambria Math" w:eastAsia="바탕" w:hAnsi="Cambria Math"/>
                  <w:szCs w:val="24"/>
                </w:rPr>
                <m:t>=</m:t>
              </m:r>
              <m:f>
                <m:fPr>
                  <m:ctrlPr>
                    <w:rPr>
                      <w:rFonts w:ascii="Cambria Math" w:eastAsia="바탕" w:hAnsi="Cambria Math"/>
                      <w:i/>
                      <w:szCs w:val="24"/>
                    </w:rPr>
                  </m:ctrlPr>
                </m:fPr>
                <m:num>
                  <m:sSub>
                    <m:sSubPr>
                      <m:ctrlPr>
                        <w:rPr>
                          <w:rFonts w:ascii="Cambria Math" w:eastAsia="바탕" w:hAnsi="Cambria Math"/>
                          <w:i/>
                          <w:szCs w:val="24"/>
                        </w:rPr>
                      </m:ctrlPr>
                    </m:sSubPr>
                    <m:e>
                      <m:r>
                        <w:rPr>
                          <w:rFonts w:ascii="Cambria Math" w:eastAsia="바탕" w:hAnsi="Cambria Math"/>
                          <w:szCs w:val="24"/>
                        </w:rPr>
                        <m:t>Metric</m:t>
                      </m:r>
                    </m:e>
                    <m:sub>
                      <m:r>
                        <w:rPr>
                          <w:rFonts w:ascii="Cambria Math" w:eastAsia="바탕" w:hAnsi="Cambria Math"/>
                          <w:szCs w:val="24"/>
                        </w:rPr>
                        <m:t>h</m:t>
                      </m:r>
                    </m:sub>
                  </m:sSub>
                  <m:r>
                    <w:rPr>
                      <w:rFonts w:ascii="Cambria Math" w:eastAsia="바탕" w:hAnsi="Cambria Math"/>
                      <w:szCs w:val="24"/>
                    </w:rPr>
                    <m:t>-</m:t>
                  </m:r>
                  <m:sSub>
                    <m:sSubPr>
                      <m:ctrlPr>
                        <w:rPr>
                          <w:rFonts w:ascii="Cambria Math" w:eastAsia="바탕" w:hAnsi="Cambria Math"/>
                          <w:i/>
                          <w:szCs w:val="24"/>
                        </w:rPr>
                      </m:ctrlPr>
                    </m:sSubPr>
                    <m:e>
                      <m:r>
                        <w:rPr>
                          <w:rFonts w:ascii="Cambria Math" w:eastAsia="바탕" w:hAnsi="Cambria Math"/>
                          <w:szCs w:val="24"/>
                        </w:rPr>
                        <m:t>Metric</m:t>
                      </m:r>
                    </m:e>
                    <m:sub>
                      <m:r>
                        <w:rPr>
                          <w:rFonts w:ascii="Cambria Math" w:eastAsia="바탕" w:hAnsi="Cambria Math"/>
                          <w:szCs w:val="24"/>
                        </w:rPr>
                        <m:t>c</m:t>
                      </m:r>
                    </m:sub>
                  </m:sSub>
                </m:num>
                <m:den>
                  <m:sSub>
                    <m:sSubPr>
                      <m:ctrlPr>
                        <w:rPr>
                          <w:rFonts w:ascii="Cambria Math" w:eastAsia="바탕" w:hAnsi="Cambria Math"/>
                          <w:i/>
                          <w:szCs w:val="24"/>
                        </w:rPr>
                      </m:ctrlPr>
                    </m:sSubPr>
                    <m:e>
                      <m:r>
                        <w:rPr>
                          <w:rFonts w:ascii="Cambria Math" w:eastAsia="바탕" w:hAnsi="Cambria Math"/>
                          <w:szCs w:val="24"/>
                        </w:rPr>
                        <m:t>Metric</m:t>
                      </m:r>
                    </m:e>
                    <m:sub>
                      <m:r>
                        <w:rPr>
                          <w:rFonts w:ascii="Cambria Math" w:eastAsia="바탕" w:hAnsi="Cambria Math"/>
                          <w:szCs w:val="24"/>
                        </w:rPr>
                        <m:t>c</m:t>
                      </m:r>
                    </m:sub>
                  </m:sSub>
                </m:den>
              </m:f>
              <m:r>
                <w:rPr>
                  <w:rFonts w:ascii="Cambria Math" w:eastAsia="바탕" w:hAnsi="Cambria Math"/>
                  <w:szCs w:val="24"/>
                </w:rPr>
                <m:t>×100 (%)</m:t>
              </m:r>
            </m:oMath>
            <w:r w:rsidR="007A1A15">
              <w:rPr>
                <w:rFonts w:eastAsia="바탕" w:hint="eastAsia"/>
                <w:szCs w:val="24"/>
                <w:lang w:eastAsia="ko-KR"/>
              </w:rPr>
              <w:t xml:space="preserve"> </w:t>
            </w:r>
          </w:p>
        </w:tc>
        <w:tc>
          <w:tcPr>
            <w:tcW w:w="405" w:type="pct"/>
            <w:vAlign w:val="center"/>
          </w:tcPr>
          <w:p w:rsidR="00792DCE" w:rsidRPr="00D50CF9" w:rsidRDefault="00BB25F5" w:rsidP="00BB25F5">
            <w:pPr>
              <w:spacing w:line="480" w:lineRule="auto"/>
              <w:jc w:val="right"/>
              <w:rPr>
                <w:rFonts w:eastAsia="바탕"/>
                <w:szCs w:val="24"/>
              </w:rPr>
            </w:pPr>
            <w:r w:rsidRPr="00D50CF9">
              <w:rPr>
                <w:rFonts w:eastAsia="바탕"/>
                <w:szCs w:val="24"/>
              </w:rPr>
              <w:t>(</w:t>
            </w:r>
            <w:r w:rsidR="00792DCE" w:rsidRPr="00D50CF9">
              <w:rPr>
                <w:rFonts w:eastAsia="바탕"/>
                <w:szCs w:val="24"/>
              </w:rPr>
              <w:fldChar w:fldCharType="begin"/>
            </w:r>
            <w:r w:rsidR="00792DCE" w:rsidRPr="00D50CF9">
              <w:rPr>
                <w:rFonts w:eastAsia="바탕"/>
                <w:szCs w:val="24"/>
              </w:rPr>
              <w:instrText xml:space="preserve"> SEQ eq \* MERGEFORMAT </w:instrText>
            </w:r>
            <w:r w:rsidR="00792DCE" w:rsidRPr="00D50CF9">
              <w:rPr>
                <w:rFonts w:eastAsia="바탕"/>
                <w:szCs w:val="24"/>
              </w:rPr>
              <w:fldChar w:fldCharType="separate"/>
            </w:r>
            <w:r w:rsidR="00177258">
              <w:rPr>
                <w:rFonts w:eastAsia="바탕"/>
                <w:noProof/>
                <w:szCs w:val="24"/>
              </w:rPr>
              <w:t>1</w:t>
            </w:r>
            <w:r w:rsidR="00792DCE" w:rsidRPr="00D50CF9">
              <w:rPr>
                <w:rFonts w:eastAsia="바탕"/>
                <w:szCs w:val="24"/>
              </w:rPr>
              <w:fldChar w:fldCharType="end"/>
            </w:r>
            <w:r w:rsidRPr="00D50CF9">
              <w:rPr>
                <w:rFonts w:eastAsia="바탕"/>
                <w:szCs w:val="24"/>
              </w:rPr>
              <w:t>)</w:t>
            </w:r>
          </w:p>
        </w:tc>
      </w:tr>
    </w:tbl>
    <w:p w:rsidR="00792DCE" w:rsidRPr="00D50CF9" w:rsidRDefault="00792DCE" w:rsidP="00792DCE">
      <w:pPr>
        <w:jc w:val="both"/>
        <w:rPr>
          <w:szCs w:val="24"/>
        </w:rPr>
      </w:pPr>
      <w:r w:rsidRPr="00D50CF9">
        <w:rPr>
          <w:szCs w:val="24"/>
        </w:rPr>
        <w:t>where, Metric</w:t>
      </w:r>
      <w:r w:rsidRPr="00D50CF9">
        <w:rPr>
          <w:szCs w:val="24"/>
          <w:vertAlign w:val="subscript"/>
        </w:rPr>
        <w:t>h</w:t>
      </w:r>
      <w:r w:rsidRPr="00D50CF9">
        <w:rPr>
          <w:szCs w:val="24"/>
        </w:rPr>
        <w:t xml:space="preserve"> and Metric</w:t>
      </w:r>
      <w:r w:rsidRPr="00D50CF9">
        <w:rPr>
          <w:szCs w:val="24"/>
          <w:vertAlign w:val="subscript"/>
          <w:lang w:eastAsia="ko-KR"/>
        </w:rPr>
        <w:t>c</w:t>
      </w:r>
      <w:r w:rsidRPr="00D50CF9">
        <w:rPr>
          <w:szCs w:val="24"/>
        </w:rPr>
        <w:t xml:space="preserve"> indicate the statistical metrics from experiment </w:t>
      </w:r>
      <w:r w:rsidR="00767598" w:rsidRPr="00D50CF9">
        <w:rPr>
          <w:szCs w:val="24"/>
        </w:rPr>
        <w:t>h</w:t>
      </w:r>
      <w:r w:rsidRPr="00D50CF9">
        <w:rPr>
          <w:szCs w:val="24"/>
        </w:rPr>
        <w:t xml:space="preserve"> and </w:t>
      </w:r>
      <w:r w:rsidR="00767598" w:rsidRPr="00D50CF9">
        <w:rPr>
          <w:szCs w:val="24"/>
        </w:rPr>
        <w:t>c</w:t>
      </w:r>
      <w:r w:rsidRPr="00D50CF9">
        <w:rPr>
          <w:color w:val="000000"/>
          <w:szCs w:val="24"/>
          <w:lang w:eastAsia="ko-KR"/>
        </w:rPr>
        <w:t xml:space="preserve"> </w:t>
      </w:r>
      <w:r w:rsidRPr="00D50CF9">
        <w:rPr>
          <w:color w:val="000000"/>
          <w:szCs w:val="24"/>
        </w:rPr>
        <w:t xml:space="preserve">in Fig. </w:t>
      </w:r>
      <w:r w:rsidRPr="00D50CF9">
        <w:rPr>
          <w:color w:val="000000"/>
          <w:szCs w:val="24"/>
          <w:lang w:eastAsia="ko-KR"/>
        </w:rPr>
        <w:t>2</w:t>
      </w:r>
      <w:r w:rsidRPr="00D50CF9">
        <w:rPr>
          <w:color w:val="000000"/>
          <w:szCs w:val="24"/>
        </w:rPr>
        <w:t>,</w:t>
      </w:r>
      <w:r w:rsidRPr="00D50CF9">
        <w:rPr>
          <w:szCs w:val="24"/>
        </w:rPr>
        <w:t xml:space="preserve"> respectively.</w:t>
      </w:r>
    </w:p>
    <w:p w:rsidR="00792DCE" w:rsidRPr="00D50CF9" w:rsidRDefault="00792DCE" w:rsidP="00792DCE">
      <w:pPr>
        <w:ind w:firstLine="800"/>
        <w:jc w:val="both"/>
        <w:rPr>
          <w:szCs w:val="24"/>
        </w:rPr>
      </w:pPr>
      <w:r w:rsidRPr="00D50CF9">
        <w:rPr>
          <w:szCs w:val="24"/>
        </w:rPr>
        <w:t>In addition, unlike K_ACheMS PM</w:t>
      </w:r>
      <w:r w:rsidRPr="00D50CF9">
        <w:rPr>
          <w:szCs w:val="24"/>
          <w:vertAlign w:val="subscript"/>
        </w:rPr>
        <w:t xml:space="preserve">2.5 </w:t>
      </w:r>
      <w:r w:rsidRPr="00D50CF9">
        <w:rPr>
          <w:szCs w:val="24"/>
        </w:rPr>
        <w:t>predictions, CAMS_nrt PM</w:t>
      </w:r>
      <w:r w:rsidRPr="00D50CF9">
        <w:rPr>
          <w:szCs w:val="24"/>
          <w:vertAlign w:val="subscript"/>
        </w:rPr>
        <w:t xml:space="preserve">2.5 </w:t>
      </w:r>
      <w:r w:rsidRPr="00D50CF9">
        <w:rPr>
          <w:szCs w:val="24"/>
        </w:rPr>
        <w:t>showed positive mean biases that certainly indicated general over-predictions of PM</w:t>
      </w:r>
      <w:r w:rsidRPr="00D50CF9">
        <w:rPr>
          <w:szCs w:val="24"/>
          <w:vertAlign w:val="subscript"/>
        </w:rPr>
        <w:t>2.5</w:t>
      </w:r>
      <w:r w:rsidRPr="00D50CF9">
        <w:rPr>
          <w:szCs w:val="24"/>
        </w:rPr>
        <w:t xml:space="preserve"> by C-IFS model simulations. This was a quite different characteristic in the sense that all K_ACheMS v2.0 simulations presented negative mean biases, indicating under-predictions of PM</w:t>
      </w:r>
      <w:r w:rsidRPr="00D50CF9">
        <w:rPr>
          <w:szCs w:val="24"/>
          <w:vertAlign w:val="subscript"/>
        </w:rPr>
        <w:t>2.5</w:t>
      </w:r>
      <w:r w:rsidRPr="00D50CF9">
        <w:rPr>
          <w:szCs w:val="24"/>
        </w:rPr>
        <w:t>. What actually caused these over- and under-predictions of PM</w:t>
      </w:r>
      <w:r w:rsidRPr="00D50CF9">
        <w:rPr>
          <w:szCs w:val="24"/>
          <w:vertAlign w:val="subscript"/>
        </w:rPr>
        <w:t xml:space="preserve">2.5 </w:t>
      </w:r>
      <w:r w:rsidRPr="00D50CF9">
        <w:rPr>
          <w:szCs w:val="24"/>
        </w:rPr>
        <w:t>in C-IFS and K_ACheMS PM</w:t>
      </w:r>
      <w:r w:rsidRPr="00D50CF9">
        <w:rPr>
          <w:szCs w:val="24"/>
          <w:vertAlign w:val="subscript"/>
        </w:rPr>
        <w:t xml:space="preserve">2.5 </w:t>
      </w:r>
      <w:r w:rsidRPr="00D50CF9">
        <w:rPr>
          <w:szCs w:val="24"/>
        </w:rPr>
        <w:t>predictions will be discussed further in the next section of</w:t>
      </w:r>
      <w:r w:rsidR="00AC0DCF" w:rsidRPr="00AC0DCF">
        <w:rPr>
          <w:szCs w:val="24"/>
        </w:rPr>
        <w:t xml:space="preserve"> </w:t>
      </w:r>
      <w:r w:rsidR="00AC0DCF">
        <w:rPr>
          <w:szCs w:val="24"/>
        </w:rPr>
        <w:t>Supplementary</w:t>
      </w:r>
      <w:r w:rsidRPr="00D50CF9">
        <w:rPr>
          <w:szCs w:val="24"/>
        </w:rPr>
        <w:t xml:space="preserve"> Section 5.</w:t>
      </w:r>
    </w:p>
    <w:p w:rsidR="00792DCE" w:rsidRPr="00D50CF9" w:rsidRDefault="00792DCE" w:rsidP="00792DCE">
      <w:pPr>
        <w:ind w:firstLine="800"/>
        <w:jc w:val="both"/>
        <w:rPr>
          <w:szCs w:val="24"/>
        </w:rPr>
      </w:pPr>
    </w:p>
    <w:p w:rsidR="00792DCE" w:rsidRPr="00D50CF9" w:rsidRDefault="00792DCE" w:rsidP="00792DCE">
      <w:pPr>
        <w:pStyle w:val="SMHeading"/>
        <w:rPr>
          <w:lang w:eastAsia="ko-KR"/>
        </w:rPr>
      </w:pPr>
      <w:r w:rsidRPr="00D50CF9">
        <w:t>S</w:t>
      </w:r>
      <w:r w:rsidRPr="00D50CF9">
        <w:rPr>
          <w:lang w:eastAsia="ko-KR"/>
        </w:rPr>
        <w:t>ection</w:t>
      </w:r>
      <w:r w:rsidRPr="00D50CF9">
        <w:t xml:space="preserve"> </w:t>
      </w:r>
      <w:r w:rsidRPr="00D50CF9">
        <w:rPr>
          <w:lang w:eastAsia="ko-KR"/>
        </w:rPr>
        <w:t>5. Observed and modeled composition of PM</w:t>
      </w:r>
      <w:r w:rsidRPr="00D50CF9">
        <w:rPr>
          <w:vertAlign w:val="subscript"/>
          <w:lang w:eastAsia="ko-KR"/>
        </w:rPr>
        <w:t>2.5</w:t>
      </w:r>
    </w:p>
    <w:p w:rsidR="00792DCE" w:rsidRPr="00D50CF9" w:rsidRDefault="00792DCE" w:rsidP="00792DCE">
      <w:pPr>
        <w:ind w:firstLine="800"/>
        <w:jc w:val="both"/>
        <w:rPr>
          <w:szCs w:val="24"/>
        </w:rPr>
      </w:pPr>
      <w:r w:rsidRPr="00D50CF9">
        <w:rPr>
          <w:szCs w:val="24"/>
        </w:rPr>
        <w:t>As shown in Fig. 2</w:t>
      </w:r>
      <w:r w:rsidR="00767598" w:rsidRPr="00D50CF9">
        <w:rPr>
          <w:szCs w:val="24"/>
        </w:rPr>
        <w:t>a</w:t>
      </w:r>
      <w:r w:rsidRPr="00D50CF9">
        <w:rPr>
          <w:szCs w:val="24"/>
        </w:rPr>
        <w:t xml:space="preserve"> and </w:t>
      </w:r>
      <w:r w:rsidR="00900645" w:rsidRPr="00D50CF9">
        <w:rPr>
          <w:szCs w:val="24"/>
        </w:rPr>
        <w:t>Supplementary Fig</w:t>
      </w:r>
      <w:r w:rsidR="00D246F3">
        <w:rPr>
          <w:szCs w:val="24"/>
        </w:rPr>
        <w:t>.</w:t>
      </w:r>
      <w:r w:rsidR="00900645" w:rsidRPr="00D50CF9">
        <w:rPr>
          <w:szCs w:val="24"/>
        </w:rPr>
        <w:t xml:space="preserve"> </w:t>
      </w:r>
      <w:r w:rsidRPr="00D50CF9">
        <w:rPr>
          <w:szCs w:val="24"/>
        </w:rPr>
        <w:t>3</w:t>
      </w:r>
      <w:r w:rsidR="00767598" w:rsidRPr="00D50CF9">
        <w:rPr>
          <w:szCs w:val="24"/>
        </w:rPr>
        <w:t>a</w:t>
      </w:r>
      <w:r w:rsidRPr="00D50CF9">
        <w:rPr>
          <w:szCs w:val="24"/>
        </w:rPr>
        <w:t>, CAMS PM</w:t>
      </w:r>
      <w:r w:rsidRPr="00D50CF9">
        <w:rPr>
          <w:szCs w:val="24"/>
          <w:vertAlign w:val="subscript"/>
        </w:rPr>
        <w:t xml:space="preserve">2.5 </w:t>
      </w:r>
      <w:r w:rsidRPr="00D50CF9">
        <w:rPr>
          <w:szCs w:val="24"/>
        </w:rPr>
        <w:t>products generally overestimated PM</w:t>
      </w:r>
      <w:r w:rsidRPr="00D50CF9">
        <w:rPr>
          <w:szCs w:val="24"/>
          <w:vertAlign w:val="subscript"/>
        </w:rPr>
        <w:t xml:space="preserve">2.5 </w:t>
      </w:r>
      <w:r w:rsidRPr="00D50CF9">
        <w:rPr>
          <w:szCs w:val="24"/>
        </w:rPr>
        <w:t xml:space="preserve">with large positive mean bias (MB = 7.11 in </w:t>
      </w:r>
      <w:r w:rsidR="00D70CCD" w:rsidRPr="00D50CF9">
        <w:rPr>
          <w:szCs w:val="24"/>
        </w:rPr>
        <w:t xml:space="preserve">Supplementary </w:t>
      </w:r>
      <w:r w:rsidRPr="00D50CF9">
        <w:rPr>
          <w:szCs w:val="24"/>
        </w:rPr>
        <w:t>Fig. 3</w:t>
      </w:r>
      <w:r w:rsidR="00427216" w:rsidRPr="00D50CF9">
        <w:rPr>
          <w:szCs w:val="24"/>
        </w:rPr>
        <w:t>a</w:t>
      </w:r>
      <w:r w:rsidRPr="00D50CF9">
        <w:rPr>
          <w:szCs w:val="24"/>
        </w:rPr>
        <w:t>). To investigate main causes of these PM</w:t>
      </w:r>
      <w:r w:rsidRPr="00D50CF9">
        <w:rPr>
          <w:szCs w:val="24"/>
          <w:vertAlign w:val="subscript"/>
        </w:rPr>
        <w:t xml:space="preserve">2.5 </w:t>
      </w:r>
      <w:r w:rsidRPr="00D50CF9">
        <w:rPr>
          <w:szCs w:val="24"/>
        </w:rPr>
        <w:t>over-predictions, we compared observed concentrations of major PM</w:t>
      </w:r>
      <w:r w:rsidRPr="00D50CF9">
        <w:rPr>
          <w:szCs w:val="24"/>
          <w:vertAlign w:val="subscript"/>
        </w:rPr>
        <w:t xml:space="preserve">2.5 </w:t>
      </w:r>
      <w:r w:rsidRPr="00D50CF9">
        <w:rPr>
          <w:szCs w:val="24"/>
        </w:rPr>
        <w:t xml:space="preserve">constituents with predicted concentrations at six intensive measurement stations in South Korea. </w:t>
      </w:r>
      <w:r w:rsidR="00E462F1" w:rsidRPr="00D50CF9">
        <w:rPr>
          <w:szCs w:val="24"/>
        </w:rPr>
        <w:t xml:space="preserve">Supplementary </w:t>
      </w:r>
      <w:r w:rsidRPr="00D50CF9">
        <w:rPr>
          <w:szCs w:val="24"/>
        </w:rPr>
        <w:t xml:space="preserve">Fig. 4 presents results of comparisons between predicted and observed concentrations for sulfate (panel </w:t>
      </w:r>
      <w:r w:rsidR="00427216" w:rsidRPr="00D50CF9">
        <w:rPr>
          <w:szCs w:val="24"/>
        </w:rPr>
        <w:t>a</w:t>
      </w:r>
      <w:r w:rsidRPr="00D50CF9">
        <w:rPr>
          <w:szCs w:val="24"/>
        </w:rPr>
        <w:t xml:space="preserve">), organic aerosols (panel </w:t>
      </w:r>
      <w:r w:rsidR="00427216" w:rsidRPr="00D50CF9">
        <w:rPr>
          <w:szCs w:val="24"/>
        </w:rPr>
        <w:t>b</w:t>
      </w:r>
      <w:r w:rsidRPr="00D50CF9">
        <w:rPr>
          <w:szCs w:val="24"/>
        </w:rPr>
        <w:t xml:space="preserve">), black carbon (panel </w:t>
      </w:r>
      <w:r w:rsidR="00427216" w:rsidRPr="00D50CF9">
        <w:rPr>
          <w:szCs w:val="24"/>
        </w:rPr>
        <w:t>c</w:t>
      </w:r>
      <w:r w:rsidRPr="00D50CF9">
        <w:rPr>
          <w:szCs w:val="24"/>
        </w:rPr>
        <w:t xml:space="preserve">), and dust (panel </w:t>
      </w:r>
      <w:r w:rsidR="00427216" w:rsidRPr="00D50CF9">
        <w:rPr>
          <w:szCs w:val="24"/>
        </w:rPr>
        <w:t>d</w:t>
      </w:r>
      <w:r w:rsidRPr="00D50CF9">
        <w:rPr>
          <w:szCs w:val="24"/>
        </w:rPr>
        <w:t xml:space="preserve">). As shown in </w:t>
      </w:r>
      <w:r w:rsidR="00E462F1" w:rsidRPr="00D50CF9">
        <w:rPr>
          <w:szCs w:val="24"/>
        </w:rPr>
        <w:t xml:space="preserve">Supplementary </w:t>
      </w:r>
      <w:r w:rsidRPr="00D50CF9">
        <w:rPr>
          <w:szCs w:val="24"/>
        </w:rPr>
        <w:t>Fig. 4, sulfate, black carbon, and dust concentrations were all over-predicted by CAMS PM</w:t>
      </w:r>
      <w:r w:rsidRPr="00D50CF9">
        <w:rPr>
          <w:szCs w:val="24"/>
          <w:vertAlign w:val="subscript"/>
        </w:rPr>
        <w:t xml:space="preserve">2.5 </w:t>
      </w:r>
      <w:r w:rsidRPr="00D50CF9">
        <w:rPr>
          <w:szCs w:val="24"/>
        </w:rPr>
        <w:t>products. In actuality, these over-predictions must be related directly to over-predictions of CAMS PM</w:t>
      </w:r>
      <w:r w:rsidRPr="00D50CF9">
        <w:rPr>
          <w:szCs w:val="24"/>
          <w:vertAlign w:val="subscript"/>
        </w:rPr>
        <w:t>2.5</w:t>
      </w:r>
      <w:r w:rsidRPr="00D50CF9">
        <w:rPr>
          <w:szCs w:val="24"/>
        </w:rPr>
        <w:t xml:space="preserve">. In case of organic aerosols (OAs), the K_ACheMS slightly over-predicted OA concentrations compared to observed OA concentrations, while the C-IFS tended to under-predict OA concentrations. OA concentrations have been generally under-predicted by global and regional chemistry-transport models </w:t>
      </w:r>
      <w:r w:rsidRPr="00D50CF9">
        <w:rPr>
          <w:szCs w:val="24"/>
        </w:rPr>
        <w:fldChar w:fldCharType="begin"/>
      </w:r>
      <w:r w:rsidR="003232C6" w:rsidRPr="00D50CF9">
        <w:rPr>
          <w:szCs w:val="24"/>
        </w:rPr>
        <w:instrText xml:space="preserve"> ADDIN ZOTERO_ITEM CSL_CITATION {"citationID":"lnH44Qa1","properties":{"formattedCitation":"\\super 28\\nosupersub{}","plainCitation":"28","noteIndex":0},"citationItems":[{"id":982,"uris":["http://zotero.org/users/3789855/items/XFMNBTA8"],"itemData":{"id":982,"type":"article-journal","abstract":"The atmospheric chemistry of volatile organic compounds (VOCs) in urban areas results in the formation of ‘photochemical smog’, including secondary organic aerosol (SOA). State-of-the-art SOA models parameterize the results of simulation chamber experiments that bracket the conditions found in the polluted urban atmosphere. Here we show that in the real urban atmosphere reactive anthropogenic VOCs (AVOCs) produce much larger amounts of SOA than these models predict, even shortly after sunrise. Contrary to current belief, a significant fraction of the excess SOA is formed from first-generation AVOC oxidation products. Global models deem AVOCs a very minor contributor to SOA compared to biogenic VOCs (BVOCs). If our results are extrapolated to other urban areas, AVOCs could be responsible for additional 3–25 Tg yr−1 SOA production globally, and cause up to −0.1 W m−2 additional top-of-the-atmosphere radiative cooling.","container-title":"Geophysical Research Letters","DOI":"10.1029/2006GL026899","ISSN":"1944-8007","issue":"17","language":"en","note":"_eprint: https://onlinelibrary.wiley.com/doi/pdf/10.1029/2006GL026899","source":"Wiley Online Library","title":"Secondary organic aerosol formation from anthropogenic air pollution: Rapid and higher than expected","title-short":"Secondary organic aerosol formation from anthropogenic air pollution","URL":"https://onlinelibrary.wiley.com/doi/abs/10.1029/2006GL026899","volume":"33","author":[{"family":"Volkamer","given":"Rainer"},{"family":"Jimenez","given":"Jose L."},{"family":"San Martini","given":"Federico"},{"family":"Dzepina","given":"Katja"},{"family":"Zhang","given":"Qi"},{"family":"Salcedo","given":"Dara"},{"family":"Molina","given":"Luisa T."},{"family":"Worsnop","given":"Douglas R."},{"family":"Molina","given":"Mario J."}],"accessed":{"date-parts":[["2022",8,2]]},"issued":{"date-parts":[["2006"]]}}}],"schema":"https://github.com/citation-style-language/schema/raw/master/csl-citation.json"} </w:instrText>
      </w:r>
      <w:r w:rsidRPr="00D50CF9">
        <w:rPr>
          <w:szCs w:val="24"/>
        </w:rPr>
        <w:fldChar w:fldCharType="separate"/>
      </w:r>
      <w:r w:rsidR="003232C6" w:rsidRPr="00D50CF9">
        <w:rPr>
          <w:szCs w:val="24"/>
          <w:vertAlign w:val="superscript"/>
        </w:rPr>
        <w:t>28</w:t>
      </w:r>
      <w:r w:rsidRPr="00D50CF9">
        <w:rPr>
          <w:szCs w:val="24"/>
        </w:rPr>
        <w:fldChar w:fldCharType="end"/>
      </w:r>
      <w:r w:rsidRPr="00D50CF9">
        <w:rPr>
          <w:szCs w:val="24"/>
        </w:rPr>
        <w:t xml:space="preserve">. To further investigate over-predictions of OAs by the K_ACheMS, we might need to check new SOA yields from smog chamber experiments as well as emission fluxes of active SOA precursors such as toluene, xylene, and monoterpenes in KORUS v5.0 and MEGAN model simulations. </w:t>
      </w:r>
    </w:p>
    <w:p w:rsidR="00792DCE" w:rsidRPr="00D50CF9" w:rsidRDefault="00792DCE" w:rsidP="00792DCE">
      <w:pPr>
        <w:ind w:firstLine="800"/>
        <w:jc w:val="both"/>
        <w:rPr>
          <w:szCs w:val="24"/>
        </w:rPr>
      </w:pPr>
      <w:r w:rsidRPr="00D50CF9">
        <w:rPr>
          <w:szCs w:val="24"/>
        </w:rPr>
        <w:t>Regarding the large over-predictions of concentrations of black carbon (BC) and sulfate (SO</w:t>
      </w:r>
      <w:r w:rsidRPr="00D50CF9">
        <w:rPr>
          <w:szCs w:val="24"/>
          <w:vertAlign w:val="subscript"/>
        </w:rPr>
        <w:t>4</w:t>
      </w:r>
      <w:r w:rsidRPr="00D50CF9">
        <w:rPr>
          <w:szCs w:val="24"/>
          <w:vertAlign w:val="superscript"/>
        </w:rPr>
        <w:t>2</w:t>
      </w:r>
      <w:r w:rsidR="00EC7545" w:rsidRPr="00EC7545">
        <w:rPr>
          <w:rFonts w:eastAsia="맑은 고딕"/>
          <w:szCs w:val="24"/>
          <w:vertAlign w:val="superscript"/>
        </w:rPr>
        <w:t>–</w:t>
      </w:r>
      <w:r w:rsidRPr="00D50CF9">
        <w:rPr>
          <w:szCs w:val="24"/>
        </w:rPr>
        <w:t>), these over-predictions are certainly associated with the fact that MACCity BC and SO</w:t>
      </w:r>
      <w:r w:rsidRPr="00D50CF9">
        <w:rPr>
          <w:szCs w:val="24"/>
          <w:vertAlign w:val="subscript"/>
        </w:rPr>
        <w:t>2</w:t>
      </w:r>
      <w:r w:rsidRPr="00D50CF9">
        <w:rPr>
          <w:szCs w:val="24"/>
        </w:rPr>
        <w:t xml:space="preserve"> emissions used in the C-IFS model simulations are larger than those in KORUS v5.0. </w:t>
      </w:r>
      <w:r w:rsidR="003519BE" w:rsidRPr="00D50CF9">
        <w:rPr>
          <w:szCs w:val="24"/>
        </w:rPr>
        <w:t xml:space="preserve">Supplementary </w:t>
      </w:r>
      <w:r w:rsidRPr="00D50CF9">
        <w:rPr>
          <w:szCs w:val="24"/>
        </w:rPr>
        <w:t>Fig</w:t>
      </w:r>
      <w:r w:rsidRPr="00D50CF9">
        <w:rPr>
          <w:szCs w:val="24"/>
          <w:lang w:eastAsia="ko-KR"/>
        </w:rPr>
        <w:t>s</w:t>
      </w:r>
      <w:r w:rsidRPr="00D50CF9">
        <w:rPr>
          <w:szCs w:val="24"/>
        </w:rPr>
        <w:t>. 5 and 6 present spatial distributions of emission fluxes of several primary atmospheric species over East Asia and South Korea, respectively. Total summed emissions are also shown at bottom-right corners of panels. As shown in these figures, BC emission fluxes in MACCity emissions were approximately 1.8 times and 3.2 times larger than those in the KORUS v5.0 over China and South Korea, respectively. Also, SO</w:t>
      </w:r>
      <w:r w:rsidRPr="00D50CF9">
        <w:rPr>
          <w:szCs w:val="24"/>
          <w:vertAlign w:val="subscript"/>
        </w:rPr>
        <w:t>2</w:t>
      </w:r>
      <w:r w:rsidRPr="00D50CF9">
        <w:rPr>
          <w:szCs w:val="24"/>
        </w:rPr>
        <w:t xml:space="preserve"> emission fluxes in the MACCity emissions were approximately 1.9 times and 2.3 times larger than those in the KORUS v5.0 over China and South Korea, respectively. These large emission fluxes of BC and SO</w:t>
      </w:r>
      <w:r w:rsidRPr="00D50CF9">
        <w:rPr>
          <w:szCs w:val="24"/>
          <w:vertAlign w:val="subscript"/>
        </w:rPr>
        <w:t>2</w:t>
      </w:r>
      <w:r w:rsidRPr="00D50CF9">
        <w:rPr>
          <w:szCs w:val="24"/>
        </w:rPr>
        <w:t xml:space="preserve"> in MACCity emissions might have caused over-predictions of BC and sulfate concentrations shown in </w:t>
      </w:r>
      <w:r w:rsidR="00597DCC" w:rsidRPr="00D50CF9">
        <w:rPr>
          <w:szCs w:val="24"/>
        </w:rPr>
        <w:t xml:space="preserve">Supplementary </w:t>
      </w:r>
      <w:r w:rsidRPr="00D50CF9">
        <w:rPr>
          <w:szCs w:val="24"/>
        </w:rPr>
        <w:t>Fig. 4</w:t>
      </w:r>
      <w:r w:rsidR="008C3673" w:rsidRPr="00D50CF9">
        <w:rPr>
          <w:szCs w:val="24"/>
        </w:rPr>
        <w:t>a,</w:t>
      </w:r>
      <w:r w:rsidRPr="00D50CF9">
        <w:rPr>
          <w:szCs w:val="24"/>
        </w:rPr>
        <w:t xml:space="preserve"> </w:t>
      </w:r>
      <w:r w:rsidR="008C3673" w:rsidRPr="00D50CF9">
        <w:rPr>
          <w:szCs w:val="24"/>
        </w:rPr>
        <w:t>c</w:t>
      </w:r>
      <w:r w:rsidRPr="00D50CF9">
        <w:rPr>
          <w:szCs w:val="24"/>
        </w:rPr>
        <w:t xml:space="preserve">. In addition, on-line mode (fugitive) dust scheme appears to generate larger amounts of dust as shown in </w:t>
      </w:r>
      <w:r w:rsidR="006B0694" w:rsidRPr="00D50CF9">
        <w:rPr>
          <w:szCs w:val="24"/>
        </w:rPr>
        <w:t xml:space="preserve">Supplementary </w:t>
      </w:r>
      <w:r w:rsidRPr="00D50CF9">
        <w:rPr>
          <w:szCs w:val="24"/>
        </w:rPr>
        <w:t>Fig. 4</w:t>
      </w:r>
      <w:r w:rsidR="005A11EA" w:rsidRPr="00D50CF9">
        <w:rPr>
          <w:szCs w:val="24"/>
        </w:rPr>
        <w:t>d</w:t>
      </w:r>
      <w:r w:rsidRPr="00D50CF9">
        <w:rPr>
          <w:szCs w:val="24"/>
        </w:rPr>
        <w:t xml:space="preserve">. </w:t>
      </w:r>
    </w:p>
    <w:p w:rsidR="00792DCE" w:rsidRPr="00D50CF9" w:rsidRDefault="00792DCE" w:rsidP="00792DCE">
      <w:pPr>
        <w:ind w:firstLine="800"/>
        <w:jc w:val="both"/>
        <w:rPr>
          <w:szCs w:val="24"/>
        </w:rPr>
      </w:pPr>
      <w:r w:rsidRPr="00D50CF9">
        <w:rPr>
          <w:szCs w:val="24"/>
        </w:rPr>
        <w:lastRenderedPageBreak/>
        <w:t xml:space="preserve">In </w:t>
      </w:r>
      <w:r w:rsidR="00B478E5" w:rsidRPr="00D50CF9">
        <w:rPr>
          <w:szCs w:val="24"/>
        </w:rPr>
        <w:t xml:space="preserve">Supplementary Fig. </w:t>
      </w:r>
      <w:r w:rsidRPr="00D50CF9">
        <w:rPr>
          <w:szCs w:val="24"/>
        </w:rPr>
        <w:t xml:space="preserve">4, predicted concentrations denoted by solid lines generally have better agreements with observations. K_ACheMS model simulations appeared to better capture levels of atmospheric sulfate, organic aerosols, BC, and dust than C-IFS model simulations over South Korea or northeast Asia. These better performances might be associated with better emission fluxes (in case of BC and sulfate), better parameterizations for secondary formation (in case of OAs), and better physical generation scheme (in case of dust) in the K_ACheMS v2.0 over northeast Asia. </w:t>
      </w:r>
    </w:p>
    <w:p w:rsidR="00792DCE" w:rsidRPr="00D50CF9" w:rsidRDefault="00792DCE" w:rsidP="00792DCE">
      <w:pPr>
        <w:ind w:firstLine="800"/>
        <w:jc w:val="both"/>
        <w:rPr>
          <w:szCs w:val="24"/>
        </w:rPr>
      </w:pPr>
    </w:p>
    <w:p w:rsidR="00792DCE" w:rsidRPr="00D50CF9" w:rsidRDefault="00792DCE" w:rsidP="00792DCE">
      <w:pPr>
        <w:pStyle w:val="SMHeading"/>
      </w:pPr>
      <w:r w:rsidRPr="00D50CF9">
        <w:t>S</w:t>
      </w:r>
      <w:r w:rsidRPr="00D50CF9">
        <w:rPr>
          <w:lang w:eastAsia="ko-KR"/>
        </w:rPr>
        <w:t>ection</w:t>
      </w:r>
      <w:r w:rsidRPr="00D50CF9">
        <w:t xml:space="preserve"> </w:t>
      </w:r>
      <w:r w:rsidRPr="00D50CF9">
        <w:rPr>
          <w:lang w:eastAsia="ko-KR"/>
        </w:rPr>
        <w:t>6. Cloud contamination and sun-glint effect</w:t>
      </w:r>
    </w:p>
    <w:p w:rsidR="00792DCE" w:rsidRPr="00D50CF9" w:rsidRDefault="00792DCE" w:rsidP="008D7D0A">
      <w:pPr>
        <w:ind w:firstLine="800"/>
        <w:jc w:val="both"/>
        <w:rPr>
          <w:szCs w:val="24"/>
        </w:rPr>
      </w:pPr>
      <w:r w:rsidRPr="00D50CF9">
        <w:rPr>
          <w:szCs w:val="24"/>
        </w:rPr>
        <w:t xml:space="preserve">Cloud contamination and sun-glint effect are two typical reasons by which we lose AOD data from LEO (low Earth orbit) satellite sensors. </w:t>
      </w:r>
      <w:r w:rsidR="007D7E7F" w:rsidRPr="00D50CF9">
        <w:rPr>
          <w:szCs w:val="24"/>
        </w:rPr>
        <w:t xml:space="preserve">Supplementary </w:t>
      </w:r>
      <w:r w:rsidRPr="00D50CF9">
        <w:rPr>
          <w:szCs w:val="24"/>
        </w:rPr>
        <w:t>Fig. 7 presents spatial distributions of AOD obtained from the MODIS sensor (panel</w:t>
      </w:r>
      <w:r w:rsidR="00FC0147" w:rsidRPr="00D50CF9">
        <w:rPr>
          <w:szCs w:val="24"/>
        </w:rPr>
        <w:t xml:space="preserve"> a</w:t>
      </w:r>
      <w:r w:rsidRPr="00D50CF9">
        <w:rPr>
          <w:szCs w:val="24"/>
        </w:rPr>
        <w:t>) and the GOCI sensor (panel</w:t>
      </w:r>
      <w:r w:rsidR="00FC0147" w:rsidRPr="00D50CF9">
        <w:rPr>
          <w:szCs w:val="24"/>
        </w:rPr>
        <w:t xml:space="preserve"> b</w:t>
      </w:r>
      <w:r w:rsidRPr="00D50CF9">
        <w:rPr>
          <w:szCs w:val="24"/>
        </w:rPr>
        <w:t>), respectively, at 02 UTC on 4 May, 2016. As shown in</w:t>
      </w:r>
      <w:r w:rsidR="009E1277" w:rsidRPr="00D50CF9">
        <w:rPr>
          <w:szCs w:val="24"/>
        </w:rPr>
        <w:t xml:space="preserve"> Supplementary</w:t>
      </w:r>
      <w:r w:rsidRPr="00D50CF9">
        <w:rPr>
          <w:szCs w:val="24"/>
        </w:rPr>
        <w:t xml:space="preserve"> Fig. 7, MODIS and GOCI AOD data were not available over North Korea, Manchuria (northeastern parts of China), eastern edge of Russia, and Hokkai island (northernmost island) in Japan due to the presence of clouds over these regions (i.e., cloud contamination). In addition, no MODIS AOD data was available over south ocean areas of Jeju or Kyushu Island due to the sun-glint effect. The sun-glint effect usually takes place over ocean regions due to the geometry between LEO satellite sensor and the Sun, as mentioned in the main text.</w:t>
      </w:r>
    </w:p>
    <w:p w:rsidR="00792DCE" w:rsidRPr="00D50CF9" w:rsidRDefault="00792DCE" w:rsidP="008D7D0A">
      <w:pPr>
        <w:ind w:firstLine="800"/>
        <w:jc w:val="both"/>
        <w:rPr>
          <w:szCs w:val="24"/>
        </w:rPr>
      </w:pPr>
      <w:r w:rsidRPr="00D50CF9">
        <w:rPr>
          <w:szCs w:val="24"/>
        </w:rPr>
        <w:t>Collectively, averaged retrieval fractions of the AOD data from MODIS and GOCI sensors during the period of the KORUS-AQ campaign over the GOCI domain were ~14.0% and ~28.5%, respectively. Available data of the GOCI sensor are doubled compared to those of the MODIS sensor. These numbers indicate that there should be an advantage when we use AOD data from the ‘geostationary’ GOCI sensor in the data assimilation. In case of the MODIS AOD, the small fraction of data availability (~14%) strongly hampers effective corrections of initial states via data assimilation. Again, it should be noted that almost negligible differences were found between Fig. 2</w:t>
      </w:r>
      <w:r w:rsidR="004A504E" w:rsidRPr="00D50CF9">
        <w:rPr>
          <w:szCs w:val="24"/>
        </w:rPr>
        <w:t>b, c</w:t>
      </w:r>
      <w:r w:rsidRPr="00D50CF9">
        <w:rPr>
          <w:szCs w:val="24"/>
        </w:rPr>
        <w:t xml:space="preserve"> due to the scarcity of AOD data from the MODIS sensor. Improved performances were achieved in Fig. 2</w:t>
      </w:r>
      <w:r w:rsidR="004A504E" w:rsidRPr="00D50CF9">
        <w:rPr>
          <w:szCs w:val="24"/>
        </w:rPr>
        <w:t xml:space="preserve">d, e </w:t>
      </w:r>
      <w:r w:rsidRPr="00D50CF9">
        <w:rPr>
          <w:szCs w:val="24"/>
        </w:rPr>
        <w:t xml:space="preserve">due to increased fraction of AOD data </w:t>
      </w:r>
      <w:r w:rsidR="002318FE" w:rsidRPr="00D50CF9">
        <w:rPr>
          <w:szCs w:val="24"/>
        </w:rPr>
        <w:t>retrieved from the GOCI sensor.</w:t>
      </w:r>
    </w:p>
    <w:p w:rsidR="00792DCE" w:rsidRPr="00D50CF9" w:rsidRDefault="00792DCE" w:rsidP="00792DCE">
      <w:pPr>
        <w:ind w:firstLine="800"/>
        <w:jc w:val="both"/>
        <w:rPr>
          <w:szCs w:val="24"/>
        </w:rPr>
      </w:pPr>
    </w:p>
    <w:p w:rsidR="00792DCE" w:rsidRPr="00D50CF9" w:rsidRDefault="00792DCE" w:rsidP="00792DCE">
      <w:pPr>
        <w:pStyle w:val="SMHeading"/>
      </w:pPr>
      <w:r w:rsidRPr="00D50CF9">
        <w:t>S</w:t>
      </w:r>
      <w:r w:rsidRPr="00D50CF9">
        <w:rPr>
          <w:lang w:eastAsia="ko-KR"/>
        </w:rPr>
        <w:t>ection</w:t>
      </w:r>
      <w:r w:rsidRPr="00D50CF9">
        <w:t xml:space="preserve"> </w:t>
      </w:r>
      <w:r w:rsidRPr="00D50CF9">
        <w:rPr>
          <w:lang w:eastAsia="ko-KR"/>
        </w:rPr>
        <w:t>7. Conversion of GOCI AOD into surface PM</w:t>
      </w:r>
      <w:r w:rsidRPr="00D50CF9">
        <w:rPr>
          <w:vertAlign w:val="subscript"/>
          <w:lang w:eastAsia="ko-KR"/>
        </w:rPr>
        <w:t xml:space="preserve">2.5 </w:t>
      </w:r>
      <w:r w:rsidRPr="00D50CF9">
        <w:rPr>
          <w:lang w:eastAsia="ko-KR"/>
        </w:rPr>
        <w:t>via Random Forest (RF) technique</w:t>
      </w:r>
    </w:p>
    <w:p w:rsidR="00792DCE" w:rsidRPr="00D50CF9" w:rsidRDefault="00792DCE" w:rsidP="00792DCE">
      <w:pPr>
        <w:ind w:firstLine="800"/>
        <w:jc w:val="both"/>
        <w:rPr>
          <w:szCs w:val="24"/>
        </w:rPr>
      </w:pPr>
      <w:r w:rsidRPr="00D50CF9">
        <w:rPr>
          <w:szCs w:val="24"/>
        </w:rPr>
        <w:t xml:space="preserve">Several studies have shown a strong linear correlation (relationship) between AOD and concentration of ambient particulate matters </w:t>
      </w:r>
      <w:r w:rsidRPr="00D50CF9">
        <w:rPr>
          <w:szCs w:val="24"/>
        </w:rPr>
        <w:fldChar w:fldCharType="begin"/>
      </w:r>
      <w:r w:rsidR="003232C6" w:rsidRPr="00D50CF9">
        <w:rPr>
          <w:szCs w:val="24"/>
        </w:rPr>
        <w:instrText xml:space="preserve"> ADDIN ZOTERO_ITEM CSL_CITATION {"citationID":"htD2OteV","properties":{"formattedCitation":"\\super 29,30\\nosupersub{}","plainCitation":"29,30","noteIndex":0},"citationItems":[{"id":985,"uris":["http://zotero.org/users/3789855/items/J2PBH9JF"],"itemData":{"id":985,"type":"article-journal","abstract":"Using 1 year of aerosol optical thickness (AOT) retrievals from the MODerate resolution Imaging Spectro-radiometer (MODIS) on board NASA's Terra and Aqua satellite along with ground measurements of PM2.5 mass concentration, we assess particulate matter air quality over different locations across the global urban areas spread over 26 locations in Sydney, Delhi, Hong Kong, New York City and Switzerland. An empirical relationship between AOT and PM2.5 mass is obtained and results show that there is an excellent correlation between the bin-averaged daily mean satellite and ground-based values with a linear correlation coefficient of 0.96. Using meteorological and other ancillary datasets, we assess the effects of wind speed, cloud cover, and mixing height (MH) on particulate matter (PM) air quality and conclude that these data are necessary to further apply satellite data for air quality research. Our study clearly demonstrates that satellite-derived AOT is a good surrogate for monitoring PM air quality over the earth. However, our analysis shows that the PM2.5–AOT relationship strongly depends on aerosol concentrations, ambient relative humidity (RH), fractional cloud cover and height of the mixing layer. Highest correlation between MODIS AOT and PM2.5 mass is found under clear sky conditions with less than 40–50% RH and when atmospheric MH ranges from 100 to 200m. Future remote sensing sensors such as Cloud-Aerosol Lidar and Infrared Pathfinder Satellite Observations (CALIPSO) that have the capability to provide vertical distribution of aerosols will further enhance our ability to monitor and forecast air pollution. This study is among the first to examine the relationship between satellite and ground measurements over several global locations.","container-title":"Atmospheric Environment","DOI":"10.1016/j.atmosenv.2006.03.016","ISSN":"1352-2310","issue":"30","journalAbbreviation":"Atmospheric Environment","language":"en","page":"5880-5892","source":"ScienceDirect","title":"Satellite remote sensing of particulate matter and air quality assessment over global cities","volume":"40","author":[{"family":"Gupta","given":"Pawan"},{"family":"Christopher","given":"Sundar A."},{"family":"Wang","given":"Jun"},{"family":"Gehrig","given":"Robert"},{"family":"Lee","given":"Yc"},{"family":"Kumar","given":"Naresh"}],"issued":{"date-parts":[["2006",9,1]]}}},{"id":987,"uris":["http://zotero.org/users/3789855/items/TA44K93F"],"itemData":{"id":987,"type":"article-journal","abstract":"We explore the relationship between column aerosol optical thickness (AOT) derived from the Moderate Resolution Imaging SpectroRadiometer (MODIS) on the Terra/Aqua satellites and hourly fine particulate mass (PM2.5) measured at the surface at seven locations in Jefferson county, Alabama for 2002. Results indicate that there is a good correlation between the satellite-derived AOT and PM2.5 (linear correlation coefficient, R = 0.7) indicating that most of the aerosols are in the well-mixed lower boundary layer during the satellite overpass times. There is excellent agreement between the monthly mean PM2.5 and MODIS AOT (R &gt; 0.9), with maximum values during the summer months due to enhanced photolysis. The PM2.5 has a distinct diurnal signature with maxima in the early morning (6:00 </w:instrText>
      </w:r>
      <w:r w:rsidR="003232C6" w:rsidRPr="00D50CF9">
        <w:rPr>
          <w:rFonts w:ascii="바탕" w:eastAsia="바탕" w:hAnsi="바탕" w:cs="바탕" w:hint="eastAsia"/>
          <w:szCs w:val="24"/>
        </w:rPr>
        <w:instrText>∼</w:instrText>
      </w:r>
      <w:r w:rsidR="003232C6" w:rsidRPr="00D50CF9">
        <w:rPr>
          <w:szCs w:val="24"/>
        </w:rPr>
        <w:instrText xml:space="preserve"> 8:00AM) due to increased traffic flow and restricted mixing depths during these hours. Using simple empirical linear relationships derived between the MODIS AOT and 24hr mean PM2.5 we show that the MODIS AOT can be used quantitatively to estimate air quality categories as defined by the U.S. Environmental Protection Agency (EPA) with an accuracy of more than 90% in cloud-free conditions. We discuss the factors that affect the correlation between satellite-derived AOT and PM2.5 mass, and emphasize that more research is needed before applying these methods and results over other areas.","container-title":"Geophysical Research Letters","DOI":"10.1029/2003GL018174","ISSN":"1944-8007","issue":"21","language":"en","note":"_eprint: https://onlinelibrary.wiley.com/doi/pdf/10.1029/2003GL018174","source":"Wiley Online Library","title":"Intercomparison between satellite-derived aerosol optical thickness and PM2.5 mass: Implications for air quality studies","title-short":"Intercomparison between satellite-derived aerosol optical thickness and PM2.5 mass","URL":"https://onlinelibrary.wiley.com/doi/abs/10.1029/2003GL018174","volume":"30","author":[{"family":"Wang","given":"Jun"},{"family":"Christopher","given":"Sundar A."}],"accessed":{"date-parts":[["2022",8,2]]},"issued":{"date-parts":[["2003"]]}}}],"schema":"https://github.com/citation-style-language/schema/raw/master/csl-citation.json"} </w:instrText>
      </w:r>
      <w:r w:rsidRPr="00D50CF9">
        <w:rPr>
          <w:szCs w:val="24"/>
        </w:rPr>
        <w:fldChar w:fldCharType="separate"/>
      </w:r>
      <w:r w:rsidR="003232C6" w:rsidRPr="00D50CF9">
        <w:rPr>
          <w:szCs w:val="24"/>
          <w:vertAlign w:val="superscript"/>
        </w:rPr>
        <w:t>29,30</w:t>
      </w:r>
      <w:r w:rsidRPr="00D50CF9">
        <w:rPr>
          <w:szCs w:val="24"/>
        </w:rPr>
        <w:fldChar w:fldCharType="end"/>
      </w:r>
      <w:r w:rsidRPr="00D50CF9">
        <w:rPr>
          <w:szCs w:val="24"/>
        </w:rPr>
        <w:t>. Based on this strong linear correlation, there have been several attempts to empirically convert satellite AOD into surface PM</w:t>
      </w:r>
      <w:r w:rsidRPr="00D50CF9">
        <w:rPr>
          <w:szCs w:val="24"/>
          <w:vertAlign w:val="subscript"/>
        </w:rPr>
        <w:t>2.5</w:t>
      </w:r>
      <w:r w:rsidRPr="00D50CF9">
        <w:rPr>
          <w:szCs w:val="24"/>
        </w:rPr>
        <w:t xml:space="preserve">. For example, Liu et al. </w:t>
      </w:r>
      <w:r w:rsidRPr="00D50CF9">
        <w:rPr>
          <w:szCs w:val="24"/>
        </w:rPr>
        <w:fldChar w:fldCharType="begin"/>
      </w:r>
      <w:r w:rsidR="003232C6" w:rsidRPr="00D50CF9">
        <w:rPr>
          <w:szCs w:val="24"/>
        </w:rPr>
        <w:instrText xml:space="preserve"> ADDIN ZOTERO_ITEM CSL_CITATION {"citationID":"iP6xQins","properties":{"formattedCitation":"\\super 31\\nosupersub{}","plainCitation":"31","noteIndex":0},"citationItems":[{"id":990,"uris":["http://zotero.org/users/3789855/items/RWRBEGDE"],"itemData":{"id":990,"type":"article-journal","abstract":"An empirical model based on the regression between daily PM2.5 (particles with aerodynamic diameters of less than 2.5 μm) concentrations and aerosol optical thickness (AOT) measurements from the multiangle imaging spectroradiometer (MISR) was developed and tested using data from the eastern United States during the period of 2001. Overall, the empirical model explained 48% of the variability in PM2.5 concentrations. The root-mean-square error of the model was 6.2 μg/m3 with a corresponding average PM2.5 concentration of 13.8 μg/m3. When PM2.5 concentrations greater than 40 μg/m3 were removed, model results were shown to be unbiased estimators of observations. Several factors, such as planetary boundary layer height, relative humidity, season, and other geographical attributes of monitoring sites, were found to influence the association between PM2.5 and AOT. The findings of this study illustrate the strong potential of satellite remote sensing in regional ambient air quality monitoring as an extension to ground networks. With the continual advancement of remote sensing technology and global data assimilation systems, AOT measurements derived from satellite remote sensors may provide a cost-effective approach as a supplemental source of information for determining ground-level particle concentrations.","container-title":"Environmental Science &amp; Technology","DOI":"10.1021/es049352m","ISSN":"0013-936X","issue":"9","journalAbbreviation":"Environ. Sci. Technol.","note":"publisher: American Chemical Society","page":"3269-3278","source":"ACS Publications","title":"Estimating Ground-Level PM2.5 in the Eastern United States Using Satellite Remote Sensing","volume":"39","author":[{"family":"Liu","given":"Yang"},{"family":"Sarnat","given":"Jeremy A."},{"family":"Kilaru","given":"Vasu"},{"family":"Jacob","given":"Daniel J."},{"family":"Koutrakis","given":"Petros"}],"issued":{"date-parts":[["2005",5,1]]}}}],"schema":"https://github.com/citation-style-language/schema/raw/master/csl-citation.json"} </w:instrText>
      </w:r>
      <w:r w:rsidRPr="00D50CF9">
        <w:rPr>
          <w:szCs w:val="24"/>
        </w:rPr>
        <w:fldChar w:fldCharType="separate"/>
      </w:r>
      <w:r w:rsidR="003232C6" w:rsidRPr="00D50CF9">
        <w:rPr>
          <w:szCs w:val="24"/>
          <w:vertAlign w:val="superscript"/>
        </w:rPr>
        <w:t>31</w:t>
      </w:r>
      <w:r w:rsidRPr="00D50CF9">
        <w:rPr>
          <w:szCs w:val="24"/>
        </w:rPr>
        <w:fldChar w:fldCharType="end"/>
      </w:r>
      <w:r w:rsidRPr="00D50CF9">
        <w:rPr>
          <w:szCs w:val="24"/>
        </w:rPr>
        <w:t xml:space="preserve"> have developed an empirical regression model (formula) to convert AOD into surface PM</w:t>
      </w:r>
      <w:r w:rsidRPr="00D50CF9">
        <w:rPr>
          <w:szCs w:val="24"/>
        </w:rPr>
        <w:softHyphen/>
      </w:r>
      <w:r w:rsidRPr="00D50CF9">
        <w:rPr>
          <w:szCs w:val="24"/>
          <w:vertAlign w:val="subscript"/>
        </w:rPr>
        <w:t>2.5</w:t>
      </w:r>
      <w:r w:rsidRPr="00D50CF9">
        <w:rPr>
          <w:szCs w:val="24"/>
        </w:rPr>
        <w:t>. More recently, other studies have also used machine learning techniques to convert AOD into PM</w:t>
      </w:r>
      <w:r w:rsidRPr="00D50CF9">
        <w:rPr>
          <w:szCs w:val="24"/>
        </w:rPr>
        <w:softHyphen/>
      </w:r>
      <w:r w:rsidRPr="00D50CF9">
        <w:rPr>
          <w:szCs w:val="24"/>
          <w:vertAlign w:val="subscript"/>
        </w:rPr>
        <w:t>2.5</w:t>
      </w:r>
      <w:r w:rsidRPr="00D50CF9">
        <w:rPr>
          <w:szCs w:val="24"/>
        </w:rPr>
        <w:t xml:space="preserve"> </w:t>
      </w:r>
      <w:r w:rsidRPr="00D50CF9">
        <w:rPr>
          <w:szCs w:val="24"/>
        </w:rPr>
        <w:fldChar w:fldCharType="begin"/>
      </w:r>
      <w:r w:rsidR="003232C6" w:rsidRPr="00D50CF9">
        <w:rPr>
          <w:szCs w:val="24"/>
        </w:rPr>
        <w:instrText xml:space="preserve"> ADDIN ZOTERO_ITEM CSL_CITATION {"citationID":"INTLDG3n","properties":{"formattedCitation":"\\super 32,33\\nosupersub{}","plainCitation":"32,33","noteIndex":0},"citationItems":[{"id":993,"uris":["http://zotero.org/users/3789855/items/VMV6LDBE"],"itemData":{"id":993,"type":"article-journal","abstract":"BACKGROUND: Machine learning algorithms have very high predictive ability. However, no study has used machine learning to estimate historical concentrations of PM2.5 (particulate matter with aerodynamic diameter ≤ 2.5 μm) at daily time scale in China at a national level.\nOBJECTIVES: To estimate daily concentrations of PM2.5 across China during 2005-2016.\nMETHODS: Daily ground-level PM2.5 data were obtained from 1479 stations across China during 2014-2016. Data on aerosol optical depth (AOD), meteorological conditions and other predictors were downloaded. A random forests model (non-parametric machine learning algorithms) and two traditional regression models were developed to estimate ground-level PM2.5 concentrations. The best-fit model was then utilized to estimate the daily concentrations of PM2.5 across China with a resolution of 0.1° (≈10 km) during 2005-2016.\nRESULTS: The daily random forests model showed much higher predictive accuracy than the other two traditional regression models, explaining the majority of spatial variability in daily PM2.5 [10-fold cross-validation (CV) R2 = 83%, root mean squared prediction error (RMSE) = 28.1 μg/m3]. At the monthly and annual time-scale, the explained variability of average PM2.5 increased up to 86% (RMSE = 10.7 μg/m3 and 6.9 μg/m3, respectively).\nCONCLUSIONS: Taking advantage of a novel application of modeling framework and the most recent ground-level PM2.5 observations, the machine learning method showed higher predictive ability than previous studies.\nCAPSULE: Random forests approach can be used to estimate historical exposure to PM2.5 in China with high accuracy.","container-title":"The Science of the Total Environment","DOI":"10.1016/j.scitotenv.2018.04.251","ISSN":"1879-1026","journalAbbreviation":"Sci Total Environ","language":"eng","note":"PMID: 29702402","page":"52-60","source":"PubMed","title":"A machine learning method to estimate PM2.5 concentrations across China with remote sensing, meteorological and land use information","volume":"636","author":[{"family":"Chen","given":"Gongbo"},{"family":"Li","given":"Shanshan"},{"family":"Knibbs","given":"Luke D."},{"family":"Hamm","given":"N. a. S."},{"family":"Cao","given":"Wei"},{"family":"Li","given":"Tiantian"},{"family":"Guo","given":"Jianping"},{"family":"Ren","given":"Hongyan"},{"family":"Abramson","given":"Michael J."},{"family":"Guo","given":"Yuming"}],"issued":{"date-parts":[["2018",9,15]]}}},{"id":996,"uris":["http://zotero.org/users/3789855/items/9UPW6444"],"itemData":{"id":996,"type":"article-journal","abstract":"To estimate PM2.5 concentrations, many parametric regression models have been developed, while nonparametric machine learning algorithms are used less often and national-scale models are rare. In this paper, we develop a random forest model incorporating aerosol optical depth (AOD) data, meteorological fields, and land use variables to estimate daily 24 h averaged ground-level PM2.5 concentrations over the conterminous United States in 2011. Random forests are an ensemble learning method that provides predictions with high accuracy and interpretability. Our results achieve an overall cross-validation (CV) R2 value of 0.80. Mean prediction error (MPE) and root mean squared prediction error (RMSPE) for daily predictions are 1.78 and 2.83 μg/m3, respectively, indicating a good agreement between CV predictions and observations. The prediction accuracy of our model is similar to those reported in previous studies using neural networks or regression models on both national and regional scales. In addition, the incorporation of convolutional layers for land use terms and nearby PM2.5 measurements increase CV R2 by </w:instrText>
      </w:r>
      <w:r w:rsidR="003232C6" w:rsidRPr="00D50CF9">
        <w:rPr>
          <w:rFonts w:ascii="바탕" w:eastAsia="바탕" w:hAnsi="바탕" w:cs="바탕" w:hint="eastAsia"/>
          <w:szCs w:val="24"/>
        </w:rPr>
        <w:instrText>∼</w:instrText>
      </w:r>
      <w:r w:rsidR="003232C6" w:rsidRPr="00D50CF9">
        <w:rPr>
          <w:szCs w:val="24"/>
        </w:rPr>
        <w:instrText xml:space="preserve">0.02 and </w:instrText>
      </w:r>
      <w:r w:rsidR="003232C6" w:rsidRPr="00D50CF9">
        <w:rPr>
          <w:rFonts w:ascii="바탕" w:eastAsia="바탕" w:hAnsi="바탕" w:cs="바탕" w:hint="eastAsia"/>
          <w:szCs w:val="24"/>
        </w:rPr>
        <w:instrText>∼</w:instrText>
      </w:r>
      <w:r w:rsidR="003232C6" w:rsidRPr="00D50CF9">
        <w:rPr>
          <w:szCs w:val="24"/>
        </w:rPr>
        <w:instrText xml:space="preserve">0.06, respectively, indicating their significant contributions to prediction accuracy. A pair of different variable importance measures both indicate that the convolutional layer for nearby PM2.5 measurements and AOD values are among the most-important predictor variables for the training process.","container-title":"Environmental Science &amp; Technology","DOI":"10.1021/acs.est.7b01210","ISSN":"0013-936X","issue":"12","journalAbbreviation":"Environ. Sci. Technol.","note":"publisher: American Chemical Society","page":"6936-6944","source":"ACS Publications","title":"Estimating PM2.5 Concentrations in the Conterminous United States Using the Random Forest Approach","volume":"51","author":[{"family":"Hu","given":"Xuefei"},{"family":"Belle","given":"Jessica H."},{"family":"Meng","given":"Xia"},{"family":"Wildani","given":"Avani"},{"family":"Waller","given":"Lance A."},{"family":"Strickland","given":"Matthew J."},{"family":"Liu","given":"Yang"}],"issued":{"date-parts":[["2017",6,20]]}}}],"schema":"https://github.com/citation-style-language/schema/raw/master/csl-citation.json"} </w:instrText>
      </w:r>
      <w:r w:rsidRPr="00D50CF9">
        <w:rPr>
          <w:szCs w:val="24"/>
        </w:rPr>
        <w:fldChar w:fldCharType="separate"/>
      </w:r>
      <w:r w:rsidR="003232C6" w:rsidRPr="00D50CF9">
        <w:rPr>
          <w:szCs w:val="24"/>
          <w:vertAlign w:val="superscript"/>
        </w:rPr>
        <w:t>32,33</w:t>
      </w:r>
      <w:r w:rsidRPr="00D50CF9">
        <w:rPr>
          <w:szCs w:val="24"/>
        </w:rPr>
        <w:fldChar w:fldCharType="end"/>
      </w:r>
      <w:r w:rsidRPr="00D50CF9">
        <w:rPr>
          <w:szCs w:val="24"/>
        </w:rPr>
        <w:t>. Among these studies, Random Forest (RF) method has shown the best performances in estimating PM</w:t>
      </w:r>
      <w:r w:rsidRPr="00D50CF9">
        <w:rPr>
          <w:szCs w:val="24"/>
        </w:rPr>
        <w:softHyphen/>
      </w:r>
      <w:r w:rsidRPr="00D50CF9">
        <w:rPr>
          <w:szCs w:val="24"/>
          <w:vertAlign w:val="subscript"/>
        </w:rPr>
        <w:t>2.5</w:t>
      </w:r>
      <w:r w:rsidRPr="00D50CF9">
        <w:rPr>
          <w:szCs w:val="24"/>
        </w:rPr>
        <w:t xml:space="preserve"> from satellite-retrieved AOD </w:t>
      </w:r>
      <w:r w:rsidRPr="00D50CF9">
        <w:rPr>
          <w:szCs w:val="24"/>
        </w:rPr>
        <w:fldChar w:fldCharType="begin"/>
      </w:r>
      <w:r w:rsidR="003232C6" w:rsidRPr="00D50CF9">
        <w:rPr>
          <w:szCs w:val="24"/>
        </w:rPr>
        <w:instrText xml:space="preserve"> ADDIN ZOTERO_ITEM CSL_CITATION {"citationID":"U7AHRXOI","properties":{"formattedCitation":"\\super 33\\nosupersub{}","plainCitation":"33","noteIndex":0},"citationItems":[{"id":996,"uris":["http://zotero.org/users/3789855/items/9UPW6444"],"itemData":{"id":996,"type":"article-journal","abstract":"To estimate PM2.5 concentrations, many parametric regression models have been developed, while nonparametric machine learning algorithms are used less often and national-scale models are rare. In this paper, we develop a random forest model incorporating aerosol optical depth (AOD) data, meteorological fields, and land use variables to estimate daily 24 h averaged ground-level PM2.5 concentrations over the conterminous United States in 2011. Random forests are an ensemble learning method that provides predictions with high accuracy and interpretability. Our results achieve an overall cross-validation (CV) R2 value of 0.80. Mean prediction error (MPE) and root mean squared prediction error (RMSPE) for daily predictions are 1.78 and 2.83 μg/m3, respectively, indicating a good agreement between CV predictions and observations. The prediction accuracy of our model is similar to those reported in previous studies using neural networks or regression models on both national and regional scales. In addition, the incorporation of convolutional layers for land use terms and nearby PM2.5 measurements increase CV R2 by </w:instrText>
      </w:r>
      <w:r w:rsidR="003232C6" w:rsidRPr="00D50CF9">
        <w:rPr>
          <w:rFonts w:ascii="바탕" w:eastAsia="바탕" w:hAnsi="바탕" w:cs="바탕" w:hint="eastAsia"/>
          <w:szCs w:val="24"/>
        </w:rPr>
        <w:instrText>∼</w:instrText>
      </w:r>
      <w:r w:rsidR="003232C6" w:rsidRPr="00D50CF9">
        <w:rPr>
          <w:szCs w:val="24"/>
        </w:rPr>
        <w:instrText xml:space="preserve">0.02 and </w:instrText>
      </w:r>
      <w:r w:rsidR="003232C6" w:rsidRPr="00D50CF9">
        <w:rPr>
          <w:rFonts w:ascii="바탕" w:eastAsia="바탕" w:hAnsi="바탕" w:cs="바탕" w:hint="eastAsia"/>
          <w:szCs w:val="24"/>
        </w:rPr>
        <w:instrText>∼</w:instrText>
      </w:r>
      <w:r w:rsidR="003232C6" w:rsidRPr="00D50CF9">
        <w:rPr>
          <w:szCs w:val="24"/>
        </w:rPr>
        <w:instrText xml:space="preserve">0.06, respectively, indicating their significant contributions to prediction accuracy. A pair of different variable importance measures both indicate that the convolutional layer for nearby PM2.5 measurements and AOD values are among the most-important predictor variables for the training process.","container-title":"Environmental Science &amp; Technology","DOI":"10.1021/acs.est.7b01210","ISSN":"0013-936X","issue":"12","journalAbbreviation":"Environ. Sci. Technol.","note":"publisher: American Chemical Society","page":"6936-6944","source":"ACS Publications","title":"Estimating PM2.5 Concentrations in the Conterminous United States Using the Random Forest Approach","volume":"51","author":[{"family":"Hu","given":"Xuefei"},{"family":"Belle","given":"Jessica H."},{"family":"Meng","given":"Xia"},{"family":"Wildani","given":"Avani"},{"family":"Waller","given":"Lance A."},{"family":"Strickland","given":"Matthew J."},{"family":"Liu","given":"Yang"}],"issued":{"date-parts":[["2017",6,20]]}}}],"schema":"https://github.com/citation-style-language/schema/raw/master/csl-citation.json"} </w:instrText>
      </w:r>
      <w:r w:rsidRPr="00D50CF9">
        <w:rPr>
          <w:szCs w:val="24"/>
        </w:rPr>
        <w:fldChar w:fldCharType="separate"/>
      </w:r>
      <w:r w:rsidR="003232C6" w:rsidRPr="00D50CF9">
        <w:rPr>
          <w:szCs w:val="24"/>
          <w:vertAlign w:val="superscript"/>
        </w:rPr>
        <w:t>33</w:t>
      </w:r>
      <w:r w:rsidRPr="00D50CF9">
        <w:rPr>
          <w:szCs w:val="24"/>
        </w:rPr>
        <w:fldChar w:fldCharType="end"/>
      </w:r>
      <w:r w:rsidRPr="00D50CF9">
        <w:rPr>
          <w:szCs w:val="24"/>
        </w:rPr>
        <w:t xml:space="preserve">. The RF method is a machine learning algorithm that uses an ensemble of decision trees. These trees are trained with different parts of the same dataset, aiming to reduce variances. After training, the model takes an average of predictions from all individual regression trees </w:t>
      </w:r>
      <w:r w:rsidRPr="00D50CF9">
        <w:rPr>
          <w:szCs w:val="24"/>
        </w:rPr>
        <w:fldChar w:fldCharType="begin"/>
      </w:r>
      <w:r w:rsidR="003232C6" w:rsidRPr="00D50CF9">
        <w:rPr>
          <w:szCs w:val="24"/>
        </w:rPr>
        <w:instrText xml:space="preserve"> ADDIN ZOTERO_ITEM CSL_CITATION {"citationID":"62UFHRrq","properties":{"formattedCitation":"\\super 34\\nosupersub{}","plainCitation":"34","noteIndex":0},"citationItems":[{"id":999,"uris":["http://zotero.org/users/3789855/items/6TBLHFZJ"],"itemData":{"id":999,"type":"article-journal","abstract":"Random forests are a combination of tree predictors such that each tree depends on the values of a random vector sampled independently and with the same distribution for all trees in the forest. The generalization error for forests converges a.s. to a limit as the number of trees in the forest becomes large. The generalization error of a forest of tree classifiers depends on the strength of the individual trees in the forest and the correlation between them. Using a random selection of features to split each node yields error rates that compare favorably to Adaboost (Y. Freund &amp; R. Schapire, Machine Learning: Proceedings of the Thirteenth International conference, ***, 148–156), but are more robust with respect to noise. Internal estimates monitor error, strength, and correlation and these are used to show the response to increasing the number of features used in the splitting. Internal estimates are also used to measure variable importance. These ideas are also applicable to regression.","container-title":"Machine Learning","DOI":"10.1023/A:1010933404324","ISSN":"1573-0565","issue":"1","journalAbbreviation":"Machine Learning","language":"en","page":"5-32","source":"Springer Link","title":"Random Forests","volume":"45","author":[{"family":"Breiman","given":"Leo"}],"issued":{"date-parts":[["2001",10,1]]}}}],"schema":"https://github.com/citation-style-language/schema/raw/master/csl-citation.json"} </w:instrText>
      </w:r>
      <w:r w:rsidRPr="00D50CF9">
        <w:rPr>
          <w:szCs w:val="24"/>
        </w:rPr>
        <w:fldChar w:fldCharType="separate"/>
      </w:r>
      <w:r w:rsidR="003232C6" w:rsidRPr="00D50CF9">
        <w:rPr>
          <w:szCs w:val="24"/>
          <w:vertAlign w:val="superscript"/>
        </w:rPr>
        <w:t>34</w:t>
      </w:r>
      <w:r w:rsidRPr="00D50CF9">
        <w:rPr>
          <w:szCs w:val="24"/>
        </w:rPr>
        <w:fldChar w:fldCharType="end"/>
      </w:r>
      <w:r w:rsidRPr="00D50CF9">
        <w:rPr>
          <w:szCs w:val="24"/>
        </w:rPr>
        <w:t>.</w:t>
      </w:r>
    </w:p>
    <w:p w:rsidR="00792DCE" w:rsidRPr="00D50CF9" w:rsidRDefault="00792DCE" w:rsidP="00792DCE">
      <w:pPr>
        <w:ind w:firstLine="800"/>
        <w:jc w:val="both"/>
        <w:rPr>
          <w:szCs w:val="24"/>
        </w:rPr>
      </w:pPr>
      <w:r w:rsidRPr="00D50CF9">
        <w:rPr>
          <w:szCs w:val="24"/>
        </w:rPr>
        <w:lastRenderedPageBreak/>
        <w:t>The K_ACheMS v2.0 has also employed the RF technique to convert GOCI AOD into surface PM</w:t>
      </w:r>
      <w:r w:rsidRPr="00D50CF9">
        <w:rPr>
          <w:szCs w:val="24"/>
          <w:vertAlign w:val="subscript"/>
        </w:rPr>
        <w:t>2.5</w:t>
      </w:r>
      <w:r w:rsidRPr="00D50CF9">
        <w:rPr>
          <w:szCs w:val="24"/>
        </w:rPr>
        <w:t xml:space="preserve">. For this conversion, we constructed big data with 32 input features, including aerosol-related data, meteorological data, and land-use information. For aerosol-related data, the GOCI AOD at 550 nm, fine mode fraction (FMF) at 550 nm, single-scattering albedo (SSA) at 440 nm, and Ångstrom exponent (AE) at 440 and 870 nm data were used. All these aerosol products were retrieved via Yonsei aerosol retrieval (YAER) version 2 algorithm using GOCI </w:t>
      </w:r>
      <w:r w:rsidRPr="00D50CF9">
        <w:rPr>
          <w:szCs w:val="24"/>
          <w:lang w:eastAsia="ko-KR"/>
        </w:rPr>
        <w:t>L</w:t>
      </w:r>
      <w:r w:rsidRPr="00D50CF9">
        <w:rPr>
          <w:szCs w:val="24"/>
        </w:rPr>
        <w:t xml:space="preserve">evel 1 data </w:t>
      </w:r>
      <w:r w:rsidRPr="00D50CF9">
        <w:rPr>
          <w:szCs w:val="24"/>
          <w:lang w:eastAsia="ko-KR"/>
        </w:rPr>
        <w:fldChar w:fldCharType="begin"/>
      </w:r>
      <w:r w:rsidR="003232C6" w:rsidRPr="00D50CF9">
        <w:rPr>
          <w:szCs w:val="24"/>
          <w:lang w:eastAsia="ko-KR"/>
        </w:rPr>
        <w:instrText xml:space="preserve"> ADDIN ZOTERO_ITEM CSL_CITATION {"citationID":"q3FTt8A6","properties":{"formattedCitation":"\\super 35\\nosupersub{}","plainCitation":"35","noteIndex":0},"citationItems":[{"id":1001,"uris":["http://zotero.org/users/3789855/items/M8W7RLJW"],"itemData":{"id":1001,"type":"article-journal","abstract":"&lt;p&gt;&lt;strong class=\"journal-contentHeaderColor\"&gt;Abstract.&lt;/strong&gt; The Geostationary Ocean Color Imager (GOCI) Yonsei aerosol retrieval (YAER) version 1 algorithm was developed to retrieve hourly aerosol optical depth at 550&amp;thinsp;nm (AOD) and other subsidiary aerosol optical properties over East Asia. The GOCI YAER AOD had accuracy comparable to ground-based and other satellite-based observations but still had errors because of uncertainties in surface reflectance and simple cloud masking. In addition, near-real-time (NRT) processing was not possible because a monthly database for each year encompassing the day of retrieval was required for the determination of surface reflectance. This study describes the improved GOCI YAER algorithm version 2 (V2) for NRT processing with improved accuracy based on updates to the cloud-masking and surface-reflectance calculations using a multi-year Rayleigh-corrected reflectance and wind speed database, and inversion channels for surface conditions. The improved GOCI AOD &lt;span class=\"inline-formula\"&gt;&lt;i&gt;τ&lt;/i&gt;&lt;sub&gt;G&lt;/sub&gt;&lt;/span&gt; is closer to that of the Moderate Resolution Imaging Spectroradiometer (MODIS) and Visible Infrared Imaging Radiometer Suite (VIIRS) AOD than was the case for AOD from the YAER V1 algorithm. The V2 &lt;span class=\"inline-formula\"&gt;&lt;i&gt;τ&lt;/i&gt;&lt;sub&gt;G&lt;/sub&gt;&lt;/span&gt; has a lower median bias and higher ratio within the MODIS expected error range (0.60 for land and 0.71 for ocean) compared with V1 (0.49 for land and 0.62 for ocean) in a validation test against Aerosol Robotic Network (AERONET) AOD &lt;span class=\"inline-formula\"&gt;&lt;i&gt;τ&lt;/i&gt;&lt;sub&gt;A&lt;/sub&gt;&lt;/span&gt; from 2011 to 2016. A validation using the Sun-Sky Radiometer Observation Network (SONET) over China shows similar results. The bias of error (&lt;span class=\"inline-formula\"&gt;&lt;i&gt;τ&lt;/i&gt;&lt;sub&gt;G&lt;/sub&gt;−&lt;i&gt;τ&lt;/i&gt;&lt;sub&gt;A&lt;/sub&gt;)&lt;/span&gt; is within &lt;span class=\"inline-formula\"&gt;−&lt;/span&gt;0.1 and 0.1, and it is a function of AERONET AOD and Ångström exponent (AE), scattering angle, normalized difference vegetation index (NDVI), cloud fraction and homogeneity of retrieved AOD, and observation time, month, and year. In addition, the diagnostic and prognostic expected error (PEE) of &lt;span class=\"inline-formula\"&gt;&lt;i&gt;τ&lt;/i&gt;&lt;sub&gt;G&lt;/sub&gt;&lt;/span&gt; are estimated. The estimated PEE of GOCI V2 AOD is well correlated with the actual error over East Asia, and the GOCI V2 AOD over South Korea has a higher ratio within PEE than that over China and Japan.&lt;/p&gt;","container-title":"Atmospheric Measurement Techniques","DOI":"10.5194/amt-11-385-2018","ISSN":"1867-1381","issue":"1","language":"English","note":"publisher: Copernicus GmbH","page":"385-408","source":"amt.copernicus.org","title":"GOCI Yonsei aerosol retrieval version 2 products: an improved algorithm and error analysis with uncertainty estimation from 5-year validation over East Asia","title-short":"GOCI Yonsei aerosol retrieval version 2 products","volume":"11","author":[{"family":"Choi","given":"Myungje"},{"family":"Kim","given":"Jhoon"},{"family":"Lee","given":"Jaehwa"},{"family":"Kim","given":"Mijin"},{"family":"Park","given":"Young-Je"},{"family":"Holben","given":"Brent"},{"family":"Eck","given":"Thomas F."},{"family":"Li","given":"Zhengqiang"},{"family":"Song","given":"Chul H."}],"issued":{"date-parts":[["2018",1,17]]}}}],"schema":"https://github.com/citation-style-language/schema/raw/master/csl-citation.json"} </w:instrText>
      </w:r>
      <w:r w:rsidRPr="00D50CF9">
        <w:rPr>
          <w:szCs w:val="24"/>
          <w:lang w:eastAsia="ko-KR"/>
        </w:rPr>
        <w:fldChar w:fldCharType="separate"/>
      </w:r>
      <w:r w:rsidR="003232C6" w:rsidRPr="00D50CF9">
        <w:rPr>
          <w:szCs w:val="24"/>
          <w:vertAlign w:val="superscript"/>
        </w:rPr>
        <w:t>35</w:t>
      </w:r>
      <w:r w:rsidRPr="00D50CF9">
        <w:rPr>
          <w:szCs w:val="24"/>
          <w:lang w:eastAsia="ko-KR"/>
        </w:rPr>
        <w:fldChar w:fldCharType="end"/>
      </w:r>
      <w:r w:rsidRPr="00D50CF9">
        <w:rPr>
          <w:szCs w:val="24"/>
        </w:rPr>
        <w:t>. For simulated and observed meteorological data, RH (relative humidity), PBLH (planetary boundary layer height), and surface pressure from the UM-RDAPS (Unified Model-Regional Data Assimilation and Prediction System) were utilized. For precipitations, MODIS GPM (Global Precipitation Measurement) 30-min precipitation data were accumulated to produce 24-hr data. Other non-atmospheric data such as MODIS NDVI (Normalized Difference Vegetation Index) were also included into the big data. The input dataset also contained emission data from Sparse Matric Operator Kernel Emissions (SMOKE). Hourly PM</w:t>
      </w:r>
      <w:r w:rsidRPr="00D50CF9">
        <w:rPr>
          <w:szCs w:val="24"/>
          <w:vertAlign w:val="subscript"/>
        </w:rPr>
        <w:t>2.5</w:t>
      </w:r>
      <w:r w:rsidRPr="00D50CF9">
        <w:rPr>
          <w:szCs w:val="24"/>
        </w:rPr>
        <w:t xml:space="preserve"> data collected from the A</w:t>
      </w:r>
      <w:r w:rsidRPr="00D50CF9">
        <w:rPr>
          <w:szCs w:val="24"/>
          <w:lang w:eastAsia="ko-KR"/>
        </w:rPr>
        <w:t>IR</w:t>
      </w:r>
      <w:r w:rsidRPr="00D50CF9">
        <w:rPr>
          <w:szCs w:val="24"/>
        </w:rPr>
        <w:t xml:space="preserve"> K</w:t>
      </w:r>
      <w:r w:rsidRPr="00D50CF9">
        <w:rPr>
          <w:szCs w:val="24"/>
          <w:lang w:eastAsia="ko-KR"/>
        </w:rPr>
        <w:t>OREA</w:t>
      </w:r>
      <w:r w:rsidRPr="00D50CF9">
        <w:rPr>
          <w:szCs w:val="24"/>
        </w:rPr>
        <w:t xml:space="preserve"> network at 13:00 KST (Korean Standard Time) for the period between 2015 and 2016 were also used as target data for RF model training </w:t>
      </w:r>
      <w:r w:rsidRPr="00D50CF9">
        <w:rPr>
          <w:szCs w:val="24"/>
          <w:lang w:eastAsia="ko-KR"/>
        </w:rPr>
        <w:fldChar w:fldCharType="begin"/>
      </w:r>
      <w:r w:rsidR="003232C6" w:rsidRPr="00D50CF9">
        <w:rPr>
          <w:szCs w:val="24"/>
          <w:lang w:eastAsia="ko-KR"/>
        </w:rPr>
        <w:instrText xml:space="preserve"> ADDIN ZOTERO_ITEM CSL_CITATION {"citationID":"fMZd4TZF","properties":{"formattedCitation":"\\super 36\\nosupersub{}","plainCitation":"36","noteIndex":0},"citationItems":[{"id":798,"uris":["http://zotero.org/users/3789855/items/MCK3NIAS"],"itemData":{"id":798,"type":"article-journal","abstract":"&lt;p&gt;&lt;strong class=\"journal-contentHeaderColor\"&gt;Abstract.&lt;/strong&gt; Long-term exposure to particulate matter (PM) with aerodynamic diameters &amp;lt;&amp;thinsp;10 (PM&lt;span class=\"inline-formula\"&gt;&lt;sub&gt;10&lt;/sub&gt;&lt;/span&gt;) and 2.5&amp;thinsp;&lt;span class=\"inline-formula\"&gt;µ&lt;/span&gt;m (PM&lt;span class=\"inline-formula\"&gt;&lt;sub&gt;2.5&lt;/sub&gt;&lt;/span&gt;) has negative effects on human health. Although station-based PM monitoring has been conducted around the world, it is still challenging to provide spatially continuous PM information for vast areas at high spatial resolution. Satellite-derived aerosol information such as aerosol optical depth (AOD) has been frequently used to investigate ground-level PM concentrations. In this study, we combined multiple satellite-derived products including AOD with model-based meteorological parameters (i.e., dew-point temperature, wind speed, surface pressure, planetary boundary layer height, and relative humidity) and emission parameters (i.e., NO, &lt;span class=\"inline-formula\"&gt;NH&lt;sub&gt;3&lt;/sub&gt;&lt;/span&gt;, &lt;span class=\"inline-formula\"&gt;SO&lt;sub&gt;2&lt;/sub&gt;&lt;/span&gt;, primary organic aerosol (POA), and HCHO) to estimate surface PM concentrations over South Korea. Random forest (RF) machine learning was used to estimate both PM&lt;span class=\"inline-formula\"&gt;&lt;sub&gt;10&lt;/sub&gt;&lt;/span&gt; and PM&lt;span class=\"inline-formula\"&gt;&lt;sub&gt;2.5&lt;/sub&gt;&lt;/span&gt; concentrations with a total of 32 parameters for 2015–2016. The results show that the RF-based models produced good performance resulting in &lt;span class=\"inline-formula\"&gt;&lt;i&gt;R&lt;/i&gt;&lt;sup&gt;2&lt;/sup&gt;&lt;/span&gt; values of 0.78 and 0.73 and root mean square errors (RMSEs) of 17.08 and 8.25&amp;thinsp;&lt;span class=\"inline-formula\"&gt;µ&lt;/span&gt;g&amp;thinsp;m&lt;span class=\"inline-formula\"&gt;&lt;sup&gt;−3&lt;/sup&gt;&lt;/span&gt; for PM&lt;span class=\"inline-formula\"&gt;&lt;sub&gt;10&lt;/sub&gt;&lt;/span&gt; and PM&lt;span class=\"inline-formula\"&gt;&lt;sub&gt;2.5&lt;/sub&gt;&lt;/span&gt;, respectively. In particular, the proposed models successfully estimated high PM concentrations. AOD was identified as the most significant for estimating ground-level PM concentrations, followed by wind speed, solar radiation, and dew-point temperature. The use of aerosol information derived from a geostationary satellite sensor (i.e., Geostationary Ocean Color Imager, GOCI) resulted in slightly higher accuracy for estimating PM concentrations than that from a polar-orbiting sensor system (i.e., the Moderate Resolution Imaging Spectroradiometer, MODIS). The proposed RF models yielded better performance than the process-based approaches, particularly in improving on the underestimation of the process-based models (i.e., GEOS-Chem and the Community Multiscale Air Quality Modeling System, CMAQ).&lt;/p&gt;","container-title":"Atmospheric Chemistry and Physics","DOI":"10.5194/acp-19-1097-2019","ISSN":"1680-7316","issue":"2","language":"English","note":"publisher: Copernicus GmbH","page":"1097-1113","source":"acp.copernicus.org","title":"Estimation of ground-level particulate matter concentrations through the synergistic use of satellite observations and process-based models over South Korea","volume":"19","author":[{"family":"Park","given":"Seohui"},{"family":"Shin","given":"Minso"},{"family":"Im","given":"Jungho"},{"family":"Song","given":"Chang-Keun"},{"family":"Choi","given":"Myungje"},{"family":"Kim","given":"Jhoon"},{"family":"Lee","given":"Seungun"},{"family":"Park","given":"Rokjin"},{"family":"Kim","given":"Jiyoung"},{"family":"Lee","given":"Dong-Won"},{"family":"Kim","given":"Sang-Kyun"}],"issued":{"date-parts":[["2019",1,28]]}}}],"schema":"https://github.com/citation-style-language/schema/raw/master/csl-citation.json"} </w:instrText>
      </w:r>
      <w:r w:rsidRPr="00D50CF9">
        <w:rPr>
          <w:szCs w:val="24"/>
          <w:lang w:eastAsia="ko-KR"/>
        </w:rPr>
        <w:fldChar w:fldCharType="separate"/>
      </w:r>
      <w:r w:rsidR="003232C6" w:rsidRPr="00D50CF9">
        <w:rPr>
          <w:szCs w:val="24"/>
          <w:vertAlign w:val="superscript"/>
        </w:rPr>
        <w:t>36</w:t>
      </w:r>
      <w:r w:rsidRPr="00D50CF9">
        <w:rPr>
          <w:szCs w:val="24"/>
          <w:lang w:eastAsia="ko-KR"/>
        </w:rPr>
        <w:fldChar w:fldCharType="end"/>
      </w:r>
      <w:r w:rsidRPr="00D50CF9">
        <w:rPr>
          <w:szCs w:val="24"/>
        </w:rPr>
        <w:t xml:space="preserve">. </w:t>
      </w:r>
    </w:p>
    <w:p w:rsidR="00792DCE" w:rsidRPr="00D50CF9" w:rsidRDefault="00792DCE" w:rsidP="00792DCE">
      <w:pPr>
        <w:ind w:firstLine="800"/>
        <w:jc w:val="both"/>
        <w:rPr>
          <w:szCs w:val="24"/>
        </w:rPr>
      </w:pPr>
      <w:r w:rsidRPr="00D50CF9">
        <w:rPr>
          <w:szCs w:val="24"/>
        </w:rPr>
        <w:t>About 20% of the data were used for hindcast validation. Of the remaining data (80% of dataset), 80% were used for training and 20% were used for test. Due to an imbalanced distribution of PM</w:t>
      </w:r>
      <w:r w:rsidRPr="00D50CF9">
        <w:rPr>
          <w:szCs w:val="24"/>
          <w:vertAlign w:val="subscript"/>
        </w:rPr>
        <w:t>2.5</w:t>
      </w:r>
      <w:r w:rsidRPr="00D50CF9">
        <w:rPr>
          <w:szCs w:val="24"/>
        </w:rPr>
        <w:t>, over-sampling and sub-sampling approaches were used to sample more high PM</w:t>
      </w:r>
      <w:r w:rsidRPr="00D50CF9">
        <w:rPr>
          <w:szCs w:val="24"/>
          <w:vertAlign w:val="subscript"/>
        </w:rPr>
        <w:t>2.5</w:t>
      </w:r>
      <w:r w:rsidRPr="00D50CF9">
        <w:rPr>
          <w:szCs w:val="24"/>
        </w:rPr>
        <w:t xml:space="preserve"> data and to produce a less biased training dataset </w:t>
      </w:r>
      <w:r w:rsidRPr="00D50CF9">
        <w:rPr>
          <w:szCs w:val="24"/>
          <w:lang w:eastAsia="ko-KR"/>
        </w:rPr>
        <w:fldChar w:fldCharType="begin"/>
      </w:r>
      <w:r w:rsidR="003232C6" w:rsidRPr="00D50CF9">
        <w:rPr>
          <w:szCs w:val="24"/>
          <w:lang w:eastAsia="ko-KR"/>
        </w:rPr>
        <w:instrText xml:space="preserve"> ADDIN ZOTERO_ITEM CSL_CITATION {"citationID":"MpIewlMi","properties":{"formattedCitation":"\\super 36\\nosupersub{}","plainCitation":"36","noteIndex":0},"citationItems":[{"id":798,"uris":["http://zotero.org/users/3789855/items/MCK3NIAS"],"itemData":{"id":798,"type":"article-journal","abstract":"&lt;p&gt;&lt;strong class=\"journal-contentHeaderColor\"&gt;Abstract.&lt;/strong&gt; Long-term exposure to particulate matter (PM) with aerodynamic diameters &amp;lt;&amp;thinsp;10 (PM&lt;span class=\"inline-formula\"&gt;&lt;sub&gt;10&lt;/sub&gt;&lt;/span&gt;) and 2.5&amp;thinsp;&lt;span class=\"inline-formula\"&gt;µ&lt;/span&gt;m (PM&lt;span class=\"inline-formula\"&gt;&lt;sub&gt;2.5&lt;/sub&gt;&lt;/span&gt;) has negative effects on human health. Although station-based PM monitoring has been conducted around the world, it is still challenging to provide spatially continuous PM information for vast areas at high spatial resolution. Satellite-derived aerosol information such as aerosol optical depth (AOD) has been frequently used to investigate ground-level PM concentrations. In this study, we combined multiple satellite-derived products including AOD with model-based meteorological parameters (i.e., dew-point temperature, wind speed, surface pressure, planetary boundary layer height, and relative humidity) and emission parameters (i.e., NO, &lt;span class=\"inline-formula\"&gt;NH&lt;sub&gt;3&lt;/sub&gt;&lt;/span&gt;, &lt;span class=\"inline-formula\"&gt;SO&lt;sub&gt;2&lt;/sub&gt;&lt;/span&gt;, primary organic aerosol (POA), and HCHO) to estimate surface PM concentrations over South Korea. Random forest (RF) machine learning was used to estimate both PM&lt;span class=\"inline-formula\"&gt;&lt;sub&gt;10&lt;/sub&gt;&lt;/span&gt; and PM&lt;span class=\"inline-formula\"&gt;&lt;sub&gt;2.5&lt;/sub&gt;&lt;/span&gt; concentrations with a total of 32 parameters for 2015–2016. The results show that the RF-based models produced good performance resulting in &lt;span class=\"inline-formula\"&gt;&lt;i&gt;R&lt;/i&gt;&lt;sup&gt;2&lt;/sup&gt;&lt;/span&gt; values of 0.78 and 0.73 and root mean square errors (RMSEs) of 17.08 and 8.25&amp;thinsp;&lt;span class=\"inline-formula\"&gt;µ&lt;/span&gt;g&amp;thinsp;m&lt;span class=\"inline-formula\"&gt;&lt;sup&gt;−3&lt;/sup&gt;&lt;/span&gt; for PM&lt;span class=\"inline-formula\"&gt;&lt;sub&gt;10&lt;/sub&gt;&lt;/span&gt; and PM&lt;span class=\"inline-formula\"&gt;&lt;sub&gt;2.5&lt;/sub&gt;&lt;/span&gt;, respectively. In particular, the proposed models successfully estimated high PM concentrations. AOD was identified as the most significant for estimating ground-level PM concentrations, followed by wind speed, solar radiation, and dew-point temperature. The use of aerosol information derived from a geostationary satellite sensor (i.e., Geostationary Ocean Color Imager, GOCI) resulted in slightly higher accuracy for estimating PM concentrations than that from a polar-orbiting sensor system (i.e., the Moderate Resolution Imaging Spectroradiometer, MODIS). The proposed RF models yielded better performance than the process-based approaches, particularly in improving on the underestimation of the process-based models (i.e., GEOS-Chem and the Community Multiscale Air Quality Modeling System, CMAQ).&lt;/p&gt;","container-title":"Atmospheric Chemistry and Physics","DOI":"10.5194/acp-19-1097-2019","ISSN":"1680-7316","issue":"2","language":"English","note":"publisher: Copernicus GmbH","page":"1097-1113","source":"acp.copernicus.org","title":"Estimation of ground-level particulate matter concentrations through the synergistic use of satellite observations and process-based models over South Korea","volume":"19","author":[{"family":"Park","given":"Seohui"},{"family":"Shin","given":"Minso"},{"family":"Im","given":"Jungho"},{"family":"Song","given":"Chang-Keun"},{"family":"Choi","given":"Myungje"},{"family":"Kim","given":"Jhoon"},{"family":"Lee","given":"Seungun"},{"family":"Park","given":"Rokjin"},{"family":"Kim","given":"Jiyoung"},{"family":"Lee","given":"Dong-Won"},{"family":"Kim","given":"Sang-Kyun"}],"issued":{"date-parts":[["2019",1,28]]}}}],"schema":"https://github.com/citation-style-language/schema/raw/master/csl-citation.json"} </w:instrText>
      </w:r>
      <w:r w:rsidRPr="00D50CF9">
        <w:rPr>
          <w:szCs w:val="24"/>
          <w:lang w:eastAsia="ko-KR"/>
        </w:rPr>
        <w:fldChar w:fldCharType="separate"/>
      </w:r>
      <w:r w:rsidR="003232C6" w:rsidRPr="00D50CF9">
        <w:rPr>
          <w:szCs w:val="24"/>
          <w:vertAlign w:val="superscript"/>
        </w:rPr>
        <w:t>36</w:t>
      </w:r>
      <w:r w:rsidRPr="00D50CF9">
        <w:rPr>
          <w:szCs w:val="24"/>
          <w:lang w:eastAsia="ko-KR"/>
        </w:rPr>
        <w:fldChar w:fldCharType="end"/>
      </w:r>
      <w:r w:rsidRPr="00D50CF9">
        <w:rPr>
          <w:szCs w:val="24"/>
        </w:rPr>
        <w:t>. The RF model trained with balanced training samples showed improvements in comparison with the original training samples, with R</w:t>
      </w:r>
      <w:r w:rsidRPr="00D50CF9">
        <w:rPr>
          <w:szCs w:val="24"/>
          <w:vertAlign w:val="superscript"/>
        </w:rPr>
        <w:t>2</w:t>
      </w:r>
      <w:r w:rsidRPr="00D50CF9">
        <w:rPr>
          <w:szCs w:val="24"/>
        </w:rPr>
        <w:t xml:space="preserve"> for PM</w:t>
      </w:r>
      <w:r w:rsidRPr="00D50CF9">
        <w:rPr>
          <w:szCs w:val="24"/>
          <w:vertAlign w:val="subscript"/>
        </w:rPr>
        <w:t>2.5</w:t>
      </w:r>
      <w:r w:rsidRPr="00D50CF9">
        <w:rPr>
          <w:szCs w:val="24"/>
        </w:rPr>
        <w:t xml:space="preserve"> increased from 0.59 to 0.73 and with RMSE decreased from 10.53</w:t>
      </w:r>
      <w:r w:rsidRPr="00D50CF9">
        <w:rPr>
          <w:rFonts w:eastAsia="맑은 고딕"/>
          <w:szCs w:val="24"/>
        </w:rPr>
        <w:t xml:space="preserve"> </w:t>
      </w:r>
      <w:r w:rsidRPr="00D50CF9">
        <w:rPr>
          <w:rFonts w:eastAsia="맑은 고딕"/>
          <w:i/>
          <w:szCs w:val="24"/>
        </w:rPr>
        <w:t>μ</w:t>
      </w:r>
      <w:r w:rsidRPr="00D50CF9">
        <w:rPr>
          <w:rFonts w:eastAsia="맑은 고딕"/>
          <w:szCs w:val="24"/>
        </w:rPr>
        <w:t>g/m</w:t>
      </w:r>
      <w:r w:rsidRPr="00D50CF9">
        <w:rPr>
          <w:rFonts w:eastAsia="맑은 고딕"/>
          <w:szCs w:val="24"/>
          <w:vertAlign w:val="superscript"/>
        </w:rPr>
        <w:t>3</w:t>
      </w:r>
      <w:r w:rsidRPr="00D50CF9">
        <w:rPr>
          <w:szCs w:val="24"/>
        </w:rPr>
        <w:t xml:space="preserve"> to 8.25 </w:t>
      </w:r>
      <w:r w:rsidRPr="00D50CF9">
        <w:rPr>
          <w:rFonts w:eastAsia="맑은 고딕"/>
          <w:i/>
          <w:szCs w:val="24"/>
        </w:rPr>
        <w:t>μ</w:t>
      </w:r>
      <w:r w:rsidRPr="00D50CF9">
        <w:rPr>
          <w:rFonts w:eastAsia="맑은 고딕"/>
          <w:szCs w:val="24"/>
        </w:rPr>
        <w:t>g/m</w:t>
      </w:r>
      <w:r w:rsidRPr="00D50CF9">
        <w:rPr>
          <w:rFonts w:eastAsia="맑은 고딕"/>
          <w:szCs w:val="24"/>
          <w:vertAlign w:val="superscript"/>
        </w:rPr>
        <w:t>3</w:t>
      </w:r>
      <w:r w:rsidRPr="00D50CF9">
        <w:rPr>
          <w:rFonts w:eastAsia="맑은 고딕"/>
          <w:szCs w:val="24"/>
        </w:rPr>
        <w:t xml:space="preserve"> </w:t>
      </w:r>
      <w:r w:rsidRPr="00D50CF9">
        <w:rPr>
          <w:szCs w:val="24"/>
          <w:lang w:eastAsia="ko-KR"/>
        </w:rPr>
        <w:fldChar w:fldCharType="begin"/>
      </w:r>
      <w:r w:rsidR="003232C6" w:rsidRPr="00D50CF9">
        <w:rPr>
          <w:szCs w:val="24"/>
          <w:lang w:eastAsia="ko-KR"/>
        </w:rPr>
        <w:instrText xml:space="preserve"> ADDIN ZOTERO_ITEM CSL_CITATION {"citationID":"dFgZwB38","properties":{"formattedCitation":"\\super 36\\nosupersub{}","plainCitation":"36","noteIndex":0},"citationItems":[{"id":798,"uris":["http://zotero.org/users/3789855/items/MCK3NIAS"],"itemData":{"id":798,"type":"article-journal","abstract":"&lt;p&gt;&lt;strong class=\"journal-contentHeaderColor\"&gt;Abstract.&lt;/strong&gt; Long-term exposure to particulate matter (PM) with aerodynamic diameters &amp;lt;&amp;thinsp;10 (PM&lt;span class=\"inline-formula\"&gt;&lt;sub&gt;10&lt;/sub&gt;&lt;/span&gt;) and 2.5&amp;thinsp;&lt;span class=\"inline-formula\"&gt;µ&lt;/span&gt;m (PM&lt;span class=\"inline-formula\"&gt;&lt;sub&gt;2.5&lt;/sub&gt;&lt;/span&gt;) has negative effects on human health. Although station-based PM monitoring has been conducted around the world, it is still challenging to provide spatially continuous PM information for vast areas at high spatial resolution. Satellite-derived aerosol information such as aerosol optical depth (AOD) has been frequently used to investigate ground-level PM concentrations. In this study, we combined multiple satellite-derived products including AOD with model-based meteorological parameters (i.e., dew-point temperature, wind speed, surface pressure, planetary boundary layer height, and relative humidity) and emission parameters (i.e., NO, &lt;span class=\"inline-formula\"&gt;NH&lt;sub&gt;3&lt;/sub&gt;&lt;/span&gt;, &lt;span class=\"inline-formula\"&gt;SO&lt;sub&gt;2&lt;/sub&gt;&lt;/span&gt;, primary organic aerosol (POA), and HCHO) to estimate surface PM concentrations over South Korea. Random forest (RF) machine learning was used to estimate both PM&lt;span class=\"inline-formula\"&gt;&lt;sub&gt;10&lt;/sub&gt;&lt;/span&gt; and PM&lt;span class=\"inline-formula\"&gt;&lt;sub&gt;2.5&lt;/sub&gt;&lt;/span&gt; concentrations with a total of 32 parameters for 2015–2016. The results show that the RF-based models produced good performance resulting in &lt;span class=\"inline-formula\"&gt;&lt;i&gt;R&lt;/i&gt;&lt;sup&gt;2&lt;/sup&gt;&lt;/span&gt; values of 0.78 and 0.73 and root mean square errors (RMSEs) of 17.08 and 8.25&amp;thinsp;&lt;span class=\"inline-formula\"&gt;µ&lt;/span&gt;g&amp;thinsp;m&lt;span class=\"inline-formula\"&gt;&lt;sup&gt;−3&lt;/sup&gt;&lt;/span&gt; for PM&lt;span class=\"inline-formula\"&gt;&lt;sub&gt;10&lt;/sub&gt;&lt;/span&gt; and PM&lt;span class=\"inline-formula\"&gt;&lt;sub&gt;2.5&lt;/sub&gt;&lt;/span&gt;, respectively. In particular, the proposed models successfully estimated high PM concentrations. AOD was identified as the most significant for estimating ground-level PM concentrations, followed by wind speed, solar radiation, and dew-point temperature. The use of aerosol information derived from a geostationary satellite sensor (i.e., Geostationary Ocean Color Imager, GOCI) resulted in slightly higher accuracy for estimating PM concentrations than that from a polar-orbiting sensor system (i.e., the Moderate Resolution Imaging Spectroradiometer, MODIS). The proposed RF models yielded better performance than the process-based approaches, particularly in improving on the underestimation of the process-based models (i.e., GEOS-Chem and the Community Multiscale Air Quality Modeling System, CMAQ).&lt;/p&gt;","container-title":"Atmospheric Chemistry and Physics","DOI":"10.5194/acp-19-1097-2019","ISSN":"1680-7316","issue":"2","language":"English","note":"publisher: Copernicus GmbH","page":"1097-1113","source":"acp.copernicus.org","title":"Estimation of ground-level particulate matter concentrations through the synergistic use of satellite observations and process-based models over South Korea","volume":"19","author":[{"family":"Park","given":"Seohui"},{"family":"Shin","given":"Minso"},{"family":"Im","given":"Jungho"},{"family":"Song","given":"Chang-Keun"},{"family":"Choi","given":"Myungje"},{"family":"Kim","given":"Jhoon"},{"family":"Lee","given":"Seungun"},{"family":"Park","given":"Rokjin"},{"family":"Kim","given":"Jiyoung"},{"family":"Lee","given":"Dong-Won"},{"family":"Kim","given":"Sang-Kyun"}],"issued":{"date-parts":[["2019",1,28]]}}}],"schema":"https://github.com/citation-style-language/schema/raw/master/csl-citation.json"} </w:instrText>
      </w:r>
      <w:r w:rsidRPr="00D50CF9">
        <w:rPr>
          <w:szCs w:val="24"/>
          <w:lang w:eastAsia="ko-KR"/>
        </w:rPr>
        <w:fldChar w:fldCharType="separate"/>
      </w:r>
      <w:r w:rsidR="003232C6" w:rsidRPr="00D50CF9">
        <w:rPr>
          <w:szCs w:val="24"/>
          <w:vertAlign w:val="superscript"/>
        </w:rPr>
        <w:t>36</w:t>
      </w:r>
      <w:r w:rsidRPr="00D50CF9">
        <w:rPr>
          <w:szCs w:val="24"/>
          <w:lang w:eastAsia="ko-KR"/>
        </w:rPr>
        <w:fldChar w:fldCharType="end"/>
      </w:r>
      <w:r w:rsidRPr="00D50CF9">
        <w:rPr>
          <w:rFonts w:eastAsia="맑은 고딕"/>
          <w:szCs w:val="24"/>
        </w:rPr>
        <w:t xml:space="preserve">. These statistics agreed well with values from other studies </w:t>
      </w:r>
      <w:r w:rsidRPr="00D50CF9">
        <w:rPr>
          <w:rFonts w:eastAsia="맑은 고딕"/>
          <w:szCs w:val="24"/>
        </w:rPr>
        <w:fldChar w:fldCharType="begin"/>
      </w:r>
      <w:r w:rsidR="003232C6" w:rsidRPr="00D50CF9">
        <w:rPr>
          <w:rFonts w:eastAsia="맑은 고딕"/>
          <w:szCs w:val="24"/>
        </w:rPr>
        <w:instrText xml:space="preserve"> ADDIN ZOTERO_ITEM CSL_CITATION {"citationID":"uKaczfaM","properties":{"formattedCitation":"\\super 32,33\\nosupersub{}","plainCitation":"32,33","noteIndex":0},"citationItems":[{"id":993,"uris":["http://zotero.org/users/3789855/items/VMV6LDBE"],"itemData":{"id":993,"type":"article-journal","abstract":"BACKGROUND: Machine learning algorithms have very high predictive ability. However, no study has used machine learning to estimate historical concentrations of PM2.5 (particulate matter with aerodynamic diameter ≤ 2.5 μm) at daily time scale in China at a national level.\nOBJECTIVES: To estimate daily concentrations of PM2.5 across China during 2005-2016.\nMETHODS: Daily ground-level PM2.5 data were obtained from 1479 stations across China during 2014-2016. Data on aerosol optical depth (AOD), meteorological conditions and other predictors were downloaded. A random forests model (non-parametric machine learning algorithms) and two traditional regression models were developed to estimate ground-level PM2.5 concentrations. The best-fit model was then utilized to estimate the daily concentrations of PM2.5 across China with a resolution of 0.1° (≈10 km) during 2005-2016.\nRESULTS: The daily random forests model showed much higher predictive accuracy than the other two traditional regression models, explaining the majority of spatial variability in daily PM2.5 [10-fold cross-validation (CV) R2 = 83%, root mean squared prediction error (RMSE) = 28.1 μg/m3]. At the monthly and annual time-scale, the explained variability of average PM2.5 increased up to 86% (RMSE = 10.7 μg/m3 and 6.9 μg/m3, respectively).\nCONCLUSIONS: Taking advantage of a novel application of modeling framework and the most recent ground-level PM2.5 observations, the machine learning method showed higher predictive ability than previous studies.\nCAPSULE: Random forests approach can be used to estimate historical exposure to PM2.5 in China with high accuracy.","container-title":"The Science of the Total Environment","DOI":"10.1016/j.scitotenv.2018.04.251","ISSN":"1879-1026","journalAbbreviation":"Sci Total Environ","language":"eng","note":"PMID: 29702402","page":"52-60","source":"PubMed","title":"A machine learning method to estimate PM2.5 concentrations across China with remote sensing, meteorological and land use information","volume":"636","author":[{"family":"Chen","given":"Gongbo"},{"family":"Li","given":"Shanshan"},{"family":"Knibbs","given":"Luke D."},{"family":"Hamm","given":"N. a. S."},{"family":"Cao","given":"Wei"},{"family":"Li","given":"Tiantian"},{"family":"Guo","given":"Jianping"},{"family":"Ren","given":"Hongyan"},{"family":"Abramson","given":"Michael J."},{"family":"Guo","given":"Yuming"}],"issued":{"date-parts":[["2018",9,15]]}}},{"id":996,"uris":["http://zotero.org/users/3789855/items/9UPW6444"],"itemData":{"id":996,"type":"article-journal","abstract":"To estimate PM2.5 concentrations, many parametric regression models have been developed, while nonparametric machine learning algorithms are used less often and national-scale models are rare. In this paper, we develop a random forest model incorporating aerosol optical depth (AOD) data, meteorological fields, and land use variables to estimate daily 24 h averaged ground-level PM2.5 concentrations over the conterminous United States in 2011. Random forests are an ensemble learning method that provides predictions with high accuracy and interpretability. Our results achieve an overall cross-validation (CV) R2 value of 0.80. Mean prediction error (MPE) and root mean squared prediction error (RMSPE) for daily predictions are 1.78 and 2.83 μg/m3, respectively, indicating a good agreement between CV predictions and observations. The prediction accuracy of our model is similar to those reported in previous studies using neural networks or regression models on both national and regional scales. In addition, the incorporation of convolutional layers for land use terms and nearby PM2.5 measurements increase CV R2 by </w:instrText>
      </w:r>
      <w:r w:rsidR="003232C6" w:rsidRPr="00D50CF9">
        <w:rPr>
          <w:rFonts w:ascii="바탕" w:eastAsia="바탕" w:hAnsi="바탕" w:cs="바탕" w:hint="eastAsia"/>
          <w:szCs w:val="24"/>
        </w:rPr>
        <w:instrText>∼</w:instrText>
      </w:r>
      <w:r w:rsidR="003232C6" w:rsidRPr="00D50CF9">
        <w:rPr>
          <w:rFonts w:eastAsia="맑은 고딕"/>
          <w:szCs w:val="24"/>
        </w:rPr>
        <w:instrText xml:space="preserve">0.02 and </w:instrText>
      </w:r>
      <w:r w:rsidR="003232C6" w:rsidRPr="00D50CF9">
        <w:rPr>
          <w:rFonts w:ascii="바탕" w:eastAsia="바탕" w:hAnsi="바탕" w:cs="바탕" w:hint="eastAsia"/>
          <w:szCs w:val="24"/>
        </w:rPr>
        <w:instrText>∼</w:instrText>
      </w:r>
      <w:r w:rsidR="003232C6" w:rsidRPr="00D50CF9">
        <w:rPr>
          <w:rFonts w:eastAsia="맑은 고딕"/>
          <w:szCs w:val="24"/>
        </w:rPr>
        <w:instrText xml:space="preserve">0.06, respectively, indicating their significant contributions to prediction accuracy. A pair of different variable importance measures both indicate that the convolutional layer for nearby PM2.5 measurements and AOD values are among the most-important predictor variables for the training process.","container-title":"Environmental Science &amp; Technology","DOI":"10.1021/acs.est.7b01210","ISSN":"0013-936X","issue":"12","journalAbbreviation":"Environ. Sci. Technol.","note":"publisher: American Chemical Society","page":"6936-6944","source":"ACS Publications","title":"Estimating PM2.5 Concentrations in the Conterminous United States Using the Random Forest Approach","volume":"51","author":[{"family":"Hu","given":"Xuefei"},{"family":"Belle","given":"Jessica H."},{"family":"Meng","given":"Xia"},{"family":"Wildani","given":"Avani"},{"family":"Waller","given":"Lance A."},{"family":"Strickland","given":"Matthew J."},{"family":"Liu","given":"Yang"}],"issued":{"date-parts":[["2017",6,20]]}}}],"schema":"https://github.com/citation-style-language/schema/raw/master/csl-citation.json"} </w:instrText>
      </w:r>
      <w:r w:rsidRPr="00D50CF9">
        <w:rPr>
          <w:rFonts w:eastAsia="맑은 고딕"/>
          <w:szCs w:val="24"/>
        </w:rPr>
        <w:fldChar w:fldCharType="separate"/>
      </w:r>
      <w:r w:rsidR="003232C6" w:rsidRPr="00D50CF9">
        <w:rPr>
          <w:szCs w:val="24"/>
          <w:vertAlign w:val="superscript"/>
        </w:rPr>
        <w:t>32,33</w:t>
      </w:r>
      <w:r w:rsidRPr="00D50CF9">
        <w:rPr>
          <w:rFonts w:eastAsia="맑은 고딕"/>
          <w:szCs w:val="24"/>
        </w:rPr>
        <w:fldChar w:fldCharType="end"/>
      </w:r>
      <w:r w:rsidRPr="00D50CF9">
        <w:rPr>
          <w:rFonts w:eastAsia="맑은 고딕"/>
          <w:szCs w:val="24"/>
        </w:rPr>
        <w:t xml:space="preserve">. </w:t>
      </w:r>
    </w:p>
    <w:p w:rsidR="00792DCE" w:rsidRPr="00D50CF9" w:rsidRDefault="00792DCE" w:rsidP="00792DCE">
      <w:pPr>
        <w:ind w:firstLine="800"/>
        <w:jc w:val="both"/>
        <w:rPr>
          <w:szCs w:val="24"/>
        </w:rPr>
      </w:pPr>
      <w:r w:rsidRPr="00D50CF9">
        <w:rPr>
          <w:szCs w:val="24"/>
        </w:rPr>
        <w:t>We have discussed four different types of observation data: ground PM</w:t>
      </w:r>
      <w:r w:rsidRPr="00D50CF9">
        <w:rPr>
          <w:szCs w:val="24"/>
          <w:vertAlign w:val="subscript"/>
        </w:rPr>
        <w:t>2.5</w:t>
      </w:r>
      <w:r w:rsidRPr="00D50CF9">
        <w:rPr>
          <w:szCs w:val="24"/>
        </w:rPr>
        <w:t>, MODIS AOD, GOCI AOD, and RF-converted PM</w:t>
      </w:r>
      <w:r w:rsidRPr="00D50CF9">
        <w:rPr>
          <w:szCs w:val="24"/>
          <w:vertAlign w:val="subscript"/>
        </w:rPr>
        <w:t>2.5</w:t>
      </w:r>
      <w:r w:rsidRPr="00D50CF9">
        <w:rPr>
          <w:szCs w:val="24"/>
        </w:rPr>
        <w:t xml:space="preserve">. All these observations are necessary for the application to data assimilation. To use observation data in the data assimilation, we also need to evaluate observation errors for these four different types of observation data. </w:t>
      </w:r>
      <w:r w:rsidR="00B9303D" w:rsidRPr="00D50CF9">
        <w:rPr>
          <w:szCs w:val="24"/>
        </w:rPr>
        <w:t xml:space="preserve">Supplementary </w:t>
      </w:r>
      <w:r w:rsidRPr="00D50CF9">
        <w:rPr>
          <w:szCs w:val="24"/>
        </w:rPr>
        <w:t xml:space="preserve">Table 4 is a collection of error analysis of these four different types of observation data. In case of satellite data such as MODIS and GOCI AOD, errors were analyzed over the land and the ocean separately. Based on the formulae shown in </w:t>
      </w:r>
      <w:r w:rsidR="00B9303D" w:rsidRPr="00D50CF9">
        <w:rPr>
          <w:szCs w:val="24"/>
        </w:rPr>
        <w:t xml:space="preserve">Supplementary </w:t>
      </w:r>
      <w:r w:rsidRPr="00D50CF9">
        <w:rPr>
          <w:szCs w:val="24"/>
        </w:rPr>
        <w:t xml:space="preserve">Table 4, relative standard deviations (RSDs) of errors for the four different types of observational data were estimated. </w:t>
      </w:r>
      <w:r w:rsidR="003E5685" w:rsidRPr="00D50CF9">
        <w:rPr>
          <w:szCs w:val="24"/>
        </w:rPr>
        <w:t xml:space="preserve">Supplementary </w:t>
      </w:r>
      <w:r w:rsidRPr="00D50CF9">
        <w:rPr>
          <w:szCs w:val="24"/>
        </w:rPr>
        <w:t xml:space="preserve">Fig. 8 presents ranges of RSDs of errors for the four different types of observations during the period of the KORUS-AQ campaign. As shown in </w:t>
      </w:r>
      <w:r w:rsidR="003E5685" w:rsidRPr="00D50CF9">
        <w:rPr>
          <w:szCs w:val="24"/>
        </w:rPr>
        <w:t xml:space="preserve">Supplementary </w:t>
      </w:r>
      <w:r w:rsidRPr="00D50CF9">
        <w:rPr>
          <w:szCs w:val="24"/>
        </w:rPr>
        <w:t>Fig. 8, ground PM</w:t>
      </w:r>
      <w:r w:rsidRPr="00D50CF9">
        <w:rPr>
          <w:szCs w:val="24"/>
          <w:vertAlign w:val="subscript"/>
        </w:rPr>
        <w:t>2.5</w:t>
      </w:r>
      <w:r w:rsidRPr="00D50CF9">
        <w:rPr>
          <w:szCs w:val="24"/>
        </w:rPr>
        <w:t xml:space="preserve"> observations had the smallest errors. As already discussed in the main text, the range of errors for RF-converted PM</w:t>
      </w:r>
      <w:r w:rsidRPr="00D50CF9">
        <w:rPr>
          <w:szCs w:val="24"/>
          <w:vertAlign w:val="subscript"/>
        </w:rPr>
        <w:t>2.5</w:t>
      </w:r>
      <w:r w:rsidRPr="00D50CF9">
        <w:rPr>
          <w:szCs w:val="24"/>
        </w:rPr>
        <w:t xml:space="preserve"> was smaller than that of MODIS AOD.   </w:t>
      </w:r>
    </w:p>
    <w:p w:rsidR="00792DCE" w:rsidRPr="00D50CF9" w:rsidRDefault="00792DCE" w:rsidP="00792DCE">
      <w:pPr>
        <w:rPr>
          <w:szCs w:val="24"/>
        </w:rPr>
      </w:pPr>
    </w:p>
    <w:p w:rsidR="00792DCE" w:rsidRPr="00D50CF9" w:rsidRDefault="00792DCE" w:rsidP="00792DCE">
      <w:pPr>
        <w:pStyle w:val="SMHeading"/>
        <w:rPr>
          <w:lang w:eastAsia="ko-KR"/>
        </w:rPr>
      </w:pPr>
      <w:r w:rsidRPr="00D50CF9">
        <w:t>S</w:t>
      </w:r>
      <w:r w:rsidRPr="00D50CF9">
        <w:rPr>
          <w:lang w:eastAsia="ko-KR"/>
        </w:rPr>
        <w:t>ection</w:t>
      </w:r>
      <w:r w:rsidRPr="00D50CF9">
        <w:t xml:space="preserve"> </w:t>
      </w:r>
      <w:r w:rsidRPr="00D50CF9">
        <w:rPr>
          <w:lang w:eastAsia="ko-KR"/>
        </w:rPr>
        <w:t>8. PM</w:t>
      </w:r>
      <w:r w:rsidRPr="00D50CF9">
        <w:rPr>
          <w:vertAlign w:val="subscript"/>
          <w:lang w:eastAsia="ko-KR"/>
        </w:rPr>
        <w:t>10</w:t>
      </w:r>
      <w:r w:rsidRPr="00D50CF9">
        <w:rPr>
          <w:lang w:eastAsia="ko-KR"/>
        </w:rPr>
        <w:t xml:space="preserve"> predictions</w:t>
      </w:r>
    </w:p>
    <w:p w:rsidR="00792DCE" w:rsidRPr="00D50CF9" w:rsidRDefault="00792DCE" w:rsidP="00792DCE">
      <w:pPr>
        <w:ind w:firstLine="720"/>
        <w:jc w:val="both"/>
        <w:rPr>
          <w:szCs w:val="24"/>
        </w:rPr>
      </w:pPr>
      <w:r w:rsidRPr="00D50CF9">
        <w:rPr>
          <w:szCs w:val="24"/>
        </w:rPr>
        <w:t>The main reason we used 3</w:t>
      </w:r>
      <w:r w:rsidRPr="00D50CF9">
        <w:rPr>
          <w:szCs w:val="24"/>
          <w:lang w:eastAsia="ko-KR"/>
        </w:rPr>
        <w:t>-</w:t>
      </w:r>
      <w:r w:rsidRPr="00D50CF9">
        <w:rPr>
          <w:szCs w:val="24"/>
        </w:rPr>
        <w:t>D VAR technique in this study was that we completed the development of both BEC (background error covariance) and OEC (observation error covariance) matrices for all six Korean criteria air pollutants (PM</w:t>
      </w:r>
      <w:r w:rsidRPr="00D50CF9">
        <w:rPr>
          <w:szCs w:val="24"/>
          <w:vertAlign w:val="subscript"/>
        </w:rPr>
        <w:t>2.5</w:t>
      </w:r>
      <w:r w:rsidRPr="00D50CF9">
        <w:rPr>
          <w:szCs w:val="24"/>
        </w:rPr>
        <w:t>, PM</w:t>
      </w:r>
      <w:r w:rsidRPr="00D50CF9">
        <w:rPr>
          <w:szCs w:val="24"/>
          <w:vertAlign w:val="subscript"/>
        </w:rPr>
        <w:t>10</w:t>
      </w:r>
      <w:r w:rsidRPr="00D50CF9">
        <w:rPr>
          <w:szCs w:val="24"/>
        </w:rPr>
        <w:t>, ozone, NO</w:t>
      </w:r>
      <w:r w:rsidRPr="00D50CF9">
        <w:rPr>
          <w:szCs w:val="24"/>
          <w:vertAlign w:val="subscript"/>
        </w:rPr>
        <w:t>2</w:t>
      </w:r>
      <w:r w:rsidRPr="00D50CF9">
        <w:rPr>
          <w:szCs w:val="24"/>
        </w:rPr>
        <w:t>, SO</w:t>
      </w:r>
      <w:r w:rsidRPr="00D50CF9">
        <w:rPr>
          <w:szCs w:val="24"/>
          <w:vertAlign w:val="subscript"/>
        </w:rPr>
        <w:t>2</w:t>
      </w:r>
      <w:r w:rsidRPr="00D50CF9">
        <w:rPr>
          <w:szCs w:val="24"/>
        </w:rPr>
        <w:t xml:space="preserve">, and CO). </w:t>
      </w:r>
      <w:r w:rsidRPr="00D50CF9">
        <w:rPr>
          <w:color w:val="000000" w:themeColor="text1"/>
          <w:szCs w:val="24"/>
        </w:rPr>
        <w:t>We already discussed the construction of these OEC matrices for PM</w:t>
      </w:r>
      <w:r w:rsidRPr="00D50CF9">
        <w:rPr>
          <w:color w:val="000000" w:themeColor="text1"/>
          <w:szCs w:val="24"/>
          <w:vertAlign w:val="subscript"/>
        </w:rPr>
        <w:t>2.5</w:t>
      </w:r>
      <w:r w:rsidRPr="00D50CF9">
        <w:rPr>
          <w:color w:val="000000" w:themeColor="text1"/>
          <w:szCs w:val="24"/>
        </w:rPr>
        <w:t xml:space="preserve"> observations in </w:t>
      </w:r>
      <w:r w:rsidR="00A62579">
        <w:rPr>
          <w:szCs w:val="24"/>
        </w:rPr>
        <w:t>Supplementary</w:t>
      </w:r>
      <w:r w:rsidR="00A62579" w:rsidRPr="00D50CF9">
        <w:rPr>
          <w:color w:val="000000" w:themeColor="text1"/>
          <w:szCs w:val="24"/>
        </w:rPr>
        <w:t xml:space="preserve"> </w:t>
      </w:r>
      <w:r w:rsidRPr="00D50CF9">
        <w:rPr>
          <w:color w:val="000000" w:themeColor="text1"/>
          <w:szCs w:val="24"/>
        </w:rPr>
        <w:t>Section 7</w:t>
      </w:r>
      <w:r w:rsidRPr="00D50CF9">
        <w:rPr>
          <w:szCs w:val="24"/>
        </w:rPr>
        <w:t>. We applied all these matrices to the 3</w:t>
      </w:r>
      <w:r w:rsidRPr="00D50CF9">
        <w:rPr>
          <w:szCs w:val="24"/>
          <w:lang w:eastAsia="ko-KR"/>
        </w:rPr>
        <w:t>-</w:t>
      </w:r>
      <w:r w:rsidRPr="00D50CF9">
        <w:rPr>
          <w:szCs w:val="24"/>
        </w:rPr>
        <w:t>D VAR framework. This meant that although we focused on the predictability of PM</w:t>
      </w:r>
      <w:r w:rsidRPr="00D50CF9">
        <w:rPr>
          <w:szCs w:val="24"/>
          <w:vertAlign w:val="subscript"/>
        </w:rPr>
        <w:t xml:space="preserve">2.5 </w:t>
      </w:r>
      <w:r w:rsidRPr="00D50CF9">
        <w:rPr>
          <w:szCs w:val="24"/>
        </w:rPr>
        <w:t xml:space="preserve">in this study, </w:t>
      </w:r>
      <w:r w:rsidRPr="00D50CF9">
        <w:rPr>
          <w:szCs w:val="24"/>
        </w:rPr>
        <w:lastRenderedPageBreak/>
        <w:t>the predictability of PM</w:t>
      </w:r>
      <w:r w:rsidRPr="00D50CF9">
        <w:rPr>
          <w:szCs w:val="24"/>
          <w:vertAlign w:val="subscript"/>
        </w:rPr>
        <w:t>10</w:t>
      </w:r>
      <w:r w:rsidRPr="00D50CF9">
        <w:rPr>
          <w:szCs w:val="24"/>
        </w:rPr>
        <w:t xml:space="preserve"> (and ozone) could also be enhanced due to these updated initial states. </w:t>
      </w:r>
      <w:r w:rsidR="0094629B" w:rsidRPr="00D50CF9">
        <w:rPr>
          <w:szCs w:val="24"/>
        </w:rPr>
        <w:t xml:space="preserve">Supplementary </w:t>
      </w:r>
      <w:r w:rsidRPr="00D50CF9">
        <w:rPr>
          <w:szCs w:val="24"/>
        </w:rPr>
        <w:t>Fig. 2 shows an example of enhanced predictability of PM</w:t>
      </w:r>
      <w:r w:rsidRPr="00D50CF9">
        <w:rPr>
          <w:szCs w:val="24"/>
          <w:vertAlign w:val="subscript"/>
        </w:rPr>
        <w:t>10</w:t>
      </w:r>
      <w:r w:rsidRPr="00D50CF9">
        <w:rPr>
          <w:szCs w:val="24"/>
        </w:rPr>
        <w:t xml:space="preserve">. </w:t>
      </w:r>
    </w:p>
    <w:p w:rsidR="00792DCE" w:rsidRPr="00D50CF9" w:rsidRDefault="00792DCE" w:rsidP="00792DCE">
      <w:pPr>
        <w:ind w:firstLine="800"/>
        <w:jc w:val="both"/>
        <w:rPr>
          <w:szCs w:val="24"/>
        </w:rPr>
      </w:pPr>
      <w:r w:rsidRPr="00D50CF9">
        <w:rPr>
          <w:szCs w:val="24"/>
        </w:rPr>
        <w:t>The KMA (Korean Meteorological Administration) of South Korea has been implementing operational dust forecasts and alarming system based on its own ADAM II</w:t>
      </w:r>
      <w:r w:rsidRPr="00D50CF9">
        <w:rPr>
          <w:szCs w:val="24"/>
          <w:lang w:eastAsia="ko-KR"/>
        </w:rPr>
        <w:t>I</w:t>
      </w:r>
      <w:r w:rsidRPr="00D50CF9">
        <w:rPr>
          <w:szCs w:val="24"/>
        </w:rPr>
        <w:t xml:space="preserve"> (the t</w:t>
      </w:r>
      <w:r w:rsidRPr="00D50CF9">
        <w:rPr>
          <w:color w:val="000000"/>
          <w:szCs w:val="24"/>
          <w:lang w:eastAsia="ko-KR"/>
        </w:rPr>
        <w:t>hird</w:t>
      </w:r>
      <w:r w:rsidRPr="00D50CF9">
        <w:rPr>
          <w:color w:val="000000"/>
          <w:szCs w:val="24"/>
        </w:rPr>
        <w:t>-</w:t>
      </w:r>
      <w:r w:rsidRPr="00D50CF9">
        <w:rPr>
          <w:szCs w:val="24"/>
        </w:rPr>
        <w:t>generation Asian Dust Aerosol Model) simulations combined with information acquired from multiple satellite sensors. However, as discussed in the main text, satellite-derived information is often imperfect because dust plumes are up-drafted and then frequently transported behind cold frontal system that is usually accompanied by cold frontal clouds. Therefore, it is often difficult for satellite sensors to detect these dust plumes transporting together with cold frontal clouds.</w:t>
      </w:r>
    </w:p>
    <w:p w:rsidR="00792DCE" w:rsidRPr="00D50CF9" w:rsidRDefault="0094629B" w:rsidP="00792DCE">
      <w:pPr>
        <w:pStyle w:val="SMSubheading"/>
        <w:ind w:firstLine="720"/>
        <w:jc w:val="both"/>
        <w:rPr>
          <w:szCs w:val="24"/>
          <w:u w:val="none"/>
        </w:rPr>
      </w:pPr>
      <w:r w:rsidRPr="00D50CF9">
        <w:rPr>
          <w:szCs w:val="24"/>
          <w:u w:val="none"/>
        </w:rPr>
        <w:t xml:space="preserve">Supplementary Fig. </w:t>
      </w:r>
      <w:r w:rsidR="00792DCE" w:rsidRPr="00D50CF9">
        <w:rPr>
          <w:szCs w:val="24"/>
          <w:u w:val="none"/>
        </w:rPr>
        <w:t>2 presents a perfect example that satellite-derived data could not improve the predictability of dust-related PM</w:t>
      </w:r>
      <w:r w:rsidR="00792DCE" w:rsidRPr="00D50CF9">
        <w:rPr>
          <w:szCs w:val="24"/>
          <w:u w:val="none"/>
          <w:vertAlign w:val="subscript"/>
        </w:rPr>
        <w:t>10</w:t>
      </w:r>
      <w:r w:rsidR="00792DCE" w:rsidRPr="00D50CF9">
        <w:rPr>
          <w:szCs w:val="24"/>
          <w:u w:val="none"/>
        </w:rPr>
        <w:t xml:space="preserve"> (refer to </w:t>
      </w:r>
      <w:r w:rsidRPr="00D50CF9">
        <w:rPr>
          <w:szCs w:val="24"/>
          <w:u w:val="none"/>
        </w:rPr>
        <w:t xml:space="preserve">Supplementary Fig. </w:t>
      </w:r>
      <w:r w:rsidR="00792DCE" w:rsidRPr="00D50CF9">
        <w:rPr>
          <w:szCs w:val="24"/>
          <w:u w:val="none"/>
        </w:rPr>
        <w:t>2</w:t>
      </w:r>
      <w:r w:rsidR="00CA0C92" w:rsidRPr="00D50CF9">
        <w:rPr>
          <w:szCs w:val="24"/>
          <w:u w:val="none"/>
        </w:rPr>
        <w:t>c</w:t>
      </w:r>
      <w:r w:rsidR="00CA0C92" w:rsidRPr="00D50CF9">
        <w:rPr>
          <w:rFonts w:eastAsia="맑은 고딕"/>
          <w:szCs w:val="24"/>
          <w:u w:val="none"/>
        </w:rPr>
        <w:t>–</w:t>
      </w:r>
      <w:r w:rsidR="00CA0C92" w:rsidRPr="00D50CF9">
        <w:rPr>
          <w:szCs w:val="24"/>
          <w:u w:val="none"/>
        </w:rPr>
        <w:t>e</w:t>
      </w:r>
      <w:r w:rsidR="00792DCE" w:rsidRPr="00D50CF9">
        <w:rPr>
          <w:szCs w:val="24"/>
          <w:u w:val="none"/>
        </w:rPr>
        <w:t>). During a dust episode that occurred between 6 and 7 May, neither the CAMS nor the K_ACheMS systems using either the MODIS AOD or the GOCI AOD could predict the peak of dust-associated PM</w:t>
      </w:r>
      <w:r w:rsidR="00792DCE" w:rsidRPr="00D50CF9">
        <w:rPr>
          <w:szCs w:val="24"/>
          <w:u w:val="none"/>
          <w:vertAlign w:val="subscript"/>
        </w:rPr>
        <w:t>10</w:t>
      </w:r>
      <w:r w:rsidR="00792DCE" w:rsidRPr="00D50CF9">
        <w:rPr>
          <w:szCs w:val="24"/>
          <w:u w:val="none"/>
        </w:rPr>
        <w:t>. On the contrary, when we used ground observations, the peak of PM</w:t>
      </w:r>
      <w:r w:rsidR="00792DCE" w:rsidRPr="00D50CF9">
        <w:rPr>
          <w:szCs w:val="24"/>
          <w:u w:val="none"/>
          <w:vertAlign w:val="subscript"/>
        </w:rPr>
        <w:t xml:space="preserve">10 </w:t>
      </w:r>
      <w:r w:rsidR="00792DCE" w:rsidRPr="00D50CF9">
        <w:rPr>
          <w:szCs w:val="24"/>
          <w:u w:val="none"/>
        </w:rPr>
        <w:t xml:space="preserve">that occurred at the end of 6 May was clearly predicted (see </w:t>
      </w:r>
      <w:r w:rsidRPr="00D50CF9">
        <w:rPr>
          <w:szCs w:val="24"/>
          <w:u w:val="none"/>
        </w:rPr>
        <w:t xml:space="preserve">Supplementary </w:t>
      </w:r>
      <w:r w:rsidR="00792DCE" w:rsidRPr="00D50CF9">
        <w:rPr>
          <w:szCs w:val="24"/>
          <w:u w:val="none"/>
        </w:rPr>
        <w:t>Fig.</w:t>
      </w:r>
      <w:r w:rsidR="00792DCE" w:rsidRPr="00D50CF9">
        <w:rPr>
          <w:color w:val="0000FF"/>
          <w:szCs w:val="24"/>
          <w:u w:val="none"/>
        </w:rPr>
        <w:t xml:space="preserve"> </w:t>
      </w:r>
      <w:r w:rsidR="00792DCE" w:rsidRPr="00D50CF9">
        <w:rPr>
          <w:szCs w:val="24"/>
          <w:u w:val="none"/>
        </w:rPr>
        <w:t>2</w:t>
      </w:r>
      <w:r w:rsidR="00B077CF" w:rsidRPr="00D50CF9">
        <w:rPr>
          <w:szCs w:val="24"/>
          <w:u w:val="none"/>
        </w:rPr>
        <w:t>f</w:t>
      </w:r>
      <w:r w:rsidR="00B077CF" w:rsidRPr="00D50CF9">
        <w:rPr>
          <w:rFonts w:eastAsia="맑은 고딕"/>
          <w:szCs w:val="24"/>
          <w:u w:val="none"/>
        </w:rPr>
        <w:t>–h</w:t>
      </w:r>
      <w:r w:rsidR="00792DCE" w:rsidRPr="00D50CF9">
        <w:rPr>
          <w:szCs w:val="24"/>
          <w:u w:val="none"/>
        </w:rPr>
        <w:t>). This is again due to the fact that ground observations are never affected by the presence of clouds. Therefore, this can be a good example to show why we should return back to classical observation data (i.e., ground observations) to enhance the predictability of PM</w:t>
      </w:r>
      <w:r w:rsidR="00792DCE" w:rsidRPr="00D50CF9">
        <w:rPr>
          <w:szCs w:val="24"/>
          <w:u w:val="none"/>
          <w:vertAlign w:val="subscript"/>
        </w:rPr>
        <w:t xml:space="preserve">2.5 </w:t>
      </w:r>
      <w:r w:rsidR="00792DCE" w:rsidRPr="00D50CF9">
        <w:rPr>
          <w:szCs w:val="24"/>
          <w:u w:val="none"/>
        </w:rPr>
        <w:t>and PM</w:t>
      </w:r>
      <w:r w:rsidR="00792DCE" w:rsidRPr="00D50CF9">
        <w:rPr>
          <w:szCs w:val="24"/>
          <w:u w:val="none"/>
          <w:vertAlign w:val="subscript"/>
        </w:rPr>
        <w:t>10</w:t>
      </w:r>
      <w:r w:rsidR="00792DCE" w:rsidRPr="00D50CF9">
        <w:rPr>
          <w:szCs w:val="24"/>
          <w:u w:val="none"/>
        </w:rPr>
        <w:t>.</w:t>
      </w:r>
    </w:p>
    <w:p w:rsidR="00792DCE" w:rsidRPr="00D50CF9" w:rsidRDefault="00792DCE" w:rsidP="00792DCE">
      <w:pPr>
        <w:pStyle w:val="SMSubheading"/>
        <w:ind w:firstLine="720"/>
        <w:jc w:val="both"/>
        <w:rPr>
          <w:szCs w:val="24"/>
        </w:rPr>
      </w:pPr>
    </w:p>
    <w:p w:rsidR="00792DCE" w:rsidRPr="00D50CF9" w:rsidRDefault="00792DCE" w:rsidP="00792DCE">
      <w:pPr>
        <w:pStyle w:val="SMHeading"/>
      </w:pPr>
      <w:r w:rsidRPr="00D50CF9">
        <w:t>S</w:t>
      </w:r>
      <w:r w:rsidRPr="00D50CF9">
        <w:rPr>
          <w:lang w:eastAsia="ko-KR"/>
        </w:rPr>
        <w:t>ection</w:t>
      </w:r>
      <w:r w:rsidRPr="00D50CF9">
        <w:t xml:space="preserve"> </w:t>
      </w:r>
      <w:r w:rsidRPr="00D50CF9">
        <w:rPr>
          <w:lang w:eastAsia="ko-KR"/>
        </w:rPr>
        <w:t>9. Six-month test-bed study between 1 November, 2016 and 30 April, 2017</w:t>
      </w:r>
    </w:p>
    <w:p w:rsidR="00792DCE" w:rsidRPr="00D50CF9" w:rsidRDefault="00792DCE" w:rsidP="00792DCE">
      <w:pPr>
        <w:ind w:firstLineChars="333" w:firstLine="799"/>
        <w:jc w:val="both"/>
        <w:rPr>
          <w:szCs w:val="24"/>
        </w:rPr>
      </w:pPr>
      <w:r w:rsidRPr="00D50CF9">
        <w:rPr>
          <w:szCs w:val="24"/>
        </w:rPr>
        <w:t>As mentioned in the main text, to confirm our conclusions drawn from this study, we applied the same methodology to another time period from 1 November, 2016 to 30 April, 2017. This period was the period for the second test-bed in our research framework during which high PM</w:t>
      </w:r>
      <w:r w:rsidRPr="00D50CF9">
        <w:rPr>
          <w:szCs w:val="24"/>
          <w:vertAlign w:val="subscript"/>
        </w:rPr>
        <w:t xml:space="preserve">2.5 </w:t>
      </w:r>
      <w:r w:rsidRPr="00D50CF9">
        <w:rPr>
          <w:szCs w:val="24"/>
        </w:rPr>
        <w:t xml:space="preserve">events frequently took place in South Korea. </w:t>
      </w:r>
    </w:p>
    <w:p w:rsidR="00792DCE" w:rsidRPr="00D50CF9" w:rsidRDefault="00CD3BDB" w:rsidP="00792DCE">
      <w:pPr>
        <w:ind w:firstLineChars="333" w:firstLine="799"/>
        <w:jc w:val="both"/>
        <w:rPr>
          <w:szCs w:val="24"/>
        </w:rPr>
      </w:pPr>
      <w:r w:rsidRPr="00D50CF9">
        <w:rPr>
          <w:szCs w:val="24"/>
        </w:rPr>
        <w:t xml:space="preserve">Supplementary </w:t>
      </w:r>
      <w:r w:rsidR="00792DCE" w:rsidRPr="00D50CF9">
        <w:rPr>
          <w:szCs w:val="24"/>
        </w:rPr>
        <w:t>Fig. 9 presents results from six experiments. Constructions of these six experiments were exactly the same as those presented in Fig. 2. Only an experiment of ‘without data assimilation’ in Fig. 2 (i.e., Fig. 2</w:t>
      </w:r>
      <w:r w:rsidR="00AE18EF" w:rsidRPr="00D50CF9">
        <w:rPr>
          <w:szCs w:val="24"/>
        </w:rPr>
        <w:t>b</w:t>
      </w:r>
      <w:r w:rsidR="00792DCE" w:rsidRPr="00D50CF9">
        <w:rPr>
          <w:szCs w:val="24"/>
        </w:rPr>
        <w:t xml:space="preserve">) was omitted. From </w:t>
      </w:r>
      <w:r w:rsidR="00F469DB" w:rsidRPr="00D50CF9">
        <w:rPr>
          <w:szCs w:val="24"/>
        </w:rPr>
        <w:t xml:space="preserve">Supplementary </w:t>
      </w:r>
      <w:r w:rsidR="00792DCE" w:rsidRPr="00D50CF9">
        <w:rPr>
          <w:szCs w:val="24"/>
        </w:rPr>
        <w:t xml:space="preserve">Fig. 9, we again confirmed that conclusions drawn from the experiments for the KORUS-AQ campaign period were valid. The case in which applications of initial states corrected by the combination of ground observations with GOCI satellite data exhibited the best performances, with an IOA of 0.74. </w:t>
      </w:r>
    </w:p>
    <w:p w:rsidR="00792DCE" w:rsidRPr="00D50CF9" w:rsidRDefault="00B62CA2" w:rsidP="00792DCE">
      <w:pPr>
        <w:ind w:firstLineChars="333" w:firstLine="799"/>
        <w:jc w:val="both"/>
        <w:rPr>
          <w:szCs w:val="24"/>
        </w:rPr>
      </w:pPr>
      <w:r w:rsidRPr="00D50CF9">
        <w:rPr>
          <w:szCs w:val="24"/>
        </w:rPr>
        <w:t xml:space="preserve">Supplementary </w:t>
      </w:r>
      <w:r w:rsidR="00792DCE" w:rsidRPr="00D50CF9">
        <w:rPr>
          <w:szCs w:val="24"/>
        </w:rPr>
        <w:t xml:space="preserve">Fig. 10 shows two representative cases that are zoomed </w:t>
      </w:r>
      <w:r w:rsidR="00792DCE" w:rsidRPr="00D50CF9">
        <w:rPr>
          <w:color w:val="000000"/>
          <w:szCs w:val="24"/>
          <w:lang w:eastAsia="ko-KR"/>
        </w:rPr>
        <w:t>in</w:t>
      </w:r>
      <w:r w:rsidR="00792DCE" w:rsidRPr="00D50CF9">
        <w:rPr>
          <w:color w:val="000000"/>
          <w:szCs w:val="24"/>
        </w:rPr>
        <w:t xml:space="preserve">. </w:t>
      </w:r>
      <w:r w:rsidR="00792DCE" w:rsidRPr="00D50CF9">
        <w:rPr>
          <w:szCs w:val="24"/>
        </w:rPr>
        <w:t xml:space="preserve">Sequential assimilations of ground observations and GOCI-derived data created synergistic effects. Two events occurred on 8 November, 2016 and 27 March, 2017, respectively, when the GOCI AOD data were available over North Korea (Region </w:t>
      </w:r>
      <w:r w:rsidR="00792DCE" w:rsidRPr="00D50CF9">
        <w:rPr>
          <w:szCs w:val="24"/>
          <w:lang w:eastAsia="ko-KR"/>
        </w:rPr>
        <w:t>II</w:t>
      </w:r>
      <w:r w:rsidR="00792DCE" w:rsidRPr="00D50CF9">
        <w:rPr>
          <w:szCs w:val="24"/>
        </w:rPr>
        <w:t xml:space="preserve"> in Fig.</w:t>
      </w:r>
      <w:r w:rsidR="00697DE6">
        <w:rPr>
          <w:szCs w:val="24"/>
        </w:rPr>
        <w:t xml:space="preserve"> </w:t>
      </w:r>
      <w:r w:rsidR="00792DCE" w:rsidRPr="00D50CF9">
        <w:rPr>
          <w:szCs w:val="24"/>
        </w:rPr>
        <w:t xml:space="preserve">1) and the Yellow Sea (Region </w:t>
      </w:r>
      <w:r w:rsidR="00792DCE" w:rsidRPr="00D50CF9">
        <w:rPr>
          <w:szCs w:val="24"/>
          <w:lang w:eastAsia="ko-KR"/>
        </w:rPr>
        <w:t>I</w:t>
      </w:r>
      <w:r w:rsidR="00792DCE" w:rsidRPr="00D50CF9">
        <w:rPr>
          <w:b/>
          <w:bCs/>
          <w:szCs w:val="24"/>
        </w:rPr>
        <w:t xml:space="preserve"> </w:t>
      </w:r>
      <w:r w:rsidR="00792DCE" w:rsidRPr="00D50CF9">
        <w:rPr>
          <w:szCs w:val="24"/>
        </w:rPr>
        <w:t>in Fig.</w:t>
      </w:r>
      <w:r w:rsidR="00697DE6">
        <w:rPr>
          <w:szCs w:val="24"/>
        </w:rPr>
        <w:t xml:space="preserve"> </w:t>
      </w:r>
      <w:r w:rsidR="00792DCE" w:rsidRPr="00D50CF9">
        <w:rPr>
          <w:szCs w:val="24"/>
        </w:rPr>
        <w:t xml:space="preserve">1), respectively. Again, these Regions </w:t>
      </w:r>
      <w:r w:rsidR="00792DCE" w:rsidRPr="00D50CF9">
        <w:rPr>
          <w:szCs w:val="24"/>
          <w:lang w:eastAsia="ko-KR"/>
        </w:rPr>
        <w:t>I</w:t>
      </w:r>
      <w:r w:rsidR="00792DCE" w:rsidRPr="00D50CF9">
        <w:rPr>
          <w:szCs w:val="24"/>
        </w:rPr>
        <w:t xml:space="preserve"> and </w:t>
      </w:r>
      <w:r w:rsidR="00792DCE" w:rsidRPr="00D50CF9">
        <w:rPr>
          <w:szCs w:val="24"/>
          <w:lang w:eastAsia="ko-KR"/>
        </w:rPr>
        <w:t>II</w:t>
      </w:r>
      <w:r w:rsidR="00792DCE" w:rsidRPr="00D50CF9">
        <w:rPr>
          <w:szCs w:val="24"/>
        </w:rPr>
        <w:t xml:space="preserve"> have been regarded as ‘blank areas of information’ to South Korea in terms of information on air quality. Also, in both events, these two regions were located in upwind areas to South Korea. Under situations in which GOCI-derived data were considered in addition to ground observations, the IOA increased from 0.60 to 0.64 in panel</w:t>
      </w:r>
      <w:r w:rsidR="00C516B1">
        <w:rPr>
          <w:szCs w:val="24"/>
        </w:rPr>
        <w:t xml:space="preserve"> a</w:t>
      </w:r>
      <w:r w:rsidR="00792DCE" w:rsidRPr="00D50CF9">
        <w:rPr>
          <w:szCs w:val="24"/>
        </w:rPr>
        <w:t xml:space="preserve"> and from 0.62 to 0.66 in panel</w:t>
      </w:r>
      <w:r w:rsidR="00F5779E" w:rsidRPr="00D50CF9">
        <w:rPr>
          <w:szCs w:val="24"/>
        </w:rPr>
        <w:t xml:space="preserve"> b</w:t>
      </w:r>
      <w:r w:rsidR="00792DCE" w:rsidRPr="00D50CF9">
        <w:rPr>
          <w:szCs w:val="24"/>
        </w:rPr>
        <w:t xml:space="preserve">. These increases of IOA were certainly due to synergistic effects from sequential assimilations of ground and satellite observations.  </w:t>
      </w:r>
    </w:p>
    <w:p w:rsidR="00792DCE" w:rsidRPr="00D50CF9" w:rsidRDefault="008A150F" w:rsidP="00792DCE">
      <w:pPr>
        <w:ind w:firstLineChars="333" w:firstLine="799"/>
        <w:jc w:val="both"/>
        <w:rPr>
          <w:szCs w:val="24"/>
        </w:rPr>
      </w:pPr>
      <w:r w:rsidRPr="00D50CF9">
        <w:rPr>
          <w:szCs w:val="24"/>
        </w:rPr>
        <w:lastRenderedPageBreak/>
        <w:t xml:space="preserve">Supplementary </w:t>
      </w:r>
      <w:r w:rsidR="00792DCE" w:rsidRPr="00D50CF9">
        <w:rPr>
          <w:szCs w:val="24"/>
        </w:rPr>
        <w:t>Fig. 11 demonstrates current capability of the K</w:t>
      </w:r>
      <w:r w:rsidR="00792DCE" w:rsidRPr="00D50CF9">
        <w:rPr>
          <w:szCs w:val="24"/>
          <w:lang w:eastAsia="ko-KR"/>
        </w:rPr>
        <w:t>_</w:t>
      </w:r>
      <w:r w:rsidR="00792DCE" w:rsidRPr="00D50CF9">
        <w:rPr>
          <w:szCs w:val="24"/>
        </w:rPr>
        <w:t>ACheMS v2.0. Over the six-month period, comparisons between observed and predicted concentrations for PM</w:t>
      </w:r>
      <w:r w:rsidR="00792DCE" w:rsidRPr="00D50CF9">
        <w:rPr>
          <w:szCs w:val="24"/>
          <w:vertAlign w:val="subscript"/>
        </w:rPr>
        <w:t xml:space="preserve">2.5 </w:t>
      </w:r>
      <w:r w:rsidR="00792DCE" w:rsidRPr="00D50CF9">
        <w:rPr>
          <w:szCs w:val="24"/>
        </w:rPr>
        <w:t xml:space="preserve">constituents were made. Here, predicted concentrations were from the </w:t>
      </w:r>
      <w:r w:rsidR="00792DCE" w:rsidRPr="00D50CF9">
        <w:rPr>
          <w:szCs w:val="24"/>
          <w:lang w:eastAsia="ko-KR"/>
        </w:rPr>
        <w:t>e</w:t>
      </w:r>
      <w:r w:rsidR="00792DCE" w:rsidRPr="00D50CF9">
        <w:rPr>
          <w:szCs w:val="24"/>
        </w:rPr>
        <w:t xml:space="preserve">xperiment </w:t>
      </w:r>
      <w:r w:rsidR="00C85943" w:rsidRPr="00D50CF9">
        <w:rPr>
          <w:szCs w:val="24"/>
        </w:rPr>
        <w:t>f</w:t>
      </w:r>
      <w:r w:rsidR="00792DCE" w:rsidRPr="00D50CF9">
        <w:rPr>
          <w:szCs w:val="24"/>
        </w:rPr>
        <w:t xml:space="preserve"> in </w:t>
      </w:r>
      <w:r w:rsidR="00DE3E3B" w:rsidRPr="00D50CF9">
        <w:rPr>
          <w:szCs w:val="24"/>
        </w:rPr>
        <w:t xml:space="preserve">Supplementary </w:t>
      </w:r>
      <w:r w:rsidR="00792DCE" w:rsidRPr="00D50CF9">
        <w:rPr>
          <w:szCs w:val="24"/>
        </w:rPr>
        <w:t xml:space="preserve">Fig. 9. As shown in </w:t>
      </w:r>
      <w:r w:rsidR="0098019B" w:rsidRPr="00D50CF9">
        <w:rPr>
          <w:szCs w:val="24"/>
        </w:rPr>
        <w:t xml:space="preserve">Supplementary </w:t>
      </w:r>
      <w:r w:rsidR="00792DCE" w:rsidRPr="00D50CF9">
        <w:rPr>
          <w:szCs w:val="24"/>
        </w:rPr>
        <w:t>Fig. 11, nitrate (NO</w:t>
      </w:r>
      <w:r w:rsidR="00792DCE" w:rsidRPr="00D50CF9">
        <w:rPr>
          <w:szCs w:val="24"/>
          <w:vertAlign w:val="subscript"/>
        </w:rPr>
        <w:t>3</w:t>
      </w:r>
      <w:r w:rsidR="00614735" w:rsidRPr="00EC7545">
        <w:rPr>
          <w:rFonts w:eastAsia="맑은 고딕"/>
          <w:szCs w:val="24"/>
          <w:vertAlign w:val="superscript"/>
        </w:rPr>
        <w:t>–</w:t>
      </w:r>
      <w:r w:rsidR="00792DCE" w:rsidRPr="00D50CF9">
        <w:rPr>
          <w:szCs w:val="24"/>
        </w:rPr>
        <w:t xml:space="preserve">) concentrations were generally over-predicted, while </w:t>
      </w:r>
      <w:r w:rsidR="00792DCE" w:rsidRPr="00D50CF9">
        <w:rPr>
          <w:szCs w:val="24"/>
          <w:lang w:eastAsia="ko-KR"/>
        </w:rPr>
        <w:t>OA</w:t>
      </w:r>
      <w:r w:rsidR="00792DCE" w:rsidRPr="00D50CF9">
        <w:rPr>
          <w:szCs w:val="24"/>
        </w:rPr>
        <w:t xml:space="preserve"> concentrations were under-predicted. These over- and under-predictions are relatively well-known phenomena </w:t>
      </w:r>
      <w:r w:rsidR="00C85943" w:rsidRPr="00D50CF9">
        <w:rPr>
          <w:szCs w:val="24"/>
          <w:vertAlign w:val="superscript"/>
        </w:rPr>
        <w:t>28,39</w:t>
      </w:r>
      <w:r w:rsidR="00792DCE" w:rsidRPr="00D50CF9">
        <w:rPr>
          <w:szCs w:val="24"/>
        </w:rPr>
        <w:t>. Correcting concentrations of these two major PM</w:t>
      </w:r>
      <w:r w:rsidR="00792DCE" w:rsidRPr="00D50CF9">
        <w:rPr>
          <w:szCs w:val="24"/>
          <w:vertAlign w:val="subscript"/>
        </w:rPr>
        <w:t xml:space="preserve">2.5 </w:t>
      </w:r>
      <w:r w:rsidR="00792DCE" w:rsidRPr="00D50CF9">
        <w:rPr>
          <w:szCs w:val="24"/>
        </w:rPr>
        <w:t>constituents will be the main targets in the next stage of the development of the K_ACheMS v2.0. Regarding concentrations of other PM</w:t>
      </w:r>
      <w:r w:rsidR="00792DCE" w:rsidRPr="00D50CF9">
        <w:rPr>
          <w:szCs w:val="24"/>
          <w:vertAlign w:val="subscript"/>
        </w:rPr>
        <w:t>2.5</w:t>
      </w:r>
      <w:r w:rsidR="00792DCE" w:rsidRPr="00D50CF9">
        <w:rPr>
          <w:szCs w:val="24"/>
        </w:rPr>
        <w:t xml:space="preserve"> constituents such as sulfate (SO</w:t>
      </w:r>
      <w:r w:rsidR="00792DCE" w:rsidRPr="00D50CF9">
        <w:rPr>
          <w:szCs w:val="24"/>
          <w:vertAlign w:val="subscript"/>
        </w:rPr>
        <w:t>4</w:t>
      </w:r>
      <w:r w:rsidR="00792DCE" w:rsidRPr="00D50CF9">
        <w:rPr>
          <w:szCs w:val="24"/>
          <w:vertAlign w:val="superscript"/>
        </w:rPr>
        <w:t>2</w:t>
      </w:r>
      <w:r w:rsidR="00614735" w:rsidRPr="00EC7545">
        <w:rPr>
          <w:rFonts w:eastAsia="맑은 고딕"/>
          <w:szCs w:val="24"/>
          <w:vertAlign w:val="superscript"/>
        </w:rPr>
        <w:t>–</w:t>
      </w:r>
      <w:r w:rsidR="00792DCE" w:rsidRPr="00D50CF9">
        <w:rPr>
          <w:szCs w:val="24"/>
        </w:rPr>
        <w:t>), ammonium (NH</w:t>
      </w:r>
      <w:r w:rsidR="00792DCE" w:rsidRPr="00D50CF9">
        <w:rPr>
          <w:szCs w:val="24"/>
          <w:vertAlign w:val="subscript"/>
        </w:rPr>
        <w:t>4</w:t>
      </w:r>
      <w:r w:rsidR="00792DCE" w:rsidRPr="00D50CF9">
        <w:rPr>
          <w:szCs w:val="24"/>
          <w:vertAlign w:val="superscript"/>
        </w:rPr>
        <w:t>+</w:t>
      </w:r>
      <w:r w:rsidR="00792DCE" w:rsidRPr="00D50CF9">
        <w:rPr>
          <w:szCs w:val="24"/>
        </w:rPr>
        <w:t>), and BC, there were relatively good agreements between observed and predicted concentrations.</w:t>
      </w:r>
    </w:p>
    <w:p w:rsidR="00792DCE" w:rsidRPr="00D50CF9" w:rsidRDefault="00792DCE" w:rsidP="00792DCE">
      <w:pPr>
        <w:ind w:firstLineChars="333" w:firstLine="799"/>
        <w:jc w:val="both"/>
        <w:rPr>
          <w:szCs w:val="24"/>
        </w:rPr>
      </w:pPr>
    </w:p>
    <w:p w:rsidR="00792DCE" w:rsidRPr="00D50CF9" w:rsidRDefault="00792DCE" w:rsidP="00792DCE">
      <w:pPr>
        <w:pStyle w:val="SMHeading"/>
      </w:pPr>
      <w:r w:rsidRPr="00D50CF9">
        <w:t>S</w:t>
      </w:r>
      <w:r w:rsidRPr="00D50CF9">
        <w:rPr>
          <w:lang w:eastAsia="ko-KR"/>
        </w:rPr>
        <w:t>ection</w:t>
      </w:r>
      <w:r w:rsidRPr="00D50CF9">
        <w:t xml:space="preserve"> </w:t>
      </w:r>
      <w:r w:rsidRPr="00D50CF9">
        <w:rPr>
          <w:lang w:eastAsia="ko-KR"/>
        </w:rPr>
        <w:t>10. Scientific and administrative statistical metrics</w:t>
      </w:r>
    </w:p>
    <w:p w:rsidR="00792DCE" w:rsidRPr="00D50CF9" w:rsidRDefault="00792DCE" w:rsidP="00792DCE">
      <w:pPr>
        <w:ind w:firstLine="800"/>
        <w:jc w:val="both"/>
        <w:rPr>
          <w:szCs w:val="24"/>
        </w:rPr>
      </w:pPr>
      <w:r w:rsidRPr="00D50CF9">
        <w:rPr>
          <w:szCs w:val="24"/>
        </w:rPr>
        <w:t xml:space="preserve">Scientific statistical metrics frequently used to evaluate the performance of an air quality modeling system are shown below: </w:t>
      </w:r>
    </w:p>
    <w:tbl>
      <w:tblPr>
        <w:tblStyle w:val="afff1"/>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0"/>
        <w:gridCol w:w="7240"/>
        <w:gridCol w:w="700"/>
      </w:tblGrid>
      <w:tr w:rsidR="00792DCE" w:rsidRPr="00D50CF9" w:rsidTr="00FF6C9B">
        <w:trPr>
          <w:trHeight w:val="283"/>
        </w:trPr>
        <w:tc>
          <w:tcPr>
            <w:tcW w:w="405" w:type="pct"/>
            <w:vAlign w:val="center"/>
          </w:tcPr>
          <w:p w:rsidR="00792DCE" w:rsidRPr="00D50CF9" w:rsidRDefault="00792DCE" w:rsidP="00FF6C9B">
            <w:pPr>
              <w:spacing w:line="480" w:lineRule="auto"/>
              <w:rPr>
                <w:rFonts w:eastAsia="바탕"/>
                <w:szCs w:val="24"/>
              </w:rPr>
            </w:pPr>
          </w:p>
        </w:tc>
        <w:tc>
          <w:tcPr>
            <w:tcW w:w="4190" w:type="pct"/>
            <w:vAlign w:val="center"/>
          </w:tcPr>
          <w:p w:rsidR="00792DCE" w:rsidRPr="00D50CF9" w:rsidRDefault="00792DCE" w:rsidP="00FF6C9B">
            <w:pPr>
              <w:spacing w:line="480" w:lineRule="auto"/>
              <w:rPr>
                <w:rFonts w:eastAsia="바탕"/>
                <w:szCs w:val="24"/>
              </w:rPr>
            </w:pPr>
            <m:oMathPara>
              <m:oMath>
                <m:r>
                  <w:rPr>
                    <w:rFonts w:ascii="Cambria Math" w:eastAsia="바탕" w:hAnsi="Cambria Math"/>
                    <w:szCs w:val="24"/>
                  </w:rPr>
                  <m:t>Index of Agreement (IOA)=1-</m:t>
                </m:r>
                <m:f>
                  <m:fPr>
                    <m:ctrlPr>
                      <w:rPr>
                        <w:rFonts w:ascii="Cambria Math" w:eastAsia="바탕" w:hAnsi="Cambria Math"/>
                        <w:i/>
                        <w:szCs w:val="24"/>
                      </w:rPr>
                    </m:ctrlPr>
                  </m:fPr>
                  <m:num>
                    <m:nary>
                      <m:naryPr>
                        <m:chr m:val="∑"/>
                        <m:limLoc m:val="undOvr"/>
                        <m:ctrlPr>
                          <w:rPr>
                            <w:rFonts w:ascii="Cambria Math" w:eastAsia="바탕" w:hAnsi="Cambria Math"/>
                            <w:i/>
                            <w:szCs w:val="24"/>
                          </w:rPr>
                        </m:ctrlPr>
                      </m:naryPr>
                      <m:sub>
                        <m:r>
                          <w:rPr>
                            <w:rFonts w:ascii="Cambria Math" w:eastAsia="바탕" w:hAnsi="Cambria Math"/>
                            <w:szCs w:val="24"/>
                          </w:rPr>
                          <m:t>i=1</m:t>
                        </m:r>
                      </m:sub>
                      <m:sup>
                        <m:r>
                          <w:rPr>
                            <w:rFonts w:ascii="Cambria Math" w:eastAsia="바탕" w:hAnsi="Cambria Math"/>
                            <w:szCs w:val="24"/>
                          </w:rPr>
                          <m:t>n</m:t>
                        </m:r>
                      </m:sup>
                      <m:e>
                        <m:sSup>
                          <m:sSupPr>
                            <m:ctrlPr>
                              <w:rPr>
                                <w:rFonts w:ascii="Cambria Math" w:eastAsia="바탕" w:hAnsi="Cambria Math"/>
                                <w:i/>
                                <w:szCs w:val="24"/>
                              </w:rPr>
                            </m:ctrlPr>
                          </m:sSupPr>
                          <m:e>
                            <m:r>
                              <w:rPr>
                                <w:rFonts w:ascii="Cambria Math" w:eastAsia="바탕" w:hAnsi="Cambria Math"/>
                                <w:szCs w:val="24"/>
                              </w:rPr>
                              <m:t>(</m:t>
                            </m:r>
                            <m:sSub>
                              <m:sSubPr>
                                <m:ctrlPr>
                                  <w:rPr>
                                    <w:rFonts w:ascii="Cambria Math" w:eastAsia="바탕" w:hAnsi="Cambria Math"/>
                                    <w:i/>
                                    <w:szCs w:val="24"/>
                                  </w:rPr>
                                </m:ctrlPr>
                              </m:sSubPr>
                              <m:e>
                                <m:r>
                                  <w:rPr>
                                    <w:rFonts w:ascii="Cambria Math" w:eastAsia="바탕" w:hAnsi="Cambria Math"/>
                                    <w:szCs w:val="24"/>
                                  </w:rPr>
                                  <m:t>M</m:t>
                                </m:r>
                              </m:e>
                              <m:sub>
                                <m:r>
                                  <w:rPr>
                                    <w:rFonts w:ascii="Cambria Math" w:eastAsia="바탕" w:hAnsi="Cambria Math"/>
                                    <w:szCs w:val="24"/>
                                  </w:rPr>
                                  <m:t>i</m:t>
                                </m:r>
                              </m:sub>
                            </m:sSub>
                            <m:r>
                              <w:rPr>
                                <w:rFonts w:ascii="Cambria Math" w:eastAsia="바탕" w:hAnsi="Cambria Math"/>
                                <w:szCs w:val="24"/>
                              </w:rPr>
                              <m:t>-</m:t>
                            </m:r>
                            <m:sSub>
                              <m:sSubPr>
                                <m:ctrlPr>
                                  <w:rPr>
                                    <w:rFonts w:ascii="Cambria Math" w:eastAsia="바탕" w:hAnsi="Cambria Math"/>
                                    <w:i/>
                                    <w:szCs w:val="24"/>
                                  </w:rPr>
                                </m:ctrlPr>
                              </m:sSubPr>
                              <m:e>
                                <m:r>
                                  <w:rPr>
                                    <w:rFonts w:ascii="Cambria Math" w:eastAsia="바탕" w:hAnsi="Cambria Math"/>
                                    <w:szCs w:val="24"/>
                                  </w:rPr>
                                  <m:t>O</m:t>
                                </m:r>
                              </m:e>
                              <m:sub>
                                <m:r>
                                  <w:rPr>
                                    <w:rFonts w:ascii="Cambria Math" w:eastAsia="바탕" w:hAnsi="Cambria Math"/>
                                    <w:szCs w:val="24"/>
                                  </w:rPr>
                                  <m:t>i</m:t>
                                </m:r>
                              </m:sub>
                            </m:sSub>
                            <m:r>
                              <w:rPr>
                                <w:rFonts w:ascii="Cambria Math" w:eastAsia="바탕" w:hAnsi="Cambria Math"/>
                                <w:szCs w:val="24"/>
                              </w:rPr>
                              <m:t>)</m:t>
                            </m:r>
                          </m:e>
                          <m:sup>
                            <m:r>
                              <w:rPr>
                                <w:rFonts w:ascii="Cambria Math" w:eastAsia="바탕" w:hAnsi="Cambria Math"/>
                                <w:szCs w:val="24"/>
                              </w:rPr>
                              <m:t>2</m:t>
                            </m:r>
                          </m:sup>
                        </m:sSup>
                      </m:e>
                    </m:nary>
                  </m:num>
                  <m:den>
                    <m:nary>
                      <m:naryPr>
                        <m:chr m:val="∑"/>
                        <m:limLoc m:val="undOvr"/>
                        <m:ctrlPr>
                          <w:rPr>
                            <w:rFonts w:ascii="Cambria Math" w:eastAsia="바탕" w:hAnsi="Cambria Math"/>
                            <w:i/>
                            <w:szCs w:val="24"/>
                          </w:rPr>
                        </m:ctrlPr>
                      </m:naryPr>
                      <m:sub>
                        <m:r>
                          <w:rPr>
                            <w:rFonts w:ascii="Cambria Math" w:eastAsia="바탕" w:hAnsi="Cambria Math"/>
                            <w:szCs w:val="24"/>
                          </w:rPr>
                          <m:t>i=1</m:t>
                        </m:r>
                      </m:sub>
                      <m:sup>
                        <m:r>
                          <w:rPr>
                            <w:rFonts w:ascii="Cambria Math" w:eastAsia="바탕" w:hAnsi="Cambria Math"/>
                            <w:szCs w:val="24"/>
                          </w:rPr>
                          <m:t>n</m:t>
                        </m:r>
                      </m:sup>
                      <m:e>
                        <m:sSup>
                          <m:sSupPr>
                            <m:ctrlPr>
                              <w:rPr>
                                <w:rFonts w:ascii="Cambria Math" w:eastAsia="바탕" w:hAnsi="Cambria Math"/>
                                <w:i/>
                                <w:szCs w:val="24"/>
                              </w:rPr>
                            </m:ctrlPr>
                          </m:sSupPr>
                          <m:e>
                            <m:r>
                              <w:rPr>
                                <w:rFonts w:ascii="Cambria Math" w:eastAsia="바탕" w:hAnsi="Cambria Math"/>
                                <w:szCs w:val="24"/>
                              </w:rPr>
                              <m:t>(</m:t>
                            </m:r>
                            <m:d>
                              <m:dPr>
                                <m:begChr m:val="|"/>
                                <m:endChr m:val="|"/>
                                <m:ctrlPr>
                                  <w:rPr>
                                    <w:rFonts w:ascii="Cambria Math" w:eastAsia="바탕" w:hAnsi="Cambria Math"/>
                                    <w:i/>
                                    <w:szCs w:val="24"/>
                                  </w:rPr>
                                </m:ctrlPr>
                              </m:dPr>
                              <m:e>
                                <m:sSub>
                                  <m:sSubPr>
                                    <m:ctrlPr>
                                      <w:rPr>
                                        <w:rFonts w:ascii="Cambria Math" w:eastAsia="바탕" w:hAnsi="Cambria Math"/>
                                        <w:i/>
                                        <w:szCs w:val="24"/>
                                      </w:rPr>
                                    </m:ctrlPr>
                                  </m:sSubPr>
                                  <m:e>
                                    <m:r>
                                      <w:rPr>
                                        <w:rFonts w:ascii="Cambria Math" w:eastAsia="바탕" w:hAnsi="Cambria Math"/>
                                        <w:szCs w:val="24"/>
                                      </w:rPr>
                                      <m:t>M</m:t>
                                    </m:r>
                                  </m:e>
                                  <m:sub>
                                    <m:r>
                                      <w:rPr>
                                        <w:rFonts w:ascii="Cambria Math" w:eastAsia="바탕" w:hAnsi="Cambria Math"/>
                                        <w:szCs w:val="24"/>
                                      </w:rPr>
                                      <m:t>i</m:t>
                                    </m:r>
                                  </m:sub>
                                </m:sSub>
                                <m:r>
                                  <w:rPr>
                                    <w:rFonts w:ascii="Cambria Math" w:eastAsia="바탕" w:hAnsi="Cambria Math"/>
                                    <w:szCs w:val="24"/>
                                  </w:rPr>
                                  <m:t>-</m:t>
                                </m:r>
                                <m:acc>
                                  <m:accPr>
                                    <m:chr m:val="̅"/>
                                    <m:ctrlPr>
                                      <w:rPr>
                                        <w:rFonts w:ascii="Cambria Math" w:eastAsia="바탕" w:hAnsi="Cambria Math"/>
                                        <w:i/>
                                        <w:szCs w:val="24"/>
                                      </w:rPr>
                                    </m:ctrlPr>
                                  </m:accPr>
                                  <m:e>
                                    <m:r>
                                      <w:rPr>
                                        <w:rFonts w:ascii="Cambria Math" w:eastAsia="바탕" w:hAnsi="Cambria Math"/>
                                        <w:szCs w:val="24"/>
                                      </w:rPr>
                                      <m:t>O</m:t>
                                    </m:r>
                                  </m:e>
                                </m:acc>
                              </m:e>
                            </m:d>
                            <m:r>
                              <w:rPr>
                                <w:rFonts w:ascii="Cambria Math" w:eastAsia="바탕" w:hAnsi="Cambria Math"/>
                                <w:szCs w:val="24"/>
                              </w:rPr>
                              <m:t>+</m:t>
                            </m:r>
                            <m:d>
                              <m:dPr>
                                <m:begChr m:val="|"/>
                                <m:endChr m:val="|"/>
                                <m:ctrlPr>
                                  <w:rPr>
                                    <w:rFonts w:ascii="Cambria Math" w:eastAsia="바탕" w:hAnsi="Cambria Math"/>
                                    <w:i/>
                                    <w:szCs w:val="24"/>
                                  </w:rPr>
                                </m:ctrlPr>
                              </m:dPr>
                              <m:e>
                                <m:sSub>
                                  <m:sSubPr>
                                    <m:ctrlPr>
                                      <w:rPr>
                                        <w:rFonts w:ascii="Cambria Math" w:eastAsia="바탕" w:hAnsi="Cambria Math"/>
                                        <w:i/>
                                        <w:szCs w:val="24"/>
                                      </w:rPr>
                                    </m:ctrlPr>
                                  </m:sSubPr>
                                  <m:e>
                                    <m:r>
                                      <w:rPr>
                                        <w:rFonts w:ascii="Cambria Math" w:eastAsia="바탕" w:hAnsi="Cambria Math"/>
                                        <w:szCs w:val="24"/>
                                      </w:rPr>
                                      <m:t>O</m:t>
                                    </m:r>
                                  </m:e>
                                  <m:sub>
                                    <m:r>
                                      <w:rPr>
                                        <w:rFonts w:ascii="Cambria Math" w:eastAsia="바탕" w:hAnsi="Cambria Math"/>
                                        <w:szCs w:val="24"/>
                                      </w:rPr>
                                      <m:t>i</m:t>
                                    </m:r>
                                  </m:sub>
                                </m:sSub>
                                <m:r>
                                  <w:rPr>
                                    <w:rFonts w:ascii="Cambria Math" w:eastAsia="바탕" w:hAnsi="Cambria Math"/>
                                    <w:szCs w:val="24"/>
                                  </w:rPr>
                                  <m:t>-</m:t>
                                </m:r>
                                <m:acc>
                                  <m:accPr>
                                    <m:chr m:val="̅"/>
                                    <m:ctrlPr>
                                      <w:rPr>
                                        <w:rFonts w:ascii="Cambria Math" w:eastAsia="바탕" w:hAnsi="Cambria Math"/>
                                        <w:i/>
                                        <w:szCs w:val="24"/>
                                      </w:rPr>
                                    </m:ctrlPr>
                                  </m:accPr>
                                  <m:e>
                                    <m:r>
                                      <w:rPr>
                                        <w:rFonts w:ascii="Cambria Math" w:eastAsia="바탕" w:hAnsi="Cambria Math"/>
                                        <w:szCs w:val="24"/>
                                      </w:rPr>
                                      <m:t>O</m:t>
                                    </m:r>
                                  </m:e>
                                </m:acc>
                              </m:e>
                            </m:d>
                            <m:r>
                              <w:rPr>
                                <w:rFonts w:ascii="Cambria Math" w:eastAsia="바탕" w:hAnsi="Cambria Math"/>
                                <w:szCs w:val="24"/>
                              </w:rPr>
                              <m:t>)</m:t>
                            </m:r>
                          </m:e>
                          <m:sup>
                            <m:r>
                              <w:rPr>
                                <w:rFonts w:ascii="Cambria Math" w:eastAsia="바탕" w:hAnsi="Cambria Math"/>
                                <w:szCs w:val="24"/>
                              </w:rPr>
                              <m:t>2</m:t>
                            </m:r>
                          </m:sup>
                        </m:sSup>
                      </m:e>
                    </m:nary>
                  </m:den>
                </m:f>
              </m:oMath>
            </m:oMathPara>
          </w:p>
        </w:tc>
        <w:tc>
          <w:tcPr>
            <w:tcW w:w="405" w:type="pct"/>
            <w:vAlign w:val="center"/>
          </w:tcPr>
          <w:p w:rsidR="00792DCE" w:rsidRPr="00D50CF9" w:rsidRDefault="00BB25F5" w:rsidP="00BB25F5">
            <w:pPr>
              <w:spacing w:line="480" w:lineRule="auto"/>
              <w:jc w:val="right"/>
              <w:rPr>
                <w:rFonts w:eastAsia="바탕"/>
                <w:szCs w:val="24"/>
              </w:rPr>
            </w:pPr>
            <w:r w:rsidRPr="00D50CF9">
              <w:rPr>
                <w:rFonts w:eastAsia="바탕"/>
                <w:szCs w:val="24"/>
              </w:rPr>
              <w:t>(</w:t>
            </w:r>
            <w:r w:rsidR="00792DCE" w:rsidRPr="00D50CF9">
              <w:rPr>
                <w:rFonts w:eastAsia="바탕"/>
                <w:szCs w:val="24"/>
              </w:rPr>
              <w:t>2</w:t>
            </w:r>
            <w:r w:rsidRPr="00D50CF9">
              <w:rPr>
                <w:rFonts w:eastAsia="바탕"/>
                <w:szCs w:val="24"/>
              </w:rPr>
              <w:t>)</w:t>
            </w:r>
          </w:p>
        </w:tc>
      </w:tr>
      <w:tr w:rsidR="00792DCE" w:rsidRPr="00D50CF9" w:rsidTr="00FF6C9B">
        <w:trPr>
          <w:trHeight w:val="283"/>
        </w:trPr>
        <w:tc>
          <w:tcPr>
            <w:tcW w:w="405" w:type="pct"/>
            <w:vAlign w:val="center"/>
          </w:tcPr>
          <w:p w:rsidR="00792DCE" w:rsidRPr="00D50CF9" w:rsidRDefault="00792DCE" w:rsidP="00FF6C9B">
            <w:pPr>
              <w:spacing w:line="480" w:lineRule="auto"/>
              <w:rPr>
                <w:rFonts w:eastAsia="바탕"/>
                <w:szCs w:val="24"/>
              </w:rPr>
            </w:pPr>
          </w:p>
        </w:tc>
        <w:tc>
          <w:tcPr>
            <w:tcW w:w="4190" w:type="pct"/>
            <w:vAlign w:val="center"/>
          </w:tcPr>
          <w:p w:rsidR="00792DCE" w:rsidRPr="00D50CF9" w:rsidRDefault="00792DCE" w:rsidP="00FF6C9B">
            <w:pPr>
              <w:spacing w:line="480" w:lineRule="auto"/>
              <w:rPr>
                <w:rFonts w:eastAsia="바탕"/>
                <w:szCs w:val="24"/>
              </w:rPr>
            </w:pPr>
            <m:oMathPara>
              <m:oMath>
                <m:r>
                  <w:rPr>
                    <w:rFonts w:ascii="Cambria Math" w:eastAsia="바탕" w:hAnsi="Cambria Math"/>
                    <w:szCs w:val="24"/>
                  </w:rPr>
                  <m:t>Correlation Coefficeint (R)=</m:t>
                </m:r>
                <m:f>
                  <m:fPr>
                    <m:ctrlPr>
                      <w:rPr>
                        <w:rFonts w:ascii="Cambria Math" w:eastAsia="바탕" w:hAnsi="Cambria Math"/>
                        <w:i/>
                        <w:szCs w:val="24"/>
                      </w:rPr>
                    </m:ctrlPr>
                  </m:fPr>
                  <m:num>
                    <m:r>
                      <w:rPr>
                        <w:rFonts w:ascii="Cambria Math" w:eastAsia="바탕" w:hAnsi="Cambria Math"/>
                        <w:szCs w:val="24"/>
                      </w:rPr>
                      <m:t>1</m:t>
                    </m:r>
                  </m:num>
                  <m:den>
                    <m:r>
                      <w:rPr>
                        <w:rFonts w:ascii="Cambria Math" w:eastAsia="바탕" w:hAnsi="Cambria Math"/>
                        <w:szCs w:val="24"/>
                      </w:rPr>
                      <m:t>(n-1)</m:t>
                    </m:r>
                  </m:den>
                </m:f>
                <m:nary>
                  <m:naryPr>
                    <m:chr m:val="∑"/>
                    <m:limLoc m:val="undOvr"/>
                    <m:ctrlPr>
                      <w:rPr>
                        <w:rFonts w:ascii="Cambria Math" w:eastAsia="바탕" w:hAnsi="Cambria Math"/>
                        <w:i/>
                        <w:szCs w:val="24"/>
                      </w:rPr>
                    </m:ctrlPr>
                  </m:naryPr>
                  <m:sub>
                    <m:r>
                      <w:rPr>
                        <w:rFonts w:ascii="Cambria Math" w:eastAsia="바탕" w:hAnsi="Cambria Math"/>
                        <w:szCs w:val="24"/>
                      </w:rPr>
                      <m:t>i=1</m:t>
                    </m:r>
                  </m:sub>
                  <m:sup>
                    <m:r>
                      <w:rPr>
                        <w:rFonts w:ascii="Cambria Math" w:eastAsia="바탕" w:hAnsi="Cambria Math"/>
                        <w:szCs w:val="24"/>
                      </w:rPr>
                      <m:t>n</m:t>
                    </m:r>
                  </m:sup>
                  <m:e>
                    <m:d>
                      <m:dPr>
                        <m:ctrlPr>
                          <w:rPr>
                            <w:rFonts w:ascii="Cambria Math" w:eastAsia="바탕" w:hAnsi="Cambria Math"/>
                            <w:i/>
                            <w:szCs w:val="24"/>
                          </w:rPr>
                        </m:ctrlPr>
                      </m:dPr>
                      <m:e>
                        <m:d>
                          <m:dPr>
                            <m:ctrlPr>
                              <w:rPr>
                                <w:rFonts w:ascii="Cambria Math" w:eastAsia="바탕" w:hAnsi="Cambria Math"/>
                                <w:i/>
                                <w:szCs w:val="24"/>
                              </w:rPr>
                            </m:ctrlPr>
                          </m:dPr>
                          <m:e>
                            <m:f>
                              <m:fPr>
                                <m:ctrlPr>
                                  <w:rPr>
                                    <w:rFonts w:ascii="Cambria Math" w:eastAsia="바탕" w:hAnsi="Cambria Math"/>
                                    <w:i/>
                                    <w:szCs w:val="24"/>
                                  </w:rPr>
                                </m:ctrlPr>
                              </m:fPr>
                              <m:num>
                                <m:sSub>
                                  <m:sSubPr>
                                    <m:ctrlPr>
                                      <w:rPr>
                                        <w:rFonts w:ascii="Cambria Math" w:eastAsia="바탕" w:hAnsi="Cambria Math"/>
                                        <w:i/>
                                        <w:szCs w:val="24"/>
                                      </w:rPr>
                                    </m:ctrlPr>
                                  </m:sSubPr>
                                  <m:e>
                                    <m:r>
                                      <w:rPr>
                                        <w:rFonts w:ascii="Cambria Math" w:eastAsia="바탕" w:hAnsi="Cambria Math"/>
                                        <w:szCs w:val="24"/>
                                      </w:rPr>
                                      <m:t>M</m:t>
                                    </m:r>
                                  </m:e>
                                  <m:sub>
                                    <m:r>
                                      <w:rPr>
                                        <w:rFonts w:ascii="Cambria Math" w:eastAsia="바탕" w:hAnsi="Cambria Math"/>
                                        <w:szCs w:val="24"/>
                                      </w:rPr>
                                      <m:t>i</m:t>
                                    </m:r>
                                  </m:sub>
                                </m:sSub>
                                <m:r>
                                  <w:rPr>
                                    <w:rFonts w:ascii="Cambria Math" w:eastAsia="바탕" w:hAnsi="Cambria Math"/>
                                    <w:szCs w:val="24"/>
                                  </w:rPr>
                                  <m:t>-</m:t>
                                </m:r>
                                <m:acc>
                                  <m:accPr>
                                    <m:chr m:val="̅"/>
                                    <m:ctrlPr>
                                      <w:rPr>
                                        <w:rFonts w:ascii="Cambria Math" w:eastAsia="바탕" w:hAnsi="Cambria Math"/>
                                        <w:i/>
                                        <w:szCs w:val="24"/>
                                      </w:rPr>
                                    </m:ctrlPr>
                                  </m:accPr>
                                  <m:e>
                                    <m:r>
                                      <w:rPr>
                                        <w:rFonts w:ascii="Cambria Math" w:eastAsia="바탕" w:hAnsi="Cambria Math"/>
                                        <w:szCs w:val="24"/>
                                      </w:rPr>
                                      <m:t>M</m:t>
                                    </m:r>
                                  </m:e>
                                </m:acc>
                              </m:num>
                              <m:den>
                                <m:sSub>
                                  <m:sSubPr>
                                    <m:ctrlPr>
                                      <w:rPr>
                                        <w:rFonts w:ascii="Cambria Math" w:eastAsia="바탕" w:hAnsi="Cambria Math"/>
                                        <w:i/>
                                        <w:szCs w:val="24"/>
                                      </w:rPr>
                                    </m:ctrlPr>
                                  </m:sSubPr>
                                  <m:e>
                                    <m:r>
                                      <w:rPr>
                                        <w:rFonts w:ascii="Cambria Math" w:eastAsia="바탕" w:hAnsi="Cambria Math"/>
                                        <w:szCs w:val="24"/>
                                      </w:rPr>
                                      <m:t>σ</m:t>
                                    </m:r>
                                  </m:e>
                                  <m:sub>
                                    <m:r>
                                      <w:rPr>
                                        <w:rFonts w:ascii="Cambria Math" w:eastAsia="바탕" w:hAnsi="Cambria Math"/>
                                        <w:szCs w:val="24"/>
                                      </w:rPr>
                                      <m:t>M</m:t>
                                    </m:r>
                                  </m:sub>
                                </m:sSub>
                              </m:den>
                            </m:f>
                          </m:e>
                        </m:d>
                        <m:d>
                          <m:dPr>
                            <m:ctrlPr>
                              <w:rPr>
                                <w:rFonts w:ascii="Cambria Math" w:eastAsia="바탕" w:hAnsi="Cambria Math"/>
                                <w:i/>
                                <w:szCs w:val="24"/>
                              </w:rPr>
                            </m:ctrlPr>
                          </m:dPr>
                          <m:e>
                            <m:f>
                              <m:fPr>
                                <m:ctrlPr>
                                  <w:rPr>
                                    <w:rFonts w:ascii="Cambria Math" w:eastAsia="바탕" w:hAnsi="Cambria Math"/>
                                    <w:i/>
                                    <w:szCs w:val="24"/>
                                  </w:rPr>
                                </m:ctrlPr>
                              </m:fPr>
                              <m:num>
                                <m:sSub>
                                  <m:sSubPr>
                                    <m:ctrlPr>
                                      <w:rPr>
                                        <w:rFonts w:ascii="Cambria Math" w:eastAsia="바탕" w:hAnsi="Cambria Math"/>
                                        <w:i/>
                                        <w:szCs w:val="24"/>
                                      </w:rPr>
                                    </m:ctrlPr>
                                  </m:sSubPr>
                                  <m:e>
                                    <m:r>
                                      <w:rPr>
                                        <w:rFonts w:ascii="Cambria Math" w:eastAsia="바탕" w:hAnsi="Cambria Math"/>
                                        <w:szCs w:val="24"/>
                                      </w:rPr>
                                      <m:t>O</m:t>
                                    </m:r>
                                  </m:e>
                                  <m:sub>
                                    <m:r>
                                      <w:rPr>
                                        <w:rFonts w:ascii="Cambria Math" w:eastAsia="바탕" w:hAnsi="Cambria Math"/>
                                        <w:szCs w:val="24"/>
                                      </w:rPr>
                                      <m:t>i</m:t>
                                    </m:r>
                                  </m:sub>
                                </m:sSub>
                                <m:r>
                                  <w:rPr>
                                    <w:rFonts w:ascii="Cambria Math" w:eastAsia="바탕" w:hAnsi="Cambria Math"/>
                                    <w:szCs w:val="24"/>
                                  </w:rPr>
                                  <m:t>-</m:t>
                                </m:r>
                                <m:acc>
                                  <m:accPr>
                                    <m:chr m:val="̅"/>
                                    <m:ctrlPr>
                                      <w:rPr>
                                        <w:rFonts w:ascii="Cambria Math" w:eastAsia="바탕" w:hAnsi="Cambria Math"/>
                                        <w:i/>
                                        <w:szCs w:val="24"/>
                                      </w:rPr>
                                    </m:ctrlPr>
                                  </m:accPr>
                                  <m:e>
                                    <m:r>
                                      <w:rPr>
                                        <w:rFonts w:ascii="Cambria Math" w:eastAsia="바탕" w:hAnsi="Cambria Math"/>
                                        <w:szCs w:val="24"/>
                                      </w:rPr>
                                      <m:t>O</m:t>
                                    </m:r>
                                  </m:e>
                                </m:acc>
                              </m:num>
                              <m:den>
                                <m:sSub>
                                  <m:sSubPr>
                                    <m:ctrlPr>
                                      <w:rPr>
                                        <w:rFonts w:ascii="Cambria Math" w:eastAsia="바탕" w:hAnsi="Cambria Math"/>
                                        <w:i/>
                                        <w:szCs w:val="24"/>
                                      </w:rPr>
                                    </m:ctrlPr>
                                  </m:sSubPr>
                                  <m:e>
                                    <m:r>
                                      <w:rPr>
                                        <w:rFonts w:ascii="Cambria Math" w:eastAsia="바탕" w:hAnsi="Cambria Math"/>
                                        <w:szCs w:val="24"/>
                                      </w:rPr>
                                      <m:t>σ</m:t>
                                    </m:r>
                                  </m:e>
                                  <m:sub>
                                    <m:r>
                                      <w:rPr>
                                        <w:rFonts w:ascii="Cambria Math" w:eastAsia="바탕" w:hAnsi="Cambria Math"/>
                                        <w:szCs w:val="24"/>
                                      </w:rPr>
                                      <m:t>O</m:t>
                                    </m:r>
                                  </m:sub>
                                </m:sSub>
                              </m:den>
                            </m:f>
                          </m:e>
                        </m:d>
                      </m:e>
                    </m:d>
                  </m:e>
                </m:nary>
              </m:oMath>
            </m:oMathPara>
          </w:p>
        </w:tc>
        <w:tc>
          <w:tcPr>
            <w:tcW w:w="405" w:type="pct"/>
            <w:vAlign w:val="center"/>
          </w:tcPr>
          <w:p w:rsidR="00792DCE" w:rsidRPr="00D50CF9" w:rsidRDefault="00BB25F5" w:rsidP="00BB25F5">
            <w:pPr>
              <w:spacing w:line="480" w:lineRule="auto"/>
              <w:jc w:val="right"/>
              <w:rPr>
                <w:rFonts w:eastAsia="바탕"/>
                <w:szCs w:val="24"/>
              </w:rPr>
            </w:pPr>
            <w:r w:rsidRPr="00D50CF9">
              <w:rPr>
                <w:rFonts w:eastAsia="바탕"/>
                <w:szCs w:val="24"/>
              </w:rPr>
              <w:t>(3)</w:t>
            </w:r>
          </w:p>
        </w:tc>
      </w:tr>
      <w:tr w:rsidR="00792DCE" w:rsidRPr="00D50CF9" w:rsidTr="00FF6C9B">
        <w:trPr>
          <w:trHeight w:val="283"/>
        </w:trPr>
        <w:tc>
          <w:tcPr>
            <w:tcW w:w="405" w:type="pct"/>
            <w:vAlign w:val="center"/>
          </w:tcPr>
          <w:p w:rsidR="00792DCE" w:rsidRPr="00D50CF9" w:rsidRDefault="00792DCE" w:rsidP="00FF6C9B">
            <w:pPr>
              <w:spacing w:line="480" w:lineRule="auto"/>
              <w:rPr>
                <w:rFonts w:eastAsia="바탕"/>
                <w:szCs w:val="24"/>
              </w:rPr>
            </w:pPr>
          </w:p>
        </w:tc>
        <w:tc>
          <w:tcPr>
            <w:tcW w:w="4190" w:type="pct"/>
            <w:vAlign w:val="center"/>
          </w:tcPr>
          <w:p w:rsidR="00792DCE" w:rsidRPr="00D50CF9" w:rsidRDefault="00792DCE" w:rsidP="00FF6C9B">
            <w:pPr>
              <w:spacing w:line="480" w:lineRule="auto"/>
              <w:rPr>
                <w:rFonts w:eastAsia="바탕"/>
                <w:szCs w:val="24"/>
              </w:rPr>
            </w:pPr>
            <m:oMathPara>
              <m:oMath>
                <m:r>
                  <w:rPr>
                    <w:rFonts w:ascii="Cambria Math" w:eastAsia="바탕" w:hAnsi="Cambria Math"/>
                    <w:szCs w:val="24"/>
                  </w:rPr>
                  <m:t>Mean Bias (MB)=</m:t>
                </m:r>
                <m:f>
                  <m:fPr>
                    <m:ctrlPr>
                      <w:rPr>
                        <w:rFonts w:ascii="Cambria Math" w:eastAsia="바탕" w:hAnsi="Cambria Math"/>
                        <w:i/>
                        <w:szCs w:val="24"/>
                      </w:rPr>
                    </m:ctrlPr>
                  </m:fPr>
                  <m:num>
                    <m:r>
                      <w:rPr>
                        <w:rFonts w:ascii="Cambria Math" w:eastAsia="바탕" w:hAnsi="Cambria Math"/>
                        <w:szCs w:val="24"/>
                      </w:rPr>
                      <m:t>1</m:t>
                    </m:r>
                  </m:num>
                  <m:den>
                    <m:r>
                      <w:rPr>
                        <w:rFonts w:ascii="Cambria Math" w:eastAsia="바탕" w:hAnsi="Cambria Math"/>
                        <w:szCs w:val="24"/>
                      </w:rPr>
                      <m:t>n</m:t>
                    </m:r>
                  </m:den>
                </m:f>
                <m:nary>
                  <m:naryPr>
                    <m:chr m:val="∑"/>
                    <m:limLoc m:val="undOvr"/>
                    <m:ctrlPr>
                      <w:rPr>
                        <w:rFonts w:ascii="Cambria Math" w:eastAsia="바탕" w:hAnsi="Cambria Math"/>
                        <w:i/>
                        <w:szCs w:val="24"/>
                      </w:rPr>
                    </m:ctrlPr>
                  </m:naryPr>
                  <m:sub>
                    <m:r>
                      <w:rPr>
                        <w:rFonts w:ascii="Cambria Math" w:eastAsia="바탕" w:hAnsi="Cambria Math"/>
                        <w:szCs w:val="24"/>
                      </w:rPr>
                      <m:t>i=1</m:t>
                    </m:r>
                  </m:sub>
                  <m:sup>
                    <m:r>
                      <w:rPr>
                        <w:rFonts w:ascii="Cambria Math" w:eastAsia="바탕" w:hAnsi="Cambria Math"/>
                        <w:szCs w:val="24"/>
                      </w:rPr>
                      <m:t>n</m:t>
                    </m:r>
                  </m:sup>
                  <m:e>
                    <m:d>
                      <m:dPr>
                        <m:ctrlPr>
                          <w:rPr>
                            <w:rFonts w:ascii="Cambria Math" w:eastAsia="바탕" w:hAnsi="Cambria Math"/>
                            <w:i/>
                            <w:szCs w:val="24"/>
                          </w:rPr>
                        </m:ctrlPr>
                      </m:dPr>
                      <m:e>
                        <m:sSub>
                          <m:sSubPr>
                            <m:ctrlPr>
                              <w:rPr>
                                <w:rFonts w:ascii="Cambria Math" w:eastAsia="바탕" w:hAnsi="Cambria Math"/>
                                <w:i/>
                                <w:szCs w:val="24"/>
                              </w:rPr>
                            </m:ctrlPr>
                          </m:sSubPr>
                          <m:e>
                            <m:r>
                              <w:rPr>
                                <w:rFonts w:ascii="Cambria Math" w:eastAsia="바탕" w:hAnsi="Cambria Math"/>
                                <w:szCs w:val="24"/>
                              </w:rPr>
                              <m:t>M</m:t>
                            </m:r>
                          </m:e>
                          <m:sub>
                            <m:r>
                              <w:rPr>
                                <w:rFonts w:ascii="Cambria Math" w:eastAsia="바탕" w:hAnsi="Cambria Math"/>
                                <w:szCs w:val="24"/>
                              </w:rPr>
                              <m:t>i</m:t>
                            </m:r>
                          </m:sub>
                        </m:sSub>
                        <m:r>
                          <w:rPr>
                            <w:rFonts w:ascii="Cambria Math" w:eastAsia="바탕" w:hAnsi="Cambria Math"/>
                            <w:szCs w:val="24"/>
                          </w:rPr>
                          <m:t>-</m:t>
                        </m:r>
                        <m:sSub>
                          <m:sSubPr>
                            <m:ctrlPr>
                              <w:rPr>
                                <w:rFonts w:ascii="Cambria Math" w:eastAsia="바탕" w:hAnsi="Cambria Math"/>
                                <w:i/>
                                <w:szCs w:val="24"/>
                              </w:rPr>
                            </m:ctrlPr>
                          </m:sSubPr>
                          <m:e>
                            <m:r>
                              <w:rPr>
                                <w:rFonts w:ascii="Cambria Math" w:eastAsia="바탕" w:hAnsi="Cambria Math"/>
                                <w:szCs w:val="24"/>
                              </w:rPr>
                              <m:t>O</m:t>
                            </m:r>
                          </m:e>
                          <m:sub>
                            <m:r>
                              <w:rPr>
                                <w:rFonts w:ascii="Cambria Math" w:eastAsia="바탕" w:hAnsi="Cambria Math"/>
                                <w:szCs w:val="24"/>
                              </w:rPr>
                              <m:t>i</m:t>
                            </m:r>
                          </m:sub>
                        </m:sSub>
                      </m:e>
                    </m:d>
                  </m:e>
                </m:nary>
              </m:oMath>
            </m:oMathPara>
          </w:p>
        </w:tc>
        <w:tc>
          <w:tcPr>
            <w:tcW w:w="405" w:type="pct"/>
            <w:vAlign w:val="center"/>
          </w:tcPr>
          <w:p w:rsidR="00792DCE" w:rsidRPr="00D50CF9" w:rsidRDefault="00BB25F5" w:rsidP="00BB25F5">
            <w:pPr>
              <w:spacing w:line="480" w:lineRule="auto"/>
              <w:jc w:val="right"/>
              <w:rPr>
                <w:rFonts w:eastAsia="바탕"/>
                <w:szCs w:val="24"/>
              </w:rPr>
            </w:pPr>
            <w:r w:rsidRPr="00D50CF9">
              <w:rPr>
                <w:rFonts w:eastAsia="바탕"/>
                <w:szCs w:val="24"/>
              </w:rPr>
              <w:t>(</w:t>
            </w:r>
            <w:r w:rsidR="00792DCE" w:rsidRPr="00D50CF9">
              <w:rPr>
                <w:rFonts w:eastAsia="바탕"/>
                <w:szCs w:val="24"/>
              </w:rPr>
              <w:t>4</w:t>
            </w:r>
            <w:r w:rsidRPr="00D50CF9">
              <w:rPr>
                <w:rFonts w:eastAsia="바탕"/>
                <w:szCs w:val="24"/>
              </w:rPr>
              <w:t>)</w:t>
            </w:r>
          </w:p>
        </w:tc>
      </w:tr>
      <w:tr w:rsidR="00792DCE" w:rsidRPr="00D50CF9" w:rsidTr="00FF6C9B">
        <w:trPr>
          <w:trHeight w:val="283"/>
        </w:trPr>
        <w:tc>
          <w:tcPr>
            <w:tcW w:w="405" w:type="pct"/>
            <w:vAlign w:val="center"/>
          </w:tcPr>
          <w:p w:rsidR="00792DCE" w:rsidRPr="00D50CF9" w:rsidRDefault="00792DCE" w:rsidP="00FF6C9B">
            <w:pPr>
              <w:spacing w:line="480" w:lineRule="auto"/>
              <w:rPr>
                <w:rFonts w:eastAsia="바탕"/>
                <w:szCs w:val="24"/>
              </w:rPr>
            </w:pPr>
          </w:p>
        </w:tc>
        <w:tc>
          <w:tcPr>
            <w:tcW w:w="4190" w:type="pct"/>
            <w:vAlign w:val="center"/>
          </w:tcPr>
          <w:p w:rsidR="00792DCE" w:rsidRPr="00D50CF9" w:rsidRDefault="00792DCE" w:rsidP="00FF6C9B">
            <w:pPr>
              <w:spacing w:line="480" w:lineRule="auto"/>
              <w:rPr>
                <w:rFonts w:eastAsia="바탕"/>
                <w:szCs w:val="24"/>
              </w:rPr>
            </w:pPr>
            <m:oMathPara>
              <m:oMath>
                <m:r>
                  <w:rPr>
                    <w:rFonts w:ascii="Cambria Math" w:eastAsia="바탕" w:hAnsi="Cambria Math"/>
                    <w:szCs w:val="24"/>
                  </w:rPr>
                  <m:t>Root Mean Square Error (RMSE)=</m:t>
                </m:r>
                <m:rad>
                  <m:radPr>
                    <m:degHide m:val="1"/>
                    <m:ctrlPr>
                      <w:rPr>
                        <w:rFonts w:ascii="Cambria Math" w:eastAsia="바탕" w:hAnsi="Cambria Math"/>
                        <w:i/>
                        <w:szCs w:val="24"/>
                      </w:rPr>
                    </m:ctrlPr>
                  </m:radPr>
                  <m:deg/>
                  <m:e>
                    <m:f>
                      <m:fPr>
                        <m:ctrlPr>
                          <w:rPr>
                            <w:rFonts w:ascii="Cambria Math" w:eastAsia="바탕" w:hAnsi="Cambria Math"/>
                            <w:i/>
                            <w:szCs w:val="24"/>
                          </w:rPr>
                        </m:ctrlPr>
                      </m:fPr>
                      <m:num>
                        <m:nary>
                          <m:naryPr>
                            <m:chr m:val="∑"/>
                            <m:limLoc m:val="undOvr"/>
                            <m:ctrlPr>
                              <w:rPr>
                                <w:rFonts w:ascii="Cambria Math" w:eastAsia="바탕" w:hAnsi="Cambria Math"/>
                                <w:i/>
                                <w:szCs w:val="24"/>
                              </w:rPr>
                            </m:ctrlPr>
                          </m:naryPr>
                          <m:sub>
                            <m:r>
                              <w:rPr>
                                <w:rFonts w:ascii="Cambria Math" w:eastAsia="바탕" w:hAnsi="Cambria Math"/>
                                <w:szCs w:val="24"/>
                              </w:rPr>
                              <m:t>i=1</m:t>
                            </m:r>
                          </m:sub>
                          <m:sup>
                            <m:r>
                              <w:rPr>
                                <w:rFonts w:ascii="Cambria Math" w:eastAsia="바탕" w:hAnsi="Cambria Math"/>
                                <w:szCs w:val="24"/>
                              </w:rPr>
                              <m:t>n</m:t>
                            </m:r>
                          </m:sup>
                          <m:e>
                            <m:sSup>
                              <m:sSupPr>
                                <m:ctrlPr>
                                  <w:rPr>
                                    <w:rFonts w:ascii="Cambria Math" w:eastAsia="바탕" w:hAnsi="Cambria Math"/>
                                    <w:i/>
                                    <w:szCs w:val="24"/>
                                  </w:rPr>
                                </m:ctrlPr>
                              </m:sSupPr>
                              <m:e>
                                <m:r>
                                  <w:rPr>
                                    <w:rFonts w:ascii="Cambria Math" w:eastAsia="바탕" w:hAnsi="Cambria Math"/>
                                    <w:szCs w:val="24"/>
                                  </w:rPr>
                                  <m:t>(</m:t>
                                </m:r>
                                <m:sSub>
                                  <m:sSubPr>
                                    <m:ctrlPr>
                                      <w:rPr>
                                        <w:rFonts w:ascii="Cambria Math" w:eastAsia="바탕" w:hAnsi="Cambria Math"/>
                                        <w:i/>
                                        <w:szCs w:val="24"/>
                                      </w:rPr>
                                    </m:ctrlPr>
                                  </m:sSubPr>
                                  <m:e>
                                    <m:r>
                                      <w:rPr>
                                        <w:rFonts w:ascii="Cambria Math" w:eastAsia="바탕" w:hAnsi="Cambria Math"/>
                                        <w:szCs w:val="24"/>
                                      </w:rPr>
                                      <m:t>M</m:t>
                                    </m:r>
                                  </m:e>
                                  <m:sub>
                                    <m:r>
                                      <w:rPr>
                                        <w:rFonts w:ascii="Cambria Math" w:eastAsia="바탕" w:hAnsi="Cambria Math"/>
                                        <w:szCs w:val="24"/>
                                      </w:rPr>
                                      <m:t>i</m:t>
                                    </m:r>
                                  </m:sub>
                                </m:sSub>
                                <m:r>
                                  <w:rPr>
                                    <w:rFonts w:ascii="Cambria Math" w:eastAsia="바탕" w:hAnsi="Cambria Math"/>
                                    <w:szCs w:val="24"/>
                                  </w:rPr>
                                  <m:t>-</m:t>
                                </m:r>
                                <m:sSub>
                                  <m:sSubPr>
                                    <m:ctrlPr>
                                      <w:rPr>
                                        <w:rFonts w:ascii="Cambria Math" w:eastAsia="바탕" w:hAnsi="Cambria Math"/>
                                        <w:i/>
                                        <w:szCs w:val="24"/>
                                      </w:rPr>
                                    </m:ctrlPr>
                                  </m:sSubPr>
                                  <m:e>
                                    <m:r>
                                      <w:rPr>
                                        <w:rFonts w:ascii="Cambria Math" w:eastAsia="바탕" w:hAnsi="Cambria Math"/>
                                        <w:szCs w:val="24"/>
                                      </w:rPr>
                                      <m:t>O</m:t>
                                    </m:r>
                                  </m:e>
                                  <m:sub>
                                    <m:r>
                                      <w:rPr>
                                        <w:rFonts w:ascii="Cambria Math" w:eastAsia="바탕" w:hAnsi="Cambria Math"/>
                                        <w:szCs w:val="24"/>
                                      </w:rPr>
                                      <m:t>i</m:t>
                                    </m:r>
                                  </m:sub>
                                </m:sSub>
                                <m:r>
                                  <w:rPr>
                                    <w:rFonts w:ascii="Cambria Math" w:eastAsia="바탕" w:hAnsi="Cambria Math"/>
                                    <w:szCs w:val="24"/>
                                  </w:rPr>
                                  <m:t>)</m:t>
                                </m:r>
                              </m:e>
                              <m:sup>
                                <m:r>
                                  <w:rPr>
                                    <w:rFonts w:ascii="Cambria Math" w:eastAsia="바탕" w:hAnsi="Cambria Math"/>
                                    <w:szCs w:val="24"/>
                                  </w:rPr>
                                  <m:t>2</m:t>
                                </m:r>
                              </m:sup>
                            </m:sSup>
                          </m:e>
                        </m:nary>
                      </m:num>
                      <m:den>
                        <m:r>
                          <w:rPr>
                            <w:rFonts w:ascii="Cambria Math" w:eastAsia="바탕" w:hAnsi="Cambria Math"/>
                            <w:szCs w:val="24"/>
                          </w:rPr>
                          <m:t>n</m:t>
                        </m:r>
                      </m:den>
                    </m:f>
                  </m:e>
                </m:rad>
              </m:oMath>
            </m:oMathPara>
          </w:p>
        </w:tc>
        <w:tc>
          <w:tcPr>
            <w:tcW w:w="405" w:type="pct"/>
            <w:vAlign w:val="center"/>
          </w:tcPr>
          <w:p w:rsidR="00792DCE" w:rsidRPr="00D50CF9" w:rsidRDefault="00BB25F5" w:rsidP="00BB25F5">
            <w:pPr>
              <w:spacing w:line="480" w:lineRule="auto"/>
              <w:jc w:val="right"/>
              <w:rPr>
                <w:rFonts w:eastAsia="바탕"/>
                <w:szCs w:val="24"/>
              </w:rPr>
            </w:pPr>
            <w:r w:rsidRPr="00D50CF9">
              <w:rPr>
                <w:rFonts w:eastAsia="바탕"/>
                <w:szCs w:val="24"/>
              </w:rPr>
              <w:t>(</w:t>
            </w:r>
            <w:r w:rsidR="00792DCE" w:rsidRPr="00D50CF9">
              <w:rPr>
                <w:rFonts w:eastAsia="바탕"/>
                <w:szCs w:val="24"/>
              </w:rPr>
              <w:t>5</w:t>
            </w:r>
            <w:r w:rsidRPr="00D50CF9">
              <w:rPr>
                <w:rFonts w:eastAsia="바탕"/>
                <w:szCs w:val="24"/>
              </w:rPr>
              <w:t>)</w:t>
            </w:r>
          </w:p>
        </w:tc>
      </w:tr>
    </w:tbl>
    <w:p w:rsidR="00792DCE" w:rsidRPr="00D50CF9" w:rsidRDefault="00792DCE" w:rsidP="00792DCE">
      <w:pPr>
        <w:jc w:val="both"/>
        <w:rPr>
          <w:szCs w:val="24"/>
        </w:rPr>
      </w:pPr>
      <w:r w:rsidRPr="00D50CF9">
        <w:rPr>
          <w:szCs w:val="24"/>
        </w:rPr>
        <w:t xml:space="preserve">where </w:t>
      </w:r>
      <w:r w:rsidRPr="00D50CF9">
        <w:rPr>
          <w:i/>
          <w:szCs w:val="24"/>
        </w:rPr>
        <w:t>M</w:t>
      </w:r>
      <w:r w:rsidRPr="00D50CF9">
        <w:rPr>
          <w:szCs w:val="24"/>
        </w:rPr>
        <w:t xml:space="preserve"> and </w:t>
      </w:r>
      <w:r w:rsidRPr="00D50CF9">
        <w:rPr>
          <w:i/>
          <w:szCs w:val="24"/>
        </w:rPr>
        <w:t>O</w:t>
      </w:r>
      <w:r w:rsidRPr="00D50CF9">
        <w:rPr>
          <w:szCs w:val="24"/>
        </w:rPr>
        <w:t xml:space="preserve"> represent modeled and observed concentrations of atmospheric species, respectively.</w:t>
      </w:r>
    </w:p>
    <w:p w:rsidR="00792DCE" w:rsidRPr="00D50CF9" w:rsidRDefault="00792DCE" w:rsidP="00792DCE">
      <w:pPr>
        <w:ind w:firstLine="800"/>
        <w:jc w:val="both"/>
        <w:rPr>
          <w:szCs w:val="24"/>
        </w:rPr>
      </w:pPr>
      <w:r w:rsidRPr="00D50CF9">
        <w:rPr>
          <w:szCs w:val="24"/>
        </w:rPr>
        <w:t xml:space="preserve">In the main text, we also mentioned HR (hit rate). Unlike scientific metrics, the HR can be classified into ‘administrative metrics’ because administration parties (like KMoE) are particularly interested in this metric. The HR is the most representative (popular) administrative metric in South Korea, although there are a couple of other administrative metrics such as ACC (ACCuracy) and FAR (False Alarm Rate). These metrics are defined based on the percentage of hitting category intervals of South Korean air quality standards. </w:t>
      </w:r>
      <w:r w:rsidR="00725B9F" w:rsidRPr="00D50CF9">
        <w:rPr>
          <w:szCs w:val="24"/>
        </w:rPr>
        <w:t xml:space="preserve">Supplementary </w:t>
      </w:r>
      <w:r w:rsidRPr="00D50CF9">
        <w:rPr>
          <w:szCs w:val="24"/>
        </w:rPr>
        <w:t xml:space="preserve">Table 5 presents current standards of air quality in South Korea. There are four categories in the standards of air quality in South Korea: ‘Good’, ‘Moderate’, ‘Bad (unhealthy)’, and ‘Very bad (very unhealthy)’. ACC, </w:t>
      </w:r>
      <w:r w:rsidR="00665E62" w:rsidRPr="00D50CF9">
        <w:rPr>
          <w:szCs w:val="24"/>
        </w:rPr>
        <w:t xml:space="preserve">HR, </w:t>
      </w:r>
      <w:r w:rsidR="00665E62">
        <w:rPr>
          <w:szCs w:val="24"/>
          <w:lang w:eastAsia="ko-KR"/>
        </w:rPr>
        <w:t xml:space="preserve">POD, </w:t>
      </w:r>
      <w:r w:rsidRPr="00D50CF9">
        <w:rPr>
          <w:szCs w:val="24"/>
        </w:rPr>
        <w:t>and FAR are defined based on the percentage of successful hitting categories in South Korean standards of air quality (</w:t>
      </w:r>
      <w:r w:rsidR="00725B9F" w:rsidRPr="00D50CF9">
        <w:rPr>
          <w:szCs w:val="24"/>
        </w:rPr>
        <w:t xml:space="preserve">Supplementary </w:t>
      </w:r>
      <w:r w:rsidRPr="00D50CF9">
        <w:rPr>
          <w:szCs w:val="24"/>
        </w:rPr>
        <w:t>Table 6). Definitions of these metrics are shown below:</w:t>
      </w:r>
    </w:p>
    <w:tbl>
      <w:tblPr>
        <w:tblStyle w:val="afff1"/>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0"/>
        <w:gridCol w:w="7240"/>
        <w:gridCol w:w="700"/>
      </w:tblGrid>
      <w:tr w:rsidR="00792DCE" w:rsidRPr="00D50CF9" w:rsidTr="00FF6C9B">
        <w:trPr>
          <w:trHeight w:val="283"/>
        </w:trPr>
        <w:tc>
          <w:tcPr>
            <w:tcW w:w="405" w:type="pct"/>
            <w:vAlign w:val="center"/>
          </w:tcPr>
          <w:p w:rsidR="00792DCE" w:rsidRPr="00D50CF9" w:rsidRDefault="00792DCE" w:rsidP="00FF6C9B">
            <w:pPr>
              <w:spacing w:line="480" w:lineRule="auto"/>
              <w:rPr>
                <w:rFonts w:eastAsia="바탕"/>
                <w:szCs w:val="24"/>
              </w:rPr>
            </w:pPr>
          </w:p>
        </w:tc>
        <w:tc>
          <w:tcPr>
            <w:tcW w:w="4190" w:type="pct"/>
            <w:vAlign w:val="center"/>
          </w:tcPr>
          <w:p w:rsidR="00792DCE" w:rsidRPr="00D50CF9" w:rsidRDefault="00792DCE" w:rsidP="00FF6C9B">
            <w:pPr>
              <w:spacing w:line="480" w:lineRule="auto"/>
              <w:rPr>
                <w:rFonts w:eastAsia="바탕"/>
                <w:szCs w:val="24"/>
              </w:rPr>
            </w:pPr>
            <m:oMathPara>
              <m:oMath>
                <m:r>
                  <w:rPr>
                    <w:rFonts w:ascii="Cambria Math" w:eastAsia="바탕" w:hAnsi="Cambria Math"/>
                    <w:szCs w:val="24"/>
                  </w:rPr>
                  <m:t xml:space="preserve">Accuracy </m:t>
                </m:r>
                <m:d>
                  <m:dPr>
                    <m:ctrlPr>
                      <w:rPr>
                        <w:rFonts w:ascii="Cambria Math" w:eastAsia="바탕" w:hAnsi="Cambria Math"/>
                        <w:i/>
                        <w:szCs w:val="24"/>
                      </w:rPr>
                    </m:ctrlPr>
                  </m:dPr>
                  <m:e>
                    <m:r>
                      <w:rPr>
                        <w:rFonts w:ascii="Cambria Math" w:eastAsia="바탕" w:hAnsi="Cambria Math"/>
                        <w:szCs w:val="24"/>
                      </w:rPr>
                      <m:t>ACC</m:t>
                    </m:r>
                  </m:e>
                </m:d>
                <m:r>
                  <w:rPr>
                    <w:rFonts w:ascii="Cambria Math" w:eastAsia="바탕" w:hAnsi="Cambria Math"/>
                    <w:szCs w:val="24"/>
                  </w:rPr>
                  <m:t>=</m:t>
                </m:r>
                <m:f>
                  <m:fPr>
                    <m:ctrlPr>
                      <w:rPr>
                        <w:rFonts w:ascii="Cambria Math" w:eastAsia="바탕" w:hAnsi="Cambria Math"/>
                        <w:i/>
                        <w:szCs w:val="24"/>
                      </w:rPr>
                    </m:ctrlPr>
                  </m:fPr>
                  <m:num>
                    <m:r>
                      <w:rPr>
                        <w:rFonts w:ascii="Cambria Math" w:eastAsia="바탕" w:hAnsi="Cambria Math"/>
                        <w:szCs w:val="24"/>
                      </w:rPr>
                      <m:t>A1+B2+C3+D4</m:t>
                    </m:r>
                  </m:num>
                  <m:den>
                    <m:r>
                      <w:rPr>
                        <w:rFonts w:ascii="Cambria Math" w:eastAsia="바탕" w:hAnsi="Cambria Math"/>
                        <w:szCs w:val="24"/>
                      </w:rPr>
                      <m:t>I+II+III+IV</m:t>
                    </m:r>
                  </m:den>
                </m:f>
                <m:r>
                  <w:rPr>
                    <w:rFonts w:ascii="Cambria Math" w:eastAsia="바탕" w:hAnsi="Cambria Math"/>
                    <w:szCs w:val="24"/>
                  </w:rPr>
                  <m:t>×100 (%)</m:t>
                </m:r>
              </m:oMath>
            </m:oMathPara>
          </w:p>
        </w:tc>
        <w:tc>
          <w:tcPr>
            <w:tcW w:w="405" w:type="pct"/>
            <w:vAlign w:val="center"/>
          </w:tcPr>
          <w:p w:rsidR="00792DCE" w:rsidRPr="00D50CF9" w:rsidRDefault="00BB25F5" w:rsidP="00BB25F5">
            <w:pPr>
              <w:spacing w:line="480" w:lineRule="auto"/>
              <w:jc w:val="right"/>
              <w:rPr>
                <w:rFonts w:eastAsia="바탕"/>
                <w:szCs w:val="24"/>
              </w:rPr>
            </w:pPr>
            <w:r w:rsidRPr="00D50CF9">
              <w:rPr>
                <w:rFonts w:eastAsia="바탕"/>
                <w:szCs w:val="24"/>
              </w:rPr>
              <w:t>(</w:t>
            </w:r>
            <w:r w:rsidR="00792DCE" w:rsidRPr="00D50CF9">
              <w:rPr>
                <w:rFonts w:eastAsia="바탕"/>
                <w:szCs w:val="24"/>
              </w:rPr>
              <w:t>6</w:t>
            </w:r>
            <w:r w:rsidRPr="00D50CF9">
              <w:rPr>
                <w:rFonts w:eastAsia="바탕"/>
                <w:szCs w:val="24"/>
              </w:rPr>
              <w:t>)</w:t>
            </w:r>
          </w:p>
        </w:tc>
      </w:tr>
      <w:tr w:rsidR="00792DCE" w:rsidRPr="00D50CF9" w:rsidTr="00FF6C9B">
        <w:trPr>
          <w:trHeight w:val="283"/>
        </w:trPr>
        <w:tc>
          <w:tcPr>
            <w:tcW w:w="405" w:type="pct"/>
            <w:vAlign w:val="center"/>
          </w:tcPr>
          <w:p w:rsidR="00792DCE" w:rsidRPr="00D50CF9" w:rsidRDefault="00792DCE" w:rsidP="00FF6C9B">
            <w:pPr>
              <w:spacing w:line="480" w:lineRule="auto"/>
              <w:rPr>
                <w:rFonts w:eastAsia="바탕"/>
                <w:szCs w:val="24"/>
              </w:rPr>
            </w:pPr>
          </w:p>
        </w:tc>
        <w:tc>
          <w:tcPr>
            <w:tcW w:w="4190" w:type="pct"/>
            <w:vAlign w:val="center"/>
          </w:tcPr>
          <w:p w:rsidR="00792DCE" w:rsidRPr="00D50CF9" w:rsidRDefault="00792DCE" w:rsidP="00FF6C9B">
            <w:pPr>
              <w:spacing w:line="480" w:lineRule="auto"/>
              <w:rPr>
                <w:rFonts w:eastAsia="바탕"/>
                <w:szCs w:val="24"/>
              </w:rPr>
            </w:pPr>
            <m:oMathPara>
              <m:oMath>
                <m:r>
                  <w:rPr>
                    <w:rFonts w:ascii="Cambria Math" w:eastAsia="바탕" w:hAnsi="Cambria Math"/>
                    <w:szCs w:val="24"/>
                  </w:rPr>
                  <m:t xml:space="preserve">Hit Rate </m:t>
                </m:r>
                <m:d>
                  <m:dPr>
                    <m:ctrlPr>
                      <w:rPr>
                        <w:rFonts w:ascii="Cambria Math" w:eastAsia="바탕" w:hAnsi="Cambria Math"/>
                        <w:i/>
                        <w:szCs w:val="24"/>
                      </w:rPr>
                    </m:ctrlPr>
                  </m:dPr>
                  <m:e>
                    <m:r>
                      <w:rPr>
                        <w:rFonts w:ascii="Cambria Math" w:eastAsia="바탕" w:hAnsi="Cambria Math"/>
                        <w:szCs w:val="24"/>
                      </w:rPr>
                      <m:t>HR</m:t>
                    </m:r>
                  </m:e>
                </m:d>
                <m:r>
                  <w:rPr>
                    <w:rFonts w:ascii="Cambria Math" w:eastAsia="바탕" w:hAnsi="Cambria Math"/>
                    <w:szCs w:val="24"/>
                  </w:rPr>
                  <m:t>=</m:t>
                </m:r>
                <m:f>
                  <m:fPr>
                    <m:ctrlPr>
                      <w:rPr>
                        <w:rFonts w:ascii="Cambria Math" w:eastAsia="바탕" w:hAnsi="Cambria Math"/>
                        <w:i/>
                        <w:szCs w:val="24"/>
                      </w:rPr>
                    </m:ctrlPr>
                  </m:fPr>
                  <m:num>
                    <m:r>
                      <w:rPr>
                        <w:rFonts w:ascii="Cambria Math" w:eastAsia="바탕" w:hAnsi="Cambria Math"/>
                        <w:szCs w:val="24"/>
                      </w:rPr>
                      <m:t>C3+D4</m:t>
                    </m:r>
                  </m:num>
                  <m:den>
                    <m:r>
                      <w:rPr>
                        <w:rFonts w:ascii="Cambria Math" w:eastAsia="바탕" w:hAnsi="Cambria Math"/>
                        <w:szCs w:val="24"/>
                      </w:rPr>
                      <m:t>III+IV</m:t>
                    </m:r>
                  </m:den>
                </m:f>
                <m:r>
                  <w:rPr>
                    <w:rFonts w:ascii="Cambria Math" w:eastAsia="바탕" w:hAnsi="Cambria Math"/>
                    <w:szCs w:val="24"/>
                  </w:rPr>
                  <m:t>×100 (%)</m:t>
                </m:r>
              </m:oMath>
            </m:oMathPara>
          </w:p>
        </w:tc>
        <w:tc>
          <w:tcPr>
            <w:tcW w:w="405" w:type="pct"/>
            <w:vAlign w:val="center"/>
          </w:tcPr>
          <w:p w:rsidR="00792DCE" w:rsidRPr="00D50CF9" w:rsidRDefault="00BB25F5" w:rsidP="00BB25F5">
            <w:pPr>
              <w:spacing w:line="480" w:lineRule="auto"/>
              <w:jc w:val="right"/>
              <w:rPr>
                <w:rFonts w:eastAsia="바탕"/>
                <w:szCs w:val="24"/>
              </w:rPr>
            </w:pPr>
            <w:r w:rsidRPr="00D50CF9">
              <w:rPr>
                <w:rFonts w:eastAsia="바탕"/>
                <w:szCs w:val="24"/>
              </w:rPr>
              <w:t>(</w:t>
            </w:r>
            <w:r w:rsidR="00792DCE" w:rsidRPr="00D50CF9">
              <w:rPr>
                <w:rFonts w:eastAsia="바탕"/>
                <w:szCs w:val="24"/>
              </w:rPr>
              <w:t>7</w:t>
            </w:r>
            <w:r w:rsidRPr="00D50CF9">
              <w:rPr>
                <w:rFonts w:eastAsia="바탕"/>
                <w:szCs w:val="24"/>
              </w:rPr>
              <w:t>)</w:t>
            </w:r>
          </w:p>
        </w:tc>
      </w:tr>
      <w:tr w:rsidR="00792DCE" w:rsidRPr="00D50CF9" w:rsidTr="00FF6C9B">
        <w:trPr>
          <w:trHeight w:val="283"/>
        </w:trPr>
        <w:tc>
          <w:tcPr>
            <w:tcW w:w="405" w:type="pct"/>
            <w:vAlign w:val="center"/>
          </w:tcPr>
          <w:p w:rsidR="00792DCE" w:rsidRPr="00D50CF9" w:rsidRDefault="00792DCE" w:rsidP="00FF6C9B">
            <w:pPr>
              <w:spacing w:line="480" w:lineRule="auto"/>
              <w:rPr>
                <w:rFonts w:eastAsia="바탕"/>
                <w:szCs w:val="24"/>
              </w:rPr>
            </w:pPr>
          </w:p>
        </w:tc>
        <w:tc>
          <w:tcPr>
            <w:tcW w:w="4190" w:type="pct"/>
            <w:vAlign w:val="center"/>
          </w:tcPr>
          <w:p w:rsidR="00792DCE" w:rsidRPr="00D50CF9" w:rsidRDefault="00E039E8" w:rsidP="00E039E8">
            <w:pPr>
              <w:spacing w:line="480" w:lineRule="auto"/>
              <w:rPr>
                <w:rFonts w:eastAsia="바탕"/>
                <w:szCs w:val="24"/>
              </w:rPr>
            </w:pPr>
            <m:oMathPara>
              <m:oMath>
                <m:r>
                  <w:rPr>
                    <w:rFonts w:ascii="Cambria Math" w:eastAsia="바탕" w:hAnsi="Cambria Math"/>
                    <w:szCs w:val="24"/>
                  </w:rPr>
                  <m:t xml:space="preserve">Probability of Detection </m:t>
                </m:r>
                <m:d>
                  <m:dPr>
                    <m:ctrlPr>
                      <w:rPr>
                        <w:rFonts w:ascii="Cambria Math" w:eastAsia="바탕" w:hAnsi="Cambria Math"/>
                        <w:i/>
                        <w:szCs w:val="24"/>
                      </w:rPr>
                    </m:ctrlPr>
                  </m:dPr>
                  <m:e>
                    <m:r>
                      <w:rPr>
                        <w:rFonts w:ascii="Cambria Math" w:eastAsia="바탕" w:hAnsi="Cambria Math"/>
                        <w:szCs w:val="24"/>
                      </w:rPr>
                      <m:t>POD</m:t>
                    </m:r>
                  </m:e>
                </m:d>
                <m:r>
                  <w:rPr>
                    <w:rFonts w:ascii="Cambria Math" w:eastAsia="바탕" w:hAnsi="Cambria Math"/>
                    <w:szCs w:val="24"/>
                  </w:rPr>
                  <m:t>=</m:t>
                </m:r>
                <m:f>
                  <m:fPr>
                    <m:ctrlPr>
                      <w:rPr>
                        <w:rFonts w:ascii="Cambria Math" w:eastAsia="바탕" w:hAnsi="Cambria Math"/>
                        <w:i/>
                        <w:szCs w:val="24"/>
                      </w:rPr>
                    </m:ctrlPr>
                  </m:fPr>
                  <m:num>
                    <m:r>
                      <w:rPr>
                        <w:rFonts w:ascii="Cambria Math" w:eastAsia="바탕" w:hAnsi="Cambria Math"/>
                        <w:szCs w:val="24"/>
                      </w:rPr>
                      <m:t>IV</m:t>
                    </m:r>
                  </m:num>
                  <m:den>
                    <m:r>
                      <w:rPr>
                        <w:rFonts w:ascii="Cambria Math" w:eastAsia="바탕" w:hAnsi="Cambria Math"/>
                        <w:szCs w:val="24"/>
                      </w:rPr>
                      <m:t>III+IV</m:t>
                    </m:r>
                  </m:den>
                </m:f>
                <m:r>
                  <w:rPr>
                    <w:rFonts w:ascii="Cambria Math" w:eastAsia="바탕" w:hAnsi="Cambria Math"/>
                    <w:szCs w:val="24"/>
                  </w:rPr>
                  <m:t>×100 (%)</m:t>
                </m:r>
              </m:oMath>
            </m:oMathPara>
          </w:p>
        </w:tc>
        <w:tc>
          <w:tcPr>
            <w:tcW w:w="405" w:type="pct"/>
            <w:vAlign w:val="center"/>
          </w:tcPr>
          <w:p w:rsidR="00792DCE" w:rsidRPr="00D50CF9" w:rsidRDefault="00BB25F5" w:rsidP="00BB25F5">
            <w:pPr>
              <w:spacing w:line="480" w:lineRule="auto"/>
              <w:jc w:val="right"/>
              <w:rPr>
                <w:rFonts w:eastAsia="바탕"/>
                <w:szCs w:val="24"/>
              </w:rPr>
            </w:pPr>
            <w:r w:rsidRPr="00D50CF9">
              <w:rPr>
                <w:rFonts w:eastAsia="바탕"/>
                <w:szCs w:val="24"/>
              </w:rPr>
              <w:t>(</w:t>
            </w:r>
            <w:r w:rsidR="00792DCE" w:rsidRPr="00D50CF9">
              <w:rPr>
                <w:rFonts w:eastAsia="바탕"/>
                <w:szCs w:val="24"/>
              </w:rPr>
              <w:t>8</w:t>
            </w:r>
            <w:r w:rsidRPr="00D50CF9">
              <w:rPr>
                <w:rFonts w:eastAsia="바탕"/>
                <w:szCs w:val="24"/>
              </w:rPr>
              <w:t>)</w:t>
            </w:r>
          </w:p>
        </w:tc>
      </w:tr>
      <w:tr w:rsidR="009B746A" w:rsidRPr="00D50CF9" w:rsidTr="008F4AC8">
        <w:trPr>
          <w:trHeight w:val="283"/>
        </w:trPr>
        <w:tc>
          <w:tcPr>
            <w:tcW w:w="405" w:type="pct"/>
            <w:vAlign w:val="center"/>
          </w:tcPr>
          <w:p w:rsidR="009B746A" w:rsidRPr="00D50CF9" w:rsidRDefault="009B746A" w:rsidP="008F4AC8">
            <w:pPr>
              <w:spacing w:line="480" w:lineRule="auto"/>
              <w:rPr>
                <w:rFonts w:eastAsia="바탕"/>
                <w:szCs w:val="24"/>
              </w:rPr>
            </w:pPr>
          </w:p>
        </w:tc>
        <w:tc>
          <w:tcPr>
            <w:tcW w:w="4190" w:type="pct"/>
            <w:vAlign w:val="center"/>
          </w:tcPr>
          <w:p w:rsidR="009B746A" w:rsidRPr="00D50CF9" w:rsidRDefault="009B746A" w:rsidP="008F4AC8">
            <w:pPr>
              <w:spacing w:line="480" w:lineRule="auto"/>
              <w:rPr>
                <w:rFonts w:eastAsia="바탕"/>
                <w:szCs w:val="24"/>
              </w:rPr>
            </w:pPr>
            <m:oMathPara>
              <m:oMath>
                <m:r>
                  <w:rPr>
                    <w:rFonts w:ascii="Cambria Math" w:eastAsia="바탕" w:hAnsi="Cambria Math"/>
                    <w:szCs w:val="24"/>
                  </w:rPr>
                  <m:t xml:space="preserve">False Alarm Rate </m:t>
                </m:r>
                <m:d>
                  <m:dPr>
                    <m:ctrlPr>
                      <w:rPr>
                        <w:rFonts w:ascii="Cambria Math" w:eastAsia="바탕" w:hAnsi="Cambria Math"/>
                        <w:i/>
                        <w:szCs w:val="24"/>
                      </w:rPr>
                    </m:ctrlPr>
                  </m:dPr>
                  <m:e>
                    <m:r>
                      <w:rPr>
                        <w:rFonts w:ascii="Cambria Math" w:eastAsia="바탕" w:hAnsi="Cambria Math"/>
                        <w:szCs w:val="24"/>
                      </w:rPr>
                      <m:t>FAR</m:t>
                    </m:r>
                  </m:e>
                </m:d>
                <m:r>
                  <w:rPr>
                    <w:rFonts w:ascii="Cambria Math" w:eastAsia="바탕" w:hAnsi="Cambria Math"/>
                    <w:szCs w:val="24"/>
                  </w:rPr>
                  <m:t>=</m:t>
                </m:r>
                <m:f>
                  <m:fPr>
                    <m:ctrlPr>
                      <w:rPr>
                        <w:rFonts w:ascii="Cambria Math" w:eastAsia="바탕" w:hAnsi="Cambria Math"/>
                        <w:i/>
                        <w:szCs w:val="24"/>
                      </w:rPr>
                    </m:ctrlPr>
                  </m:fPr>
                  <m:num>
                    <m:r>
                      <w:rPr>
                        <w:rFonts w:ascii="Cambria Math" w:eastAsia="바탕" w:hAnsi="Cambria Math"/>
                        <w:szCs w:val="24"/>
                      </w:rPr>
                      <m:t>II</m:t>
                    </m:r>
                  </m:num>
                  <m:den>
                    <m:r>
                      <w:rPr>
                        <w:rFonts w:ascii="Cambria Math" w:eastAsia="바탕" w:hAnsi="Cambria Math"/>
                        <w:szCs w:val="24"/>
                      </w:rPr>
                      <m:t>II+IV</m:t>
                    </m:r>
                  </m:den>
                </m:f>
                <m:r>
                  <w:rPr>
                    <w:rFonts w:ascii="Cambria Math" w:eastAsia="바탕" w:hAnsi="Cambria Math"/>
                    <w:szCs w:val="24"/>
                  </w:rPr>
                  <m:t>×100 (%)</m:t>
                </m:r>
              </m:oMath>
            </m:oMathPara>
          </w:p>
        </w:tc>
        <w:tc>
          <w:tcPr>
            <w:tcW w:w="405" w:type="pct"/>
            <w:vAlign w:val="center"/>
          </w:tcPr>
          <w:p w:rsidR="009B746A" w:rsidRPr="00D50CF9" w:rsidRDefault="009B746A" w:rsidP="009B746A">
            <w:pPr>
              <w:spacing w:line="480" w:lineRule="auto"/>
              <w:jc w:val="right"/>
              <w:rPr>
                <w:rFonts w:eastAsia="바탕"/>
                <w:szCs w:val="24"/>
              </w:rPr>
            </w:pPr>
            <w:r w:rsidRPr="00D50CF9">
              <w:rPr>
                <w:rFonts w:eastAsia="바탕"/>
                <w:szCs w:val="24"/>
              </w:rPr>
              <w:t>(</w:t>
            </w:r>
            <w:r>
              <w:rPr>
                <w:rFonts w:eastAsia="바탕"/>
                <w:szCs w:val="24"/>
              </w:rPr>
              <w:t>9</w:t>
            </w:r>
            <w:r w:rsidRPr="00D50CF9">
              <w:rPr>
                <w:rFonts w:eastAsia="바탕"/>
                <w:szCs w:val="24"/>
              </w:rPr>
              <w:t>)</w:t>
            </w:r>
          </w:p>
        </w:tc>
      </w:tr>
    </w:tbl>
    <w:p w:rsidR="009B746A" w:rsidRPr="00D50CF9" w:rsidRDefault="009B746A" w:rsidP="00792DCE">
      <w:pPr>
        <w:rPr>
          <w:szCs w:val="24"/>
        </w:rPr>
      </w:pPr>
    </w:p>
    <w:p w:rsidR="00792DCE" w:rsidRPr="00D50CF9" w:rsidRDefault="00792DCE" w:rsidP="00792DCE">
      <w:pPr>
        <w:pStyle w:val="SMHeading"/>
        <w:rPr>
          <w:lang w:eastAsia="ko-KR"/>
        </w:rPr>
      </w:pPr>
      <w:r w:rsidRPr="00D50CF9">
        <w:t>S</w:t>
      </w:r>
      <w:r w:rsidRPr="00D50CF9">
        <w:rPr>
          <w:lang w:eastAsia="ko-KR"/>
        </w:rPr>
        <w:t>ection</w:t>
      </w:r>
      <w:r w:rsidRPr="00D50CF9">
        <w:t xml:space="preserve"> </w:t>
      </w:r>
      <w:r w:rsidRPr="00D50CF9">
        <w:rPr>
          <w:lang w:eastAsia="ko-KR"/>
        </w:rPr>
        <w:t>11. Operational runs of K_ACheMS v2.0</w:t>
      </w:r>
    </w:p>
    <w:p w:rsidR="00792DCE" w:rsidRPr="00D50CF9" w:rsidRDefault="00792DCE" w:rsidP="00792DCE">
      <w:pPr>
        <w:ind w:firstLine="720"/>
        <w:jc w:val="both"/>
        <w:rPr>
          <w:szCs w:val="24"/>
        </w:rPr>
      </w:pPr>
      <w:r w:rsidRPr="00D50CF9">
        <w:rPr>
          <w:szCs w:val="24"/>
        </w:rPr>
        <w:t>As mentioned in the main text, the K_ACheMS v2.0 has been r</w:t>
      </w:r>
      <w:r w:rsidRPr="00D50CF9">
        <w:rPr>
          <w:color w:val="000000"/>
          <w:szCs w:val="24"/>
        </w:rPr>
        <w:t>un</w:t>
      </w:r>
      <w:r w:rsidRPr="00D50CF9">
        <w:rPr>
          <w:color w:val="000000"/>
          <w:szCs w:val="24"/>
          <w:lang w:eastAsia="ko-KR"/>
        </w:rPr>
        <w:t>ning</w:t>
      </w:r>
      <w:r w:rsidRPr="00D50CF9">
        <w:rPr>
          <w:color w:val="000000"/>
          <w:szCs w:val="24"/>
        </w:rPr>
        <w:t xml:space="preserve"> in an </w:t>
      </w:r>
      <w:r w:rsidRPr="00D50CF9">
        <w:rPr>
          <w:szCs w:val="24"/>
        </w:rPr>
        <w:t>operated mode since 1 January, 2022 for daily PM</w:t>
      </w:r>
      <w:r w:rsidRPr="00D50CF9">
        <w:rPr>
          <w:szCs w:val="24"/>
          <w:vertAlign w:val="subscript"/>
        </w:rPr>
        <w:t>2.5</w:t>
      </w:r>
      <w:r w:rsidRPr="00D50CF9">
        <w:rPr>
          <w:szCs w:val="24"/>
        </w:rPr>
        <w:t xml:space="preserve"> predictions over South Korea. In the meantime, performances of the operational runs of the K_ACheMS v2.0 have also been evaluated in comparison with PM</w:t>
      </w:r>
      <w:r w:rsidRPr="00D50CF9">
        <w:rPr>
          <w:szCs w:val="24"/>
          <w:vertAlign w:val="subscript"/>
        </w:rPr>
        <w:t xml:space="preserve">2.5 </w:t>
      </w:r>
      <w:r w:rsidRPr="00D50CF9">
        <w:rPr>
          <w:szCs w:val="24"/>
        </w:rPr>
        <w:t>observations from AIR KOREA, together with predictions from two PM</w:t>
      </w:r>
      <w:r w:rsidRPr="00D50CF9">
        <w:rPr>
          <w:szCs w:val="24"/>
          <w:vertAlign w:val="subscript"/>
        </w:rPr>
        <w:t xml:space="preserve">2.5 </w:t>
      </w:r>
      <w:r w:rsidRPr="00D50CF9">
        <w:rPr>
          <w:szCs w:val="24"/>
        </w:rPr>
        <w:t>prediction systems at the NIER and the ECMWF. In Fig. 4 of the main text, we made visual snapshot comparisons of the PM</w:t>
      </w:r>
      <w:r w:rsidRPr="00D50CF9">
        <w:rPr>
          <w:szCs w:val="24"/>
          <w:vertAlign w:val="subscript"/>
        </w:rPr>
        <w:t xml:space="preserve">2.5 </w:t>
      </w:r>
      <w:r w:rsidRPr="00D50CF9">
        <w:rPr>
          <w:szCs w:val="24"/>
        </w:rPr>
        <w:t>observations with three PM</w:t>
      </w:r>
      <w:r w:rsidRPr="00D50CF9">
        <w:rPr>
          <w:szCs w:val="24"/>
          <w:vertAlign w:val="subscript"/>
        </w:rPr>
        <w:t xml:space="preserve">2.5 </w:t>
      </w:r>
      <w:r w:rsidRPr="00D50CF9">
        <w:rPr>
          <w:szCs w:val="24"/>
        </w:rPr>
        <w:t>predictions (from K_ACheMS v2.0, NIER, and ECMWF) at noon on 10 Jan., 23 Jan., and 11 Feb., 2022. These three PM</w:t>
      </w:r>
      <w:r w:rsidRPr="00D50CF9">
        <w:rPr>
          <w:szCs w:val="24"/>
          <w:vertAlign w:val="subscript"/>
        </w:rPr>
        <w:t xml:space="preserve">2.5 </w:t>
      </w:r>
      <w:r w:rsidRPr="00D50CF9">
        <w:rPr>
          <w:szCs w:val="24"/>
        </w:rPr>
        <w:t>events in Fig. 4 were the highest ones among the high PM</w:t>
      </w:r>
      <w:r w:rsidRPr="00D50CF9">
        <w:rPr>
          <w:szCs w:val="24"/>
          <w:vertAlign w:val="subscript"/>
        </w:rPr>
        <w:t xml:space="preserve">2.5 </w:t>
      </w:r>
      <w:r w:rsidRPr="00D50CF9">
        <w:rPr>
          <w:szCs w:val="24"/>
        </w:rPr>
        <w:t xml:space="preserve">events that occurred over the six-month period, during which the K_ACheMS v2.0 was operated (from 1 Jan. to 30 June, 2022). This is presented in </w:t>
      </w:r>
      <w:r w:rsidR="00D76DBF" w:rsidRPr="00D50CF9">
        <w:rPr>
          <w:szCs w:val="24"/>
        </w:rPr>
        <w:t xml:space="preserve">Supplementary </w:t>
      </w:r>
      <w:r w:rsidRPr="00D50CF9">
        <w:rPr>
          <w:szCs w:val="24"/>
        </w:rPr>
        <w:t xml:space="preserve">Fig. 12 (see three blue arrows in </w:t>
      </w:r>
      <w:r w:rsidR="00E86F67" w:rsidRPr="00D50CF9">
        <w:rPr>
          <w:szCs w:val="24"/>
        </w:rPr>
        <w:t xml:space="preserve">Supplementary </w:t>
      </w:r>
      <w:r w:rsidRPr="00D50CF9">
        <w:rPr>
          <w:szCs w:val="24"/>
        </w:rPr>
        <w:t>Fig. 12. Each blue arrow indicates the high PM</w:t>
      </w:r>
      <w:r w:rsidRPr="00D50CF9">
        <w:rPr>
          <w:szCs w:val="24"/>
          <w:vertAlign w:val="subscript"/>
        </w:rPr>
        <w:t>2.5</w:t>
      </w:r>
      <w:r w:rsidRPr="00D50CF9">
        <w:rPr>
          <w:szCs w:val="24"/>
        </w:rPr>
        <w:t xml:space="preserve"> event). Again, as mentioned in the main text, winter and spring are the main seasons of high PM</w:t>
      </w:r>
      <w:r w:rsidRPr="00D50CF9">
        <w:rPr>
          <w:szCs w:val="24"/>
          <w:vertAlign w:val="subscript"/>
        </w:rPr>
        <w:t xml:space="preserve">2.5 </w:t>
      </w:r>
      <w:r w:rsidRPr="00D50CF9">
        <w:rPr>
          <w:szCs w:val="24"/>
        </w:rPr>
        <w:t xml:space="preserve">events in Northeast Asia (or South Korea), which is also shown in </w:t>
      </w:r>
      <w:r w:rsidR="00D76DBF" w:rsidRPr="00D50CF9">
        <w:rPr>
          <w:szCs w:val="24"/>
        </w:rPr>
        <w:t xml:space="preserve">Supplementary </w:t>
      </w:r>
      <w:r w:rsidRPr="00D50CF9">
        <w:rPr>
          <w:szCs w:val="24"/>
        </w:rPr>
        <w:t>Fig. 12.</w:t>
      </w:r>
    </w:p>
    <w:p w:rsidR="00792DCE" w:rsidRPr="00D50CF9" w:rsidRDefault="00792DCE" w:rsidP="00792DCE">
      <w:pPr>
        <w:jc w:val="both"/>
        <w:rPr>
          <w:szCs w:val="24"/>
        </w:rPr>
      </w:pPr>
      <w:r w:rsidRPr="00D50CF9">
        <w:rPr>
          <w:color w:val="FF0000"/>
          <w:szCs w:val="24"/>
        </w:rPr>
        <w:tab/>
      </w:r>
      <w:r w:rsidR="00E86F67" w:rsidRPr="00D50CF9">
        <w:rPr>
          <w:szCs w:val="24"/>
        </w:rPr>
        <w:t xml:space="preserve">Supplementary </w:t>
      </w:r>
      <w:r w:rsidRPr="00D50CF9">
        <w:rPr>
          <w:szCs w:val="24"/>
        </w:rPr>
        <w:t>Fig. 12 also presents comparisons between PM</w:t>
      </w:r>
      <w:r w:rsidRPr="00D50CF9">
        <w:rPr>
          <w:szCs w:val="24"/>
          <w:vertAlign w:val="subscript"/>
        </w:rPr>
        <w:t xml:space="preserve">2.5 </w:t>
      </w:r>
      <w:r w:rsidRPr="00D50CF9">
        <w:rPr>
          <w:szCs w:val="24"/>
        </w:rPr>
        <w:t>observations (black dashed line) and PM</w:t>
      </w:r>
      <w:r w:rsidRPr="00D50CF9">
        <w:rPr>
          <w:szCs w:val="24"/>
          <w:vertAlign w:val="subscript"/>
        </w:rPr>
        <w:t xml:space="preserve">2.5 </w:t>
      </w:r>
      <w:r w:rsidRPr="00D50CF9">
        <w:rPr>
          <w:szCs w:val="24"/>
        </w:rPr>
        <w:t>predictions from the K_ACheMS v2.0 (blue solid line) and CAMS (</w:t>
      </w:r>
      <w:r w:rsidRPr="00D50CF9">
        <w:rPr>
          <w:szCs w:val="24"/>
          <w:lang w:eastAsia="ko-KR"/>
        </w:rPr>
        <w:t>CY</w:t>
      </w:r>
      <w:r w:rsidRPr="00D50CF9">
        <w:rPr>
          <w:szCs w:val="24"/>
        </w:rPr>
        <w:t>47</w:t>
      </w:r>
      <w:r w:rsidRPr="00D50CF9">
        <w:rPr>
          <w:szCs w:val="24"/>
          <w:lang w:eastAsia="ko-KR"/>
        </w:rPr>
        <w:t>R</w:t>
      </w:r>
      <w:r w:rsidRPr="00D50CF9">
        <w:rPr>
          <w:szCs w:val="24"/>
        </w:rPr>
        <w:t>3) NRT products (yellow solid line) over the six-month test period of the K_ACheMS v2.0. It can be seen that the PM</w:t>
      </w:r>
      <w:r w:rsidRPr="00D50CF9">
        <w:rPr>
          <w:szCs w:val="24"/>
          <w:vertAlign w:val="subscript"/>
        </w:rPr>
        <w:t xml:space="preserve">2.5 </w:t>
      </w:r>
      <w:r w:rsidRPr="00D50CF9">
        <w:rPr>
          <w:szCs w:val="24"/>
        </w:rPr>
        <w:t>predictions from the K_ACheMS v2.0 exhibit higher accuracy than the PM</w:t>
      </w:r>
      <w:r w:rsidRPr="00D50CF9">
        <w:rPr>
          <w:szCs w:val="24"/>
          <w:vertAlign w:val="subscript"/>
        </w:rPr>
        <w:t xml:space="preserve">2.5 </w:t>
      </w:r>
      <w:r w:rsidRPr="00D50CF9">
        <w:rPr>
          <w:szCs w:val="24"/>
        </w:rPr>
        <w:t>predictions from the ECMWF (i.e.</w:t>
      </w:r>
      <w:r w:rsidRPr="00D50CF9">
        <w:rPr>
          <w:szCs w:val="24"/>
          <w:lang w:eastAsia="ko-KR"/>
        </w:rPr>
        <w:t>,</w:t>
      </w:r>
      <w:r w:rsidRPr="00D50CF9">
        <w:rPr>
          <w:szCs w:val="24"/>
        </w:rPr>
        <w:t xml:space="preserve"> CAMS</w:t>
      </w:r>
      <w:r w:rsidRPr="00D50CF9">
        <w:rPr>
          <w:szCs w:val="24"/>
          <w:lang w:eastAsia="ko-KR"/>
        </w:rPr>
        <w:t>_nrt</w:t>
      </w:r>
      <w:r w:rsidRPr="00D50CF9">
        <w:rPr>
          <w:szCs w:val="24"/>
        </w:rPr>
        <w:t xml:space="preserve"> products). The NIER has released only prediction maps like the ones shown in Fig. 4, not the PM</w:t>
      </w:r>
      <w:r w:rsidRPr="00D50CF9">
        <w:rPr>
          <w:szCs w:val="24"/>
          <w:vertAlign w:val="subscript"/>
        </w:rPr>
        <w:t xml:space="preserve">2.5 </w:t>
      </w:r>
      <w:r w:rsidRPr="00D50CF9">
        <w:rPr>
          <w:szCs w:val="24"/>
        </w:rPr>
        <w:t xml:space="preserve">prediction values. Thus, it was impossible to incorporate their data into the comparison in </w:t>
      </w:r>
      <w:r w:rsidR="00720387" w:rsidRPr="00D50CF9">
        <w:rPr>
          <w:szCs w:val="24"/>
        </w:rPr>
        <w:t xml:space="preserve">Supplementary </w:t>
      </w:r>
      <w:r w:rsidRPr="00D50CF9">
        <w:rPr>
          <w:szCs w:val="24"/>
        </w:rPr>
        <w:t xml:space="preserve">Fig. 12. </w:t>
      </w:r>
    </w:p>
    <w:p w:rsidR="00792DCE" w:rsidRPr="00D50CF9" w:rsidRDefault="00792DCE" w:rsidP="00792DCE">
      <w:pPr>
        <w:pStyle w:val="HTML0"/>
        <w:jc w:val="both"/>
        <w:rPr>
          <w:rFonts w:ascii="Times New Roman" w:hAnsi="Times New Roman" w:cs="Times New Roman"/>
          <w:sz w:val="24"/>
          <w:szCs w:val="24"/>
        </w:rPr>
      </w:pPr>
      <w:r w:rsidRPr="00D50CF9">
        <w:rPr>
          <w:rFonts w:ascii="Times New Roman" w:hAnsi="Times New Roman" w:cs="Times New Roman"/>
          <w:color w:val="FF0000"/>
          <w:sz w:val="24"/>
          <w:szCs w:val="24"/>
        </w:rPr>
        <w:tab/>
      </w:r>
      <w:r w:rsidR="00B22C06" w:rsidRPr="00D50CF9">
        <w:rPr>
          <w:rFonts w:ascii="Times New Roman" w:hAnsi="Times New Roman" w:cs="Times New Roman"/>
          <w:sz w:val="24"/>
          <w:szCs w:val="24"/>
        </w:rPr>
        <w:t xml:space="preserve">Supplementary </w:t>
      </w:r>
      <w:r w:rsidRPr="00D50CF9">
        <w:rPr>
          <w:rFonts w:ascii="Times New Roman" w:hAnsi="Times New Roman" w:cs="Times New Roman"/>
          <w:sz w:val="24"/>
          <w:szCs w:val="24"/>
        </w:rPr>
        <w:t>Table</w:t>
      </w:r>
      <w:r w:rsidRPr="00D50CF9">
        <w:rPr>
          <w:rFonts w:ascii="Times New Roman" w:hAnsi="Times New Roman" w:cs="Times New Roman"/>
          <w:sz w:val="24"/>
          <w:szCs w:val="24"/>
          <w:lang w:eastAsia="ko-KR"/>
        </w:rPr>
        <w:t>s</w:t>
      </w:r>
      <w:r w:rsidR="00B22C06" w:rsidRPr="00D50CF9">
        <w:rPr>
          <w:rFonts w:ascii="Times New Roman" w:hAnsi="Times New Roman" w:cs="Times New Roman"/>
          <w:sz w:val="24"/>
          <w:szCs w:val="24"/>
        </w:rPr>
        <w:t xml:space="preserve"> 7 and </w:t>
      </w:r>
      <w:r w:rsidRPr="00D50CF9">
        <w:rPr>
          <w:rFonts w:ascii="Times New Roman" w:hAnsi="Times New Roman" w:cs="Times New Roman"/>
          <w:sz w:val="24"/>
          <w:szCs w:val="24"/>
        </w:rPr>
        <w:t>8 present statistical analyses to evaluate the accuracy of two PM</w:t>
      </w:r>
      <w:r w:rsidRPr="00D50CF9">
        <w:rPr>
          <w:rFonts w:ascii="Times New Roman" w:hAnsi="Times New Roman" w:cs="Times New Roman"/>
          <w:sz w:val="24"/>
          <w:szCs w:val="24"/>
          <w:vertAlign w:val="subscript"/>
        </w:rPr>
        <w:t xml:space="preserve">2.5 </w:t>
      </w:r>
      <w:r w:rsidRPr="00D50CF9">
        <w:rPr>
          <w:rFonts w:ascii="Times New Roman" w:hAnsi="Times New Roman" w:cs="Times New Roman"/>
          <w:sz w:val="24"/>
          <w:szCs w:val="24"/>
        </w:rPr>
        <w:t>predictions (K_ACheMS v2.0 and CAMS</w:t>
      </w:r>
      <w:r w:rsidRPr="00D50CF9">
        <w:rPr>
          <w:rFonts w:ascii="Times New Roman" w:hAnsi="Times New Roman" w:cs="Times New Roman"/>
          <w:sz w:val="24"/>
          <w:szCs w:val="24"/>
          <w:lang w:eastAsia="ko-KR"/>
        </w:rPr>
        <w:t>_nrt</w:t>
      </w:r>
      <w:r w:rsidRPr="00D50CF9">
        <w:rPr>
          <w:rFonts w:ascii="Times New Roman" w:hAnsi="Times New Roman" w:cs="Times New Roman"/>
          <w:sz w:val="24"/>
          <w:szCs w:val="24"/>
        </w:rPr>
        <w:t xml:space="preserve">) over the six-month test period. </w:t>
      </w:r>
      <w:r w:rsidR="0020459E" w:rsidRPr="00D50CF9">
        <w:rPr>
          <w:rFonts w:ascii="Times New Roman" w:hAnsi="Times New Roman" w:cs="Times New Roman"/>
          <w:sz w:val="24"/>
          <w:szCs w:val="24"/>
        </w:rPr>
        <w:t xml:space="preserve">Supplementary </w:t>
      </w:r>
      <w:r w:rsidRPr="00D50CF9">
        <w:rPr>
          <w:rFonts w:ascii="Times New Roman" w:hAnsi="Times New Roman" w:cs="Times New Roman"/>
          <w:sz w:val="24"/>
          <w:szCs w:val="24"/>
        </w:rPr>
        <w:t>Table 7 presents analysis of the scientific statistical metrics such as IO</w:t>
      </w:r>
      <w:r w:rsidRPr="00D50CF9">
        <w:rPr>
          <w:rFonts w:ascii="Times New Roman" w:hAnsi="Times New Roman" w:cs="Times New Roman"/>
          <w:color w:val="000000"/>
          <w:sz w:val="24"/>
          <w:szCs w:val="24"/>
        </w:rPr>
        <w:t xml:space="preserve">A, </w:t>
      </w:r>
      <w:r w:rsidRPr="00D50CF9">
        <w:rPr>
          <w:rFonts w:ascii="Times New Roman" w:hAnsi="Times New Roman" w:cs="Times New Roman"/>
          <w:color w:val="000000"/>
          <w:sz w:val="24"/>
          <w:szCs w:val="24"/>
          <w:lang w:eastAsia="ko-KR"/>
        </w:rPr>
        <w:t>R,</w:t>
      </w:r>
      <w:r w:rsidRPr="00D50CF9">
        <w:rPr>
          <w:rFonts w:ascii="Times New Roman" w:hAnsi="Times New Roman" w:cs="Times New Roman"/>
          <w:sz w:val="24"/>
          <w:szCs w:val="24"/>
        </w:rPr>
        <w:t xml:space="preserve"> RMSE, and MB, while </w:t>
      </w:r>
      <w:r w:rsidR="0020459E" w:rsidRPr="00D50CF9">
        <w:rPr>
          <w:rFonts w:ascii="Times New Roman" w:hAnsi="Times New Roman" w:cs="Times New Roman"/>
          <w:sz w:val="24"/>
          <w:szCs w:val="24"/>
        </w:rPr>
        <w:t xml:space="preserve">Supplementary </w:t>
      </w:r>
      <w:r w:rsidRPr="00D50CF9">
        <w:rPr>
          <w:rFonts w:ascii="Times New Roman" w:hAnsi="Times New Roman" w:cs="Times New Roman"/>
          <w:sz w:val="24"/>
          <w:szCs w:val="24"/>
        </w:rPr>
        <w:t>Table 8 shows analysis of the administrative statistical metrics such as ACC, HR, POD, and FAR. As shown in two tables, the K_ACheMS v2.0 PM</w:t>
      </w:r>
      <w:r w:rsidRPr="00D50CF9">
        <w:rPr>
          <w:rFonts w:ascii="Times New Roman" w:hAnsi="Times New Roman" w:cs="Times New Roman"/>
          <w:sz w:val="24"/>
          <w:szCs w:val="24"/>
          <w:vertAlign w:val="subscript"/>
        </w:rPr>
        <w:t xml:space="preserve">2.5 </w:t>
      </w:r>
      <w:r w:rsidRPr="00D50CF9">
        <w:rPr>
          <w:rFonts w:ascii="Times New Roman" w:hAnsi="Times New Roman" w:cs="Times New Roman"/>
          <w:sz w:val="24"/>
          <w:szCs w:val="24"/>
        </w:rPr>
        <w:t>predictions produced better outputs than the CMAS PM</w:t>
      </w:r>
      <w:r w:rsidRPr="00D50CF9">
        <w:rPr>
          <w:rFonts w:ascii="Times New Roman" w:hAnsi="Times New Roman" w:cs="Times New Roman"/>
          <w:sz w:val="24"/>
          <w:szCs w:val="24"/>
          <w:vertAlign w:val="subscript"/>
        </w:rPr>
        <w:t xml:space="preserve">2.5 </w:t>
      </w:r>
      <w:r w:rsidRPr="00D50CF9">
        <w:rPr>
          <w:rFonts w:ascii="Times New Roman" w:hAnsi="Times New Roman" w:cs="Times New Roman"/>
          <w:sz w:val="24"/>
          <w:szCs w:val="24"/>
        </w:rPr>
        <w:t>predictions. For example, the IOA and HR produced by the K_ACheMS v2.0 are 0.78 and 67%, respectively. These numbers are higher than those produced by the ECMWF prediction system (IOA: 0.76 and HR: 54%).</w:t>
      </w:r>
    </w:p>
    <w:p w:rsidR="00792DCE" w:rsidRPr="00D50CF9" w:rsidRDefault="00792DCE" w:rsidP="00792DCE">
      <w:pPr>
        <w:pStyle w:val="HTML0"/>
        <w:jc w:val="both"/>
        <w:rPr>
          <w:rFonts w:ascii="Times New Roman" w:hAnsi="Times New Roman" w:cs="Times New Roman"/>
          <w:sz w:val="24"/>
          <w:szCs w:val="24"/>
        </w:rPr>
      </w:pPr>
    </w:p>
    <w:p w:rsidR="00792DCE" w:rsidRPr="00D50CF9" w:rsidRDefault="00792DCE" w:rsidP="00792DCE">
      <w:pPr>
        <w:pStyle w:val="SMHeading"/>
      </w:pPr>
      <w:r w:rsidRPr="00D50CF9">
        <w:t>S</w:t>
      </w:r>
      <w:r w:rsidRPr="00D50CF9">
        <w:rPr>
          <w:lang w:eastAsia="ko-KR"/>
        </w:rPr>
        <w:t>ection</w:t>
      </w:r>
      <w:r w:rsidRPr="00D50CF9">
        <w:t xml:space="preserve"> </w:t>
      </w:r>
      <w:r w:rsidRPr="00D50CF9">
        <w:rPr>
          <w:lang w:eastAsia="ko-KR"/>
        </w:rPr>
        <w:t>12. Error and bias corrections via XGBoost</w:t>
      </w:r>
    </w:p>
    <w:p w:rsidR="00792DCE" w:rsidRPr="00D50CF9" w:rsidRDefault="00792DCE" w:rsidP="00792DCE">
      <w:pPr>
        <w:ind w:firstLine="800"/>
        <w:jc w:val="both"/>
        <w:rPr>
          <w:szCs w:val="24"/>
        </w:rPr>
      </w:pPr>
      <w:r w:rsidRPr="00D50CF9">
        <w:rPr>
          <w:szCs w:val="24"/>
        </w:rPr>
        <w:t xml:space="preserve">There should always be a gap between observations (real values) and predicted values (virtual values). The extent of the gap between observed and predicted values can be described by statistical metrics such as errors and biases as discussed in </w:t>
      </w:r>
      <w:r w:rsidR="00A62579">
        <w:rPr>
          <w:szCs w:val="24"/>
        </w:rPr>
        <w:t>Supplementary</w:t>
      </w:r>
      <w:r w:rsidR="00A62579" w:rsidRPr="00D50CF9">
        <w:rPr>
          <w:szCs w:val="24"/>
        </w:rPr>
        <w:t xml:space="preserve"> </w:t>
      </w:r>
      <w:r w:rsidRPr="00D50CF9">
        <w:rPr>
          <w:szCs w:val="24"/>
        </w:rPr>
        <w:t>Section 10. These errors and biases can arise from an imperfect model, uncertain meteorological and emission fields, and inaccurate initial conditions. Whatever the sources, these errors and biases in theory can be corrected by employing machine learning (ML) techniques to take one more step closer to real world values (observations). In this supplementary information, we will explain some efforts made by us to develop a correction model based on XGBoost technique to minimize the gap between observations and predicted values.</w:t>
      </w:r>
    </w:p>
    <w:p w:rsidR="00792DCE" w:rsidRPr="00D50CF9" w:rsidRDefault="00792DCE" w:rsidP="00792DCE">
      <w:pPr>
        <w:ind w:firstLine="800"/>
        <w:jc w:val="both"/>
        <w:rPr>
          <w:szCs w:val="24"/>
        </w:rPr>
      </w:pPr>
      <w:r w:rsidRPr="00D50CF9">
        <w:rPr>
          <w:szCs w:val="24"/>
        </w:rPr>
        <w:t xml:space="preserve">The XGBoost is a decision-tree (DT) based gradient boosting method that is popularly being used to solve diverse scientific and engineering problems </w:t>
      </w:r>
      <w:r w:rsidR="00BD153F" w:rsidRPr="00D50CF9">
        <w:rPr>
          <w:szCs w:val="24"/>
          <w:vertAlign w:val="superscript"/>
        </w:rPr>
        <w:t>40</w:t>
      </w:r>
      <w:r w:rsidRPr="00D50CF9">
        <w:rPr>
          <w:szCs w:val="24"/>
        </w:rPr>
        <w:t xml:space="preserve">. Although this method has exhibited powerful and robust capability to solve many diverse problems, whether the XGBoost or other DT-based techniques can work efficiently on highly complex and non-linear relationships between variables as in air quality model simulations has not been fully proven yet. In order to confirm this, first, we tested several bagging- and gradient boosting-based ML techniques such as CatBoost, AdaBoost, Light GBM, Random Forest, and XGBoost </w:t>
      </w:r>
      <w:r w:rsidR="00BD153F" w:rsidRPr="00D50CF9">
        <w:rPr>
          <w:szCs w:val="24"/>
          <w:vertAlign w:val="superscript"/>
        </w:rPr>
        <w:t>41,42</w:t>
      </w:r>
      <w:r w:rsidRPr="00D50CF9">
        <w:rPr>
          <w:szCs w:val="24"/>
        </w:rPr>
        <w:t>.</w:t>
      </w:r>
    </w:p>
    <w:p w:rsidR="00792DCE" w:rsidRPr="00D50CF9" w:rsidRDefault="00792DCE" w:rsidP="00792DCE">
      <w:pPr>
        <w:ind w:firstLine="800"/>
        <w:jc w:val="both"/>
        <w:rPr>
          <w:szCs w:val="24"/>
        </w:rPr>
      </w:pPr>
      <w:r w:rsidRPr="00D50CF9">
        <w:rPr>
          <w:szCs w:val="24"/>
        </w:rPr>
        <w:t>For this test, we constructed 2.3-year big data for model training. Such big data mainly included outputs from WRF-CMAQ</w:t>
      </w:r>
      <w:r w:rsidRPr="00D50CF9">
        <w:rPr>
          <w:b/>
          <w:szCs w:val="24"/>
        </w:rPr>
        <w:t xml:space="preserve"> </w:t>
      </w:r>
      <w:r w:rsidRPr="00D50CF9">
        <w:rPr>
          <w:szCs w:val="24"/>
        </w:rPr>
        <w:t>model</w:t>
      </w:r>
      <w:r w:rsidRPr="00D50CF9">
        <w:rPr>
          <w:b/>
          <w:szCs w:val="24"/>
        </w:rPr>
        <w:t xml:space="preserve"> </w:t>
      </w:r>
      <w:r w:rsidRPr="00D50CF9">
        <w:rPr>
          <w:szCs w:val="24"/>
        </w:rPr>
        <w:t>simulations (without data assimilation) as well as PM</w:t>
      </w:r>
      <w:r w:rsidRPr="00D50CF9">
        <w:rPr>
          <w:szCs w:val="24"/>
          <w:vertAlign w:val="subscript"/>
        </w:rPr>
        <w:t xml:space="preserve">2.5 </w:t>
      </w:r>
      <w:r w:rsidRPr="00D50CF9">
        <w:rPr>
          <w:szCs w:val="24"/>
        </w:rPr>
        <w:t xml:space="preserve">observations (as true values) from the AIR KOREA network. We did not apply data assimilation to WRF-CMAQ model simulations to prevent compulsory perturbation of non-linear relationships between input parameters. The dataset constructed was then divided into two groups: 80% for model training and 20% for model validation. After model training and validation, all the above-mentioned ML techniques were applied to correct model biases and errors during the period of KORUS-AQ campaign. </w:t>
      </w:r>
      <w:r w:rsidR="00295F68" w:rsidRPr="00D50CF9">
        <w:rPr>
          <w:szCs w:val="24"/>
        </w:rPr>
        <w:t xml:space="preserve">Supplementary </w:t>
      </w:r>
      <w:r w:rsidRPr="00D50CF9">
        <w:rPr>
          <w:szCs w:val="24"/>
        </w:rPr>
        <w:t xml:space="preserve">Table </w:t>
      </w:r>
      <w:r w:rsidRPr="00D50CF9">
        <w:rPr>
          <w:color w:val="000000"/>
          <w:szCs w:val="24"/>
          <w:lang w:eastAsia="ko-KR"/>
        </w:rPr>
        <w:t>9</w:t>
      </w:r>
      <w:r w:rsidRPr="00D50CF9">
        <w:rPr>
          <w:color w:val="000000"/>
          <w:szCs w:val="24"/>
        </w:rPr>
        <w:t xml:space="preserve"> presents results from our screening tests to select the best technique. As shown in </w:t>
      </w:r>
      <w:r w:rsidR="00295F68" w:rsidRPr="00D50CF9">
        <w:rPr>
          <w:szCs w:val="24"/>
        </w:rPr>
        <w:t>Supplementary</w:t>
      </w:r>
      <w:r w:rsidR="00295F68" w:rsidRPr="00D50CF9">
        <w:rPr>
          <w:color w:val="000000"/>
          <w:szCs w:val="24"/>
        </w:rPr>
        <w:t xml:space="preserve"> </w:t>
      </w:r>
      <w:r w:rsidRPr="00D50CF9">
        <w:rPr>
          <w:color w:val="000000"/>
          <w:szCs w:val="24"/>
        </w:rPr>
        <w:t xml:space="preserve">Table </w:t>
      </w:r>
      <w:r w:rsidRPr="00D50CF9">
        <w:rPr>
          <w:color w:val="000000"/>
          <w:szCs w:val="24"/>
          <w:lang w:eastAsia="ko-KR"/>
        </w:rPr>
        <w:t>9</w:t>
      </w:r>
      <w:r w:rsidRPr="00D50CF9">
        <w:rPr>
          <w:szCs w:val="24"/>
        </w:rPr>
        <w:t>, the XGBoost method showed the best correction performances in terms of IOA, R, RMSE, and MB. For example, the IOA with the XGBoost increased up to 0.66. Based on this screening test, we decided to choose the XGBoost-based method for the ‘bias and error corrector’ of WRF-CMAQ model simulations.</w:t>
      </w:r>
    </w:p>
    <w:p w:rsidR="00792DCE" w:rsidRPr="00D50CF9" w:rsidRDefault="00792DCE" w:rsidP="00792DCE">
      <w:pPr>
        <w:ind w:firstLine="800"/>
        <w:jc w:val="both"/>
        <w:rPr>
          <w:szCs w:val="24"/>
        </w:rPr>
      </w:pPr>
      <w:r w:rsidRPr="00D50CF9">
        <w:rPr>
          <w:szCs w:val="24"/>
        </w:rPr>
        <w:t xml:space="preserve">After choosing a model, we attempted to further improve the bias and error correction of the model. First, in the phase of model training, Bayesian optimization algorithm (BOA) was employed to find the optimal combination of model hyper-parameters. The BOA is an efficient and effective hyper-parameter tuning algorithm that can directly search the maximum and minimum values of the objective function (or cost function) </w:t>
      </w:r>
      <w:r w:rsidR="00BD153F" w:rsidRPr="00D50CF9">
        <w:rPr>
          <w:szCs w:val="24"/>
          <w:vertAlign w:val="superscript"/>
        </w:rPr>
        <w:t>43</w:t>
      </w:r>
      <w:r w:rsidRPr="00D50CF9">
        <w:rPr>
          <w:szCs w:val="24"/>
        </w:rPr>
        <w:t>.</w:t>
      </w:r>
      <w:r w:rsidRPr="00D50CF9">
        <w:rPr>
          <w:szCs w:val="24"/>
          <w:vertAlign w:val="superscript"/>
        </w:rPr>
        <w:t xml:space="preserve"> </w:t>
      </w:r>
      <w:r w:rsidRPr="00D50CF9">
        <w:rPr>
          <w:szCs w:val="24"/>
        </w:rPr>
        <w:t xml:space="preserve">Due to its high optimization performances, the BOA has found a wide range of applications </w:t>
      </w:r>
      <w:r w:rsidR="00BD153F" w:rsidRPr="00D50CF9">
        <w:rPr>
          <w:szCs w:val="24"/>
          <w:vertAlign w:val="superscript"/>
        </w:rPr>
        <w:t>44</w:t>
      </w:r>
      <w:r w:rsidR="00BD153F" w:rsidRPr="00D50CF9">
        <w:rPr>
          <w:rFonts w:eastAsia="맑은 고딕"/>
          <w:szCs w:val="24"/>
          <w:vertAlign w:val="superscript"/>
        </w:rPr>
        <w:t>–</w:t>
      </w:r>
      <w:r w:rsidR="00BD153F" w:rsidRPr="00D50CF9">
        <w:rPr>
          <w:szCs w:val="24"/>
          <w:vertAlign w:val="superscript"/>
          <w:lang w:eastAsia="ko-KR"/>
        </w:rPr>
        <w:t>46</w:t>
      </w:r>
      <w:r w:rsidRPr="00D50CF9">
        <w:rPr>
          <w:szCs w:val="24"/>
        </w:rPr>
        <w:t xml:space="preserve">. In this study, the objective function of the BOA was set with Pearson correlation coefficient (R). </w:t>
      </w:r>
    </w:p>
    <w:p w:rsidR="00792DCE" w:rsidRPr="00D50CF9" w:rsidRDefault="00792DCE" w:rsidP="00792DCE">
      <w:pPr>
        <w:ind w:firstLine="800"/>
        <w:jc w:val="both"/>
        <w:rPr>
          <w:szCs w:val="24"/>
        </w:rPr>
      </w:pPr>
      <w:r w:rsidRPr="00D50CF9">
        <w:rPr>
          <w:szCs w:val="24"/>
        </w:rPr>
        <w:t xml:space="preserve">Second, data quality is one of the main factors that determine the performance of an ML algorithm. In particular, imbalance of the training dataset often deteriorates the performance of an ML model. The distribution of information of true value (observations) </w:t>
      </w:r>
      <w:r w:rsidRPr="00D50CF9">
        <w:rPr>
          <w:szCs w:val="24"/>
        </w:rPr>
        <w:lastRenderedPageBreak/>
        <w:t xml:space="preserve">in the original training dataset is presented in </w:t>
      </w:r>
      <w:r w:rsidR="00EA7D3F" w:rsidRPr="00D50CF9">
        <w:rPr>
          <w:szCs w:val="24"/>
        </w:rPr>
        <w:t xml:space="preserve">Supplementary </w:t>
      </w:r>
      <w:r w:rsidRPr="00D50CF9">
        <w:rPr>
          <w:szCs w:val="24"/>
        </w:rPr>
        <w:t xml:space="preserve">Fig. 13. As shown in </w:t>
      </w:r>
      <w:r w:rsidR="00EA7D3F" w:rsidRPr="00D50CF9">
        <w:rPr>
          <w:szCs w:val="24"/>
        </w:rPr>
        <w:t xml:space="preserve">Supplementary </w:t>
      </w:r>
      <w:r w:rsidRPr="00D50CF9">
        <w:rPr>
          <w:szCs w:val="24"/>
        </w:rPr>
        <w:t xml:space="preserve">Fig. 13, the original training dataset was highly unbalanced (i.e., showing a skewed shape). For a better error and bias correction, the training dataset needs to be pre-processed through data balancing (DB). We compared three DB algorithms: </w:t>
      </w:r>
      <w:r w:rsidRPr="00D50CF9">
        <w:rPr>
          <w:szCs w:val="24"/>
          <w:lang w:eastAsia="ko-KR"/>
        </w:rPr>
        <w:t>(</w:t>
      </w:r>
      <w:r w:rsidRPr="00D50CF9">
        <w:rPr>
          <w:szCs w:val="24"/>
        </w:rPr>
        <w:t xml:space="preserve">i) oversampling; </w:t>
      </w:r>
      <w:r w:rsidRPr="00D50CF9">
        <w:rPr>
          <w:szCs w:val="24"/>
          <w:lang w:eastAsia="ko-KR"/>
        </w:rPr>
        <w:t>(</w:t>
      </w:r>
      <w:r w:rsidRPr="00D50CF9">
        <w:rPr>
          <w:szCs w:val="24"/>
        </w:rPr>
        <w:t>ii) Gaussian noise</w:t>
      </w:r>
      <w:r w:rsidR="00217FC9" w:rsidRPr="00D50CF9">
        <w:rPr>
          <w:szCs w:val="24"/>
        </w:rPr>
        <w:t xml:space="preserve"> </w:t>
      </w:r>
      <w:r w:rsidR="00217FC9" w:rsidRPr="00D50CF9">
        <w:rPr>
          <w:szCs w:val="24"/>
          <w:vertAlign w:val="superscript"/>
        </w:rPr>
        <w:t>36</w:t>
      </w:r>
      <w:r w:rsidRPr="00D50CF9">
        <w:rPr>
          <w:szCs w:val="24"/>
        </w:rPr>
        <w:t xml:space="preserve">; and </w:t>
      </w:r>
      <w:r w:rsidRPr="00D50CF9">
        <w:rPr>
          <w:szCs w:val="24"/>
          <w:lang w:eastAsia="ko-KR"/>
        </w:rPr>
        <w:t>(</w:t>
      </w:r>
      <w:r w:rsidRPr="00D50CF9">
        <w:rPr>
          <w:szCs w:val="24"/>
        </w:rPr>
        <w:t>iii) SMOTEENN (Synthetic Minority Oversampling T</w:t>
      </w:r>
      <w:r w:rsidRPr="00D50CF9">
        <w:rPr>
          <w:szCs w:val="24"/>
          <w:lang w:eastAsia="ko-KR"/>
        </w:rPr>
        <w:t>e</w:t>
      </w:r>
      <w:r w:rsidRPr="00D50CF9">
        <w:rPr>
          <w:szCs w:val="24"/>
        </w:rPr>
        <w:t xml:space="preserve">chnique + Edited Nearest Neighbor) </w:t>
      </w:r>
      <w:r w:rsidR="00847315" w:rsidRPr="00D50CF9">
        <w:rPr>
          <w:szCs w:val="24"/>
          <w:vertAlign w:val="superscript"/>
        </w:rPr>
        <w:t>47,48</w:t>
      </w:r>
      <w:r w:rsidRPr="00D50CF9">
        <w:rPr>
          <w:szCs w:val="24"/>
        </w:rPr>
        <w:t>. Here, PM</w:t>
      </w:r>
      <w:r w:rsidRPr="00D50CF9">
        <w:rPr>
          <w:szCs w:val="24"/>
          <w:vertAlign w:val="subscript"/>
        </w:rPr>
        <w:t xml:space="preserve">2.5 </w:t>
      </w:r>
      <w:r w:rsidRPr="00D50CF9">
        <w:rPr>
          <w:szCs w:val="24"/>
        </w:rPr>
        <w:t xml:space="preserve">categories of South Korean air quality standards were used for decision boundaries to define minority and majority classes. Data samples above 100 </w:t>
      </w:r>
      <w:r w:rsidRPr="00D50CF9">
        <w:rPr>
          <w:i/>
          <w:szCs w:val="24"/>
        </w:rPr>
        <w:t>μ</w:t>
      </w:r>
      <w:r w:rsidRPr="00D50CF9">
        <w:rPr>
          <w:szCs w:val="24"/>
        </w:rPr>
        <w:t>g/m</w:t>
      </w:r>
      <w:r w:rsidRPr="00D50CF9">
        <w:rPr>
          <w:szCs w:val="24"/>
          <w:vertAlign w:val="superscript"/>
        </w:rPr>
        <w:t>3</w:t>
      </w:r>
      <w:r w:rsidRPr="00D50CF9">
        <w:rPr>
          <w:szCs w:val="24"/>
        </w:rPr>
        <w:t xml:space="preserve"> were not oversampled to prevent excessive amplification of high PM</w:t>
      </w:r>
      <w:r w:rsidRPr="00D50CF9">
        <w:rPr>
          <w:szCs w:val="24"/>
          <w:vertAlign w:val="subscript"/>
        </w:rPr>
        <w:t>2.5</w:t>
      </w:r>
      <w:r w:rsidRPr="00D50CF9">
        <w:rPr>
          <w:szCs w:val="24"/>
        </w:rPr>
        <w:t xml:space="preserve"> data samples as well as overfittin</w:t>
      </w:r>
      <w:r w:rsidRPr="00D50CF9">
        <w:rPr>
          <w:color w:val="000000"/>
          <w:szCs w:val="24"/>
        </w:rPr>
        <w:t xml:space="preserve">g. Results of performance comparisons between DB algorithms are summarized in </w:t>
      </w:r>
      <w:r w:rsidR="003E4DA6" w:rsidRPr="00D50CF9">
        <w:rPr>
          <w:szCs w:val="24"/>
        </w:rPr>
        <w:t>Supplementary</w:t>
      </w:r>
      <w:r w:rsidR="003E4DA6" w:rsidRPr="00D50CF9">
        <w:rPr>
          <w:color w:val="000000"/>
          <w:szCs w:val="24"/>
        </w:rPr>
        <w:t xml:space="preserve"> </w:t>
      </w:r>
      <w:r w:rsidRPr="00D50CF9">
        <w:rPr>
          <w:color w:val="000000"/>
          <w:szCs w:val="24"/>
        </w:rPr>
        <w:t xml:space="preserve">Table </w:t>
      </w:r>
      <w:r w:rsidRPr="00D50CF9">
        <w:rPr>
          <w:color w:val="000000" w:themeColor="text1"/>
          <w:szCs w:val="24"/>
          <w:lang w:eastAsia="ko-KR"/>
        </w:rPr>
        <w:t>10</w:t>
      </w:r>
      <w:r w:rsidRPr="00D50CF9">
        <w:rPr>
          <w:szCs w:val="24"/>
        </w:rPr>
        <w:t>. The SMOTEENN-XGBoost combined model showed the best performance in PM</w:t>
      </w:r>
      <w:r w:rsidRPr="00D50CF9">
        <w:rPr>
          <w:szCs w:val="24"/>
          <w:vertAlign w:val="subscript"/>
        </w:rPr>
        <w:t>2.5</w:t>
      </w:r>
      <w:r w:rsidRPr="00D50CF9">
        <w:rPr>
          <w:szCs w:val="24"/>
        </w:rPr>
        <w:t xml:space="preserve"> correction, showing an IOA of 0.71 and a HR of 75.15%. Obviously, this HR of 75.15% is the highest one, even higher than HRs shown in Fig. 2. Note that the HR of Fig. 2</w:t>
      </w:r>
      <w:r w:rsidR="00E2241C" w:rsidRPr="00D50CF9">
        <w:rPr>
          <w:szCs w:val="24"/>
        </w:rPr>
        <w:t>h</w:t>
      </w:r>
      <w:r w:rsidRPr="00D50CF9">
        <w:rPr>
          <w:szCs w:val="24"/>
        </w:rPr>
        <w:t xml:space="preserve"> was only 67.88%. The SMOTEENN-XGBoost corrector appeared to be highly efficient in enhancing this administrative metric (HR). However, in terms of the IOA, the SMOTEENN-XGBoost corrector only increased the IOA up to 0.71, which was smaller than the IOA of 0.78 in Fig. 2</w:t>
      </w:r>
      <w:r w:rsidR="000A32FE" w:rsidRPr="00D50CF9">
        <w:rPr>
          <w:szCs w:val="24"/>
        </w:rPr>
        <w:t>g, h</w:t>
      </w:r>
      <w:r w:rsidRPr="00D50CF9">
        <w:rPr>
          <w:szCs w:val="24"/>
        </w:rPr>
        <w:t>. Based on this result, we are now using the SMOTEENN-XGBoost corrector in a complementary way in K_ACheMS v2.0 PM</w:t>
      </w:r>
      <w:r w:rsidRPr="00D50CF9">
        <w:rPr>
          <w:szCs w:val="24"/>
          <w:vertAlign w:val="subscript"/>
        </w:rPr>
        <w:t xml:space="preserve">2.5 </w:t>
      </w:r>
      <w:r w:rsidRPr="00D50CF9">
        <w:rPr>
          <w:szCs w:val="24"/>
        </w:rPr>
        <w:t>forecasting. Bias and error corrector need further investigations in the future.</w:t>
      </w:r>
    </w:p>
    <w:p w:rsidR="00792DCE" w:rsidRPr="00D50CF9" w:rsidRDefault="00792DCE" w:rsidP="00792DCE">
      <w:pPr>
        <w:ind w:firstLine="800"/>
        <w:jc w:val="both"/>
        <w:rPr>
          <w:szCs w:val="24"/>
        </w:rPr>
      </w:pPr>
    </w:p>
    <w:p w:rsidR="00792DCE" w:rsidRPr="00D50CF9" w:rsidRDefault="00792DCE" w:rsidP="00792DCE">
      <w:pPr>
        <w:pStyle w:val="SMHeading"/>
      </w:pPr>
      <w:r w:rsidRPr="00D50CF9">
        <w:t>S</w:t>
      </w:r>
      <w:r w:rsidRPr="00D50CF9">
        <w:rPr>
          <w:lang w:eastAsia="ko-KR"/>
        </w:rPr>
        <w:t>ection</w:t>
      </w:r>
      <w:r w:rsidRPr="00D50CF9">
        <w:t xml:space="preserve"> </w:t>
      </w:r>
      <w:r w:rsidRPr="00D50CF9">
        <w:rPr>
          <w:lang w:eastAsia="ko-KR"/>
        </w:rPr>
        <w:t>13. Data assimilation techniques of K_ACheMS v2.0</w:t>
      </w:r>
    </w:p>
    <w:p w:rsidR="00792DCE" w:rsidRPr="00D50CF9" w:rsidRDefault="00792DCE" w:rsidP="00792DCE">
      <w:pPr>
        <w:ind w:firstLine="800"/>
        <w:jc w:val="both"/>
        <w:rPr>
          <w:szCs w:val="24"/>
        </w:rPr>
      </w:pPr>
      <w:r w:rsidRPr="00D50CF9">
        <w:rPr>
          <w:szCs w:val="24"/>
        </w:rPr>
        <w:t>Data assimilation is a technique to correct modeled state (also called ‘background state’) with observations. This corrected field, called ‘analysis state’, can be utilized as an initial state (or initial condition) for PM</w:t>
      </w:r>
      <w:r w:rsidRPr="00D50CF9">
        <w:rPr>
          <w:szCs w:val="24"/>
          <w:vertAlign w:val="subscript"/>
        </w:rPr>
        <w:t>2.5</w:t>
      </w:r>
      <w:r w:rsidRPr="00D50CF9">
        <w:rPr>
          <w:szCs w:val="24"/>
        </w:rPr>
        <w:t xml:space="preserve"> predictions. In this supplementary information, we will briefly introduce 3-D VAR techniques used in this study. As mentioned previously, two data assimilation methods are currently being developed under the framework of the K_ACheMS v2.0: 3</w:t>
      </w:r>
      <w:r w:rsidRPr="00D50CF9">
        <w:rPr>
          <w:szCs w:val="24"/>
          <w:lang w:eastAsia="ko-KR"/>
        </w:rPr>
        <w:t>-</w:t>
      </w:r>
      <w:r w:rsidRPr="00D50CF9">
        <w:rPr>
          <w:szCs w:val="24"/>
        </w:rPr>
        <w:t>D VAR and EnKF. Here, we will only describe the 3</w:t>
      </w:r>
      <w:r w:rsidRPr="00D50CF9">
        <w:rPr>
          <w:szCs w:val="24"/>
          <w:lang w:eastAsia="ko-KR"/>
        </w:rPr>
        <w:t>-</w:t>
      </w:r>
      <w:r w:rsidRPr="00D50CF9">
        <w:rPr>
          <w:szCs w:val="24"/>
        </w:rPr>
        <w:t xml:space="preserve">D VAR method. More details regarding the EnKF techniques can be found in Park et al. </w:t>
      </w:r>
      <w:r w:rsidR="00EB6AF6" w:rsidRPr="00D50CF9">
        <w:rPr>
          <w:szCs w:val="24"/>
          <w:vertAlign w:val="superscript"/>
        </w:rPr>
        <w:t>11</w:t>
      </w:r>
      <w:r w:rsidRPr="00D50CF9">
        <w:rPr>
          <w:szCs w:val="24"/>
        </w:rPr>
        <w:t xml:space="preserve">. </w:t>
      </w:r>
    </w:p>
    <w:p w:rsidR="00792DCE" w:rsidRPr="00D50CF9" w:rsidRDefault="00792DCE" w:rsidP="00792DCE">
      <w:pPr>
        <w:ind w:firstLine="800"/>
        <w:jc w:val="both"/>
        <w:rPr>
          <w:szCs w:val="24"/>
        </w:rPr>
      </w:pPr>
      <w:r w:rsidRPr="00D50CF9">
        <w:rPr>
          <w:szCs w:val="24"/>
        </w:rPr>
        <w:t>In the 3-D VAR data assimilation, the analysis state can be estimated by minimizing the cost function (</w:t>
      </w:r>
      <w:r w:rsidRPr="00D50CF9">
        <w:rPr>
          <w:i/>
          <w:szCs w:val="24"/>
        </w:rPr>
        <w:t>J</w:t>
      </w:r>
      <w:r w:rsidRPr="00D50CF9">
        <w:rPr>
          <w:szCs w:val="24"/>
        </w:rPr>
        <w:t>(x)) as follows:</w:t>
      </w:r>
    </w:p>
    <w:tbl>
      <w:tblPr>
        <w:tblStyle w:val="afff1"/>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8"/>
        <w:gridCol w:w="762"/>
      </w:tblGrid>
      <w:tr w:rsidR="00792DCE" w:rsidRPr="00D50CF9" w:rsidTr="00FF6C9B">
        <w:trPr>
          <w:trHeight w:val="283"/>
        </w:trPr>
        <w:tc>
          <w:tcPr>
            <w:tcW w:w="4190" w:type="pct"/>
            <w:vAlign w:val="center"/>
          </w:tcPr>
          <w:p w:rsidR="00792DCE" w:rsidRPr="00D50CF9" w:rsidRDefault="00792DCE" w:rsidP="00FF6C9B">
            <w:pPr>
              <w:spacing w:line="480" w:lineRule="auto"/>
              <w:rPr>
                <w:rFonts w:eastAsia="바탕"/>
                <w:szCs w:val="24"/>
              </w:rPr>
            </w:pPr>
            <m:oMathPara>
              <m:oMath>
                <m:r>
                  <w:rPr>
                    <w:rFonts w:ascii="Cambria Math" w:eastAsia="바탕" w:hAnsi="Cambria Math"/>
                    <w:szCs w:val="24"/>
                  </w:rPr>
                  <m:t>J</m:t>
                </m:r>
                <m:d>
                  <m:dPr>
                    <m:ctrlPr>
                      <w:rPr>
                        <w:rFonts w:ascii="Cambria Math" w:eastAsia="바탕" w:hAnsi="Cambria Math"/>
                        <w:i/>
                        <w:szCs w:val="24"/>
                      </w:rPr>
                    </m:ctrlPr>
                  </m:dPr>
                  <m:e>
                    <m:r>
                      <m:rPr>
                        <m:sty m:val="b"/>
                      </m:rPr>
                      <w:rPr>
                        <w:rFonts w:ascii="Cambria Math" w:eastAsia="바탕" w:hAnsi="Cambria Math"/>
                        <w:szCs w:val="24"/>
                      </w:rPr>
                      <m:t>x</m:t>
                    </m:r>
                  </m:e>
                </m:d>
                <m:r>
                  <w:rPr>
                    <w:rFonts w:ascii="Cambria Math" w:eastAsia="바탕" w:hAnsi="Cambria Math"/>
                    <w:szCs w:val="24"/>
                  </w:rPr>
                  <m:t>=</m:t>
                </m:r>
                <m:f>
                  <m:fPr>
                    <m:ctrlPr>
                      <w:rPr>
                        <w:rFonts w:ascii="Cambria Math" w:eastAsia="바탕" w:hAnsi="Cambria Math"/>
                        <w:i/>
                        <w:szCs w:val="24"/>
                      </w:rPr>
                    </m:ctrlPr>
                  </m:fPr>
                  <m:num>
                    <m:r>
                      <w:rPr>
                        <w:rFonts w:ascii="Cambria Math" w:eastAsia="바탕" w:hAnsi="Cambria Math"/>
                        <w:szCs w:val="24"/>
                      </w:rPr>
                      <m:t>1</m:t>
                    </m:r>
                  </m:num>
                  <m:den>
                    <m:r>
                      <w:rPr>
                        <w:rFonts w:ascii="Cambria Math" w:eastAsia="바탕" w:hAnsi="Cambria Math"/>
                        <w:szCs w:val="24"/>
                      </w:rPr>
                      <m:t>2</m:t>
                    </m:r>
                  </m:den>
                </m:f>
                <m:sSup>
                  <m:sSupPr>
                    <m:ctrlPr>
                      <w:rPr>
                        <w:rFonts w:ascii="Cambria Math" w:eastAsia="바탕" w:hAnsi="Cambria Math"/>
                        <w:i/>
                        <w:szCs w:val="24"/>
                      </w:rPr>
                    </m:ctrlPr>
                  </m:sSupPr>
                  <m:e>
                    <m:d>
                      <m:dPr>
                        <m:ctrlPr>
                          <w:rPr>
                            <w:rFonts w:ascii="Cambria Math" w:eastAsia="바탕" w:hAnsi="Cambria Math"/>
                            <w:i/>
                            <w:szCs w:val="24"/>
                          </w:rPr>
                        </m:ctrlPr>
                      </m:dPr>
                      <m:e>
                        <m:r>
                          <m:rPr>
                            <m:sty m:val="b"/>
                          </m:rPr>
                          <w:rPr>
                            <w:rFonts w:ascii="Cambria Math" w:eastAsia="바탕" w:hAnsi="Cambria Math"/>
                            <w:szCs w:val="24"/>
                          </w:rPr>
                          <m:t>x</m:t>
                        </m:r>
                        <m:r>
                          <w:rPr>
                            <w:rFonts w:ascii="Cambria Math" w:eastAsia="바탕" w:hAnsi="Cambria Math"/>
                            <w:szCs w:val="24"/>
                          </w:rPr>
                          <m:t>-</m:t>
                        </m:r>
                        <m:sSub>
                          <m:sSubPr>
                            <m:ctrlPr>
                              <w:rPr>
                                <w:rFonts w:ascii="Cambria Math" w:eastAsia="바탕" w:hAnsi="Cambria Math"/>
                                <w:b/>
                                <w:i/>
                                <w:szCs w:val="24"/>
                              </w:rPr>
                            </m:ctrlPr>
                          </m:sSubPr>
                          <m:e>
                            <m:r>
                              <m:rPr>
                                <m:sty m:val="b"/>
                              </m:rPr>
                              <w:rPr>
                                <w:rFonts w:ascii="Cambria Math" w:eastAsia="바탕" w:hAnsi="Cambria Math"/>
                                <w:szCs w:val="24"/>
                              </w:rPr>
                              <m:t>x</m:t>
                            </m:r>
                          </m:e>
                          <m:sub>
                            <m:r>
                              <m:rPr>
                                <m:sty m:val="b"/>
                              </m:rPr>
                              <w:rPr>
                                <w:rFonts w:ascii="Cambria Math" w:eastAsia="바탕" w:hAnsi="Cambria Math"/>
                                <w:szCs w:val="24"/>
                              </w:rPr>
                              <m:t>b</m:t>
                            </m:r>
                          </m:sub>
                        </m:sSub>
                      </m:e>
                    </m:d>
                  </m:e>
                  <m:sup>
                    <m:r>
                      <w:rPr>
                        <w:rFonts w:ascii="Cambria Math" w:eastAsia="바탕" w:hAnsi="Cambria Math"/>
                        <w:szCs w:val="24"/>
                      </w:rPr>
                      <m:t>T</m:t>
                    </m:r>
                  </m:sup>
                </m:sSup>
                <m:sSup>
                  <m:sSupPr>
                    <m:ctrlPr>
                      <w:rPr>
                        <w:rFonts w:ascii="Cambria Math" w:eastAsia="바탕" w:hAnsi="Cambria Math"/>
                        <w:i/>
                        <w:szCs w:val="24"/>
                      </w:rPr>
                    </m:ctrlPr>
                  </m:sSupPr>
                  <m:e>
                    <m:r>
                      <m:rPr>
                        <m:sty m:val="b"/>
                      </m:rPr>
                      <w:rPr>
                        <w:rFonts w:ascii="Cambria Math" w:eastAsia="바탕" w:hAnsi="Cambria Math"/>
                        <w:szCs w:val="24"/>
                      </w:rPr>
                      <m:t>B</m:t>
                    </m:r>
                  </m:e>
                  <m:sup>
                    <m:r>
                      <w:rPr>
                        <w:rFonts w:ascii="Cambria Math" w:eastAsia="바탕" w:hAnsi="Cambria Math"/>
                        <w:szCs w:val="24"/>
                      </w:rPr>
                      <m:t>-1</m:t>
                    </m:r>
                  </m:sup>
                </m:sSup>
                <m:d>
                  <m:dPr>
                    <m:ctrlPr>
                      <w:rPr>
                        <w:rFonts w:ascii="Cambria Math" w:eastAsia="바탕" w:hAnsi="Cambria Math"/>
                        <w:i/>
                        <w:szCs w:val="24"/>
                      </w:rPr>
                    </m:ctrlPr>
                  </m:dPr>
                  <m:e>
                    <m:r>
                      <m:rPr>
                        <m:sty m:val="b"/>
                      </m:rPr>
                      <w:rPr>
                        <w:rFonts w:ascii="Cambria Math" w:eastAsia="바탕" w:hAnsi="Cambria Math"/>
                        <w:szCs w:val="24"/>
                      </w:rPr>
                      <m:t>x</m:t>
                    </m:r>
                    <m:r>
                      <w:rPr>
                        <w:rFonts w:ascii="Cambria Math" w:eastAsia="바탕" w:hAnsi="Cambria Math"/>
                        <w:szCs w:val="24"/>
                      </w:rPr>
                      <m:t>-</m:t>
                    </m:r>
                    <m:sSub>
                      <m:sSubPr>
                        <m:ctrlPr>
                          <w:rPr>
                            <w:rFonts w:ascii="Cambria Math" w:eastAsia="바탕" w:hAnsi="Cambria Math"/>
                            <w:b/>
                            <w:i/>
                            <w:szCs w:val="24"/>
                          </w:rPr>
                        </m:ctrlPr>
                      </m:sSubPr>
                      <m:e>
                        <m:r>
                          <m:rPr>
                            <m:sty m:val="b"/>
                          </m:rPr>
                          <w:rPr>
                            <w:rFonts w:ascii="Cambria Math" w:eastAsia="바탕" w:hAnsi="Cambria Math"/>
                            <w:szCs w:val="24"/>
                          </w:rPr>
                          <m:t>x</m:t>
                        </m:r>
                      </m:e>
                      <m:sub>
                        <m:r>
                          <m:rPr>
                            <m:sty m:val="b"/>
                          </m:rPr>
                          <w:rPr>
                            <w:rFonts w:ascii="Cambria Math" w:eastAsia="바탕" w:hAnsi="Cambria Math"/>
                            <w:szCs w:val="24"/>
                          </w:rPr>
                          <m:t>b</m:t>
                        </m:r>
                      </m:sub>
                    </m:sSub>
                  </m:e>
                </m:d>
                <m:r>
                  <w:rPr>
                    <w:rFonts w:ascii="Cambria Math" w:eastAsia="바탕" w:hAnsi="Cambria Math"/>
                    <w:szCs w:val="24"/>
                  </w:rPr>
                  <m:t>+</m:t>
                </m:r>
                <m:f>
                  <m:fPr>
                    <m:ctrlPr>
                      <w:rPr>
                        <w:rFonts w:ascii="Cambria Math" w:eastAsia="바탕" w:hAnsi="Cambria Math"/>
                        <w:i/>
                        <w:szCs w:val="24"/>
                      </w:rPr>
                    </m:ctrlPr>
                  </m:fPr>
                  <m:num>
                    <m:r>
                      <w:rPr>
                        <w:rFonts w:ascii="Cambria Math" w:eastAsia="바탕" w:hAnsi="Cambria Math"/>
                        <w:szCs w:val="24"/>
                      </w:rPr>
                      <m:t>1</m:t>
                    </m:r>
                  </m:num>
                  <m:den>
                    <m:r>
                      <w:rPr>
                        <w:rFonts w:ascii="Cambria Math" w:eastAsia="바탕" w:hAnsi="Cambria Math"/>
                        <w:szCs w:val="24"/>
                      </w:rPr>
                      <m:t>2</m:t>
                    </m:r>
                  </m:den>
                </m:f>
                <m:sSup>
                  <m:sSupPr>
                    <m:ctrlPr>
                      <w:rPr>
                        <w:rFonts w:ascii="Cambria Math" w:eastAsia="바탕" w:hAnsi="Cambria Math"/>
                        <w:i/>
                        <w:szCs w:val="24"/>
                      </w:rPr>
                    </m:ctrlPr>
                  </m:sSupPr>
                  <m:e>
                    <m:d>
                      <m:dPr>
                        <m:ctrlPr>
                          <w:rPr>
                            <w:rFonts w:ascii="Cambria Math" w:eastAsia="바탕" w:hAnsi="Cambria Math"/>
                            <w:i/>
                            <w:szCs w:val="24"/>
                          </w:rPr>
                        </m:ctrlPr>
                      </m:dPr>
                      <m:e>
                        <m:sSub>
                          <m:sSubPr>
                            <m:ctrlPr>
                              <w:rPr>
                                <w:rFonts w:ascii="Cambria Math" w:eastAsia="바탕" w:hAnsi="Cambria Math"/>
                                <w:b/>
                                <w:i/>
                                <w:szCs w:val="24"/>
                              </w:rPr>
                            </m:ctrlPr>
                          </m:sSubPr>
                          <m:e>
                            <m:r>
                              <m:rPr>
                                <m:sty m:val="b"/>
                              </m:rPr>
                              <w:rPr>
                                <w:rFonts w:ascii="Cambria Math" w:eastAsia="바탕" w:hAnsi="Cambria Math"/>
                                <w:szCs w:val="24"/>
                              </w:rPr>
                              <m:t>y</m:t>
                            </m:r>
                          </m:e>
                          <m:sub>
                            <m:r>
                              <m:rPr>
                                <m:sty m:val="b"/>
                              </m:rPr>
                              <w:rPr>
                                <w:rFonts w:ascii="Cambria Math" w:eastAsia="바탕" w:hAnsi="Cambria Math"/>
                                <w:szCs w:val="24"/>
                              </w:rPr>
                              <m:t>o</m:t>
                            </m:r>
                          </m:sub>
                        </m:sSub>
                        <m:r>
                          <w:rPr>
                            <w:rFonts w:ascii="Cambria Math" w:eastAsia="바탕" w:hAnsi="Cambria Math"/>
                            <w:szCs w:val="24"/>
                          </w:rPr>
                          <m:t>-H(</m:t>
                        </m:r>
                        <m:r>
                          <m:rPr>
                            <m:sty m:val="b"/>
                          </m:rPr>
                          <w:rPr>
                            <w:rFonts w:ascii="Cambria Math" w:eastAsia="바탕" w:hAnsi="Cambria Math"/>
                            <w:szCs w:val="24"/>
                          </w:rPr>
                          <m:t>x</m:t>
                        </m:r>
                        <m:r>
                          <w:rPr>
                            <w:rFonts w:ascii="Cambria Math" w:eastAsia="바탕" w:hAnsi="Cambria Math"/>
                            <w:szCs w:val="24"/>
                          </w:rPr>
                          <m:t>)</m:t>
                        </m:r>
                      </m:e>
                    </m:d>
                  </m:e>
                  <m:sup>
                    <m:r>
                      <w:rPr>
                        <w:rFonts w:ascii="Cambria Math" w:eastAsia="바탕" w:hAnsi="Cambria Math"/>
                        <w:szCs w:val="24"/>
                      </w:rPr>
                      <m:t>T</m:t>
                    </m:r>
                  </m:sup>
                </m:sSup>
                <m:sSup>
                  <m:sSupPr>
                    <m:ctrlPr>
                      <w:rPr>
                        <w:rFonts w:ascii="Cambria Math" w:eastAsia="바탕" w:hAnsi="Cambria Math"/>
                        <w:i/>
                        <w:szCs w:val="24"/>
                      </w:rPr>
                    </m:ctrlPr>
                  </m:sSupPr>
                  <m:e>
                    <m:r>
                      <m:rPr>
                        <m:sty m:val="b"/>
                      </m:rPr>
                      <w:rPr>
                        <w:rFonts w:ascii="Cambria Math" w:eastAsia="바탕" w:hAnsi="Cambria Math"/>
                        <w:szCs w:val="24"/>
                      </w:rPr>
                      <m:t>R</m:t>
                    </m:r>
                  </m:e>
                  <m:sup>
                    <m:r>
                      <w:rPr>
                        <w:rFonts w:ascii="Cambria Math" w:eastAsia="바탕" w:hAnsi="Cambria Math"/>
                        <w:szCs w:val="24"/>
                      </w:rPr>
                      <m:t>-1</m:t>
                    </m:r>
                  </m:sup>
                </m:sSup>
                <m:d>
                  <m:dPr>
                    <m:ctrlPr>
                      <w:rPr>
                        <w:rFonts w:ascii="Cambria Math" w:eastAsia="바탕" w:hAnsi="Cambria Math"/>
                        <w:i/>
                        <w:szCs w:val="24"/>
                      </w:rPr>
                    </m:ctrlPr>
                  </m:dPr>
                  <m:e>
                    <m:sSub>
                      <m:sSubPr>
                        <m:ctrlPr>
                          <w:rPr>
                            <w:rFonts w:ascii="Cambria Math" w:eastAsia="바탕" w:hAnsi="Cambria Math"/>
                            <w:b/>
                            <w:i/>
                            <w:szCs w:val="24"/>
                          </w:rPr>
                        </m:ctrlPr>
                      </m:sSubPr>
                      <m:e>
                        <m:r>
                          <m:rPr>
                            <m:sty m:val="b"/>
                          </m:rPr>
                          <w:rPr>
                            <w:rFonts w:ascii="Cambria Math" w:eastAsia="바탕" w:hAnsi="Cambria Math"/>
                            <w:szCs w:val="24"/>
                          </w:rPr>
                          <m:t>y</m:t>
                        </m:r>
                      </m:e>
                      <m:sub>
                        <m:r>
                          <m:rPr>
                            <m:sty m:val="b"/>
                          </m:rPr>
                          <w:rPr>
                            <w:rFonts w:ascii="Cambria Math" w:eastAsia="바탕" w:hAnsi="Cambria Math"/>
                            <w:szCs w:val="24"/>
                          </w:rPr>
                          <m:t>o</m:t>
                        </m:r>
                      </m:sub>
                    </m:sSub>
                    <m:r>
                      <w:rPr>
                        <w:rFonts w:ascii="Cambria Math" w:eastAsia="바탕" w:hAnsi="Cambria Math"/>
                        <w:szCs w:val="24"/>
                      </w:rPr>
                      <m:t>-H(</m:t>
                    </m:r>
                    <m:r>
                      <m:rPr>
                        <m:sty m:val="b"/>
                      </m:rPr>
                      <w:rPr>
                        <w:rFonts w:ascii="Cambria Math" w:eastAsia="바탕" w:hAnsi="Cambria Math"/>
                        <w:szCs w:val="24"/>
                      </w:rPr>
                      <m:t>x</m:t>
                    </m:r>
                    <m:r>
                      <w:rPr>
                        <w:rFonts w:ascii="Cambria Math" w:eastAsia="바탕" w:hAnsi="Cambria Math"/>
                        <w:szCs w:val="24"/>
                      </w:rPr>
                      <m:t>)</m:t>
                    </m:r>
                  </m:e>
                </m:d>
              </m:oMath>
            </m:oMathPara>
          </w:p>
        </w:tc>
        <w:tc>
          <w:tcPr>
            <w:tcW w:w="405" w:type="pct"/>
            <w:vAlign w:val="center"/>
          </w:tcPr>
          <w:p w:rsidR="00792DCE" w:rsidRPr="00D50CF9" w:rsidRDefault="00BB25F5" w:rsidP="00BB25F5">
            <w:pPr>
              <w:spacing w:line="480" w:lineRule="auto"/>
              <w:rPr>
                <w:rFonts w:eastAsia="바탕"/>
                <w:szCs w:val="24"/>
              </w:rPr>
            </w:pPr>
            <w:r w:rsidRPr="00D50CF9">
              <w:rPr>
                <w:rFonts w:eastAsia="바탕"/>
                <w:szCs w:val="24"/>
              </w:rPr>
              <w:t>(</w:t>
            </w:r>
            <w:r w:rsidR="001531D6">
              <w:rPr>
                <w:rFonts w:eastAsia="바탕"/>
                <w:szCs w:val="24"/>
              </w:rPr>
              <w:t>10</w:t>
            </w:r>
            <w:r w:rsidRPr="00D50CF9">
              <w:rPr>
                <w:rFonts w:eastAsia="바탕"/>
                <w:szCs w:val="24"/>
              </w:rPr>
              <w:t>)</w:t>
            </w:r>
          </w:p>
        </w:tc>
      </w:tr>
    </w:tbl>
    <w:p w:rsidR="00792DCE" w:rsidRPr="00D50CF9" w:rsidRDefault="00792DCE" w:rsidP="00792DCE">
      <w:pPr>
        <w:jc w:val="both"/>
        <w:rPr>
          <w:szCs w:val="24"/>
        </w:rPr>
      </w:pPr>
      <w:r w:rsidRPr="00D50CF9">
        <w:rPr>
          <w:szCs w:val="24"/>
        </w:rPr>
        <w:t xml:space="preserve">where </w:t>
      </w:r>
      <w:r w:rsidRPr="00D50CF9">
        <w:rPr>
          <w:b/>
          <w:szCs w:val="24"/>
        </w:rPr>
        <w:t>x</w:t>
      </w:r>
      <w:r w:rsidRPr="00D50CF9">
        <w:rPr>
          <w:szCs w:val="24"/>
        </w:rPr>
        <w:t xml:space="preserve"> is the analysis state vector; </w:t>
      </w:r>
      <w:r w:rsidRPr="00D50CF9">
        <w:rPr>
          <w:b/>
          <w:szCs w:val="24"/>
        </w:rPr>
        <w:t>x</w:t>
      </w:r>
      <w:r w:rsidRPr="00D50CF9">
        <w:rPr>
          <w:b/>
          <w:szCs w:val="24"/>
          <w:vertAlign w:val="subscript"/>
        </w:rPr>
        <w:t>b</w:t>
      </w:r>
      <w:r w:rsidRPr="00D50CF9">
        <w:rPr>
          <w:szCs w:val="24"/>
        </w:rPr>
        <w:t xml:space="preserve"> is the background (or model) state vector; </w:t>
      </w:r>
      <w:r w:rsidRPr="00D50CF9">
        <w:rPr>
          <w:b/>
          <w:szCs w:val="24"/>
        </w:rPr>
        <w:t>y</w:t>
      </w:r>
      <w:r w:rsidRPr="00D50CF9">
        <w:rPr>
          <w:b/>
          <w:szCs w:val="24"/>
          <w:vertAlign w:val="subscript"/>
        </w:rPr>
        <w:t>o</w:t>
      </w:r>
      <w:r w:rsidRPr="00D50CF9">
        <w:rPr>
          <w:szCs w:val="24"/>
        </w:rPr>
        <w:t xml:space="preserve"> is the observation state vector; </w:t>
      </w:r>
      <w:r w:rsidRPr="00D50CF9">
        <w:rPr>
          <w:b/>
          <w:szCs w:val="24"/>
        </w:rPr>
        <w:t>B</w:t>
      </w:r>
      <w:r w:rsidRPr="00D50CF9">
        <w:rPr>
          <w:szCs w:val="24"/>
        </w:rPr>
        <w:t xml:space="preserve"> is the background error covariance (BEC) matrix; </w:t>
      </w:r>
      <w:r w:rsidRPr="00D50CF9">
        <w:rPr>
          <w:b/>
          <w:szCs w:val="24"/>
        </w:rPr>
        <w:t>R</w:t>
      </w:r>
      <w:r w:rsidRPr="00D50CF9">
        <w:rPr>
          <w:szCs w:val="24"/>
        </w:rPr>
        <w:t xml:space="preserve"> is the observation error covariance (OEC) matrix; and </w:t>
      </w:r>
      <w:r w:rsidRPr="00D50CF9">
        <w:rPr>
          <w:i/>
          <w:szCs w:val="24"/>
        </w:rPr>
        <w:t>H</w:t>
      </w:r>
      <w:r w:rsidRPr="00D50CF9">
        <w:rPr>
          <w:szCs w:val="24"/>
        </w:rPr>
        <w:t xml:space="preserve"> is the observation operator. To minimize the cost function (objective function) shown above, the GSI v3.6 (Grid-point Statistical Interpolation v</w:t>
      </w:r>
      <w:r w:rsidRPr="00D50CF9">
        <w:rPr>
          <w:szCs w:val="24"/>
          <w:lang w:eastAsia="ko-KR"/>
        </w:rPr>
        <w:t>ersion</w:t>
      </w:r>
      <w:r w:rsidRPr="00D50CF9">
        <w:rPr>
          <w:szCs w:val="24"/>
        </w:rPr>
        <w:t xml:space="preserve"> 3.6) system developed by the National Centers for Environmental Prediction (NCEP) was used.</w:t>
      </w:r>
    </w:p>
    <w:p w:rsidR="00792DCE" w:rsidRPr="00D50CF9" w:rsidRDefault="00792DCE" w:rsidP="00792DCE">
      <w:pPr>
        <w:jc w:val="both"/>
        <w:rPr>
          <w:szCs w:val="24"/>
        </w:rPr>
      </w:pPr>
      <w:r w:rsidRPr="00D50CF9">
        <w:rPr>
          <w:szCs w:val="24"/>
        </w:rPr>
        <w:tab/>
        <w:t>To construct the BEC matrix (</w:t>
      </w:r>
      <w:r w:rsidRPr="00D50CF9">
        <w:rPr>
          <w:b/>
          <w:szCs w:val="24"/>
        </w:rPr>
        <w:t>B</w:t>
      </w:r>
      <w:r w:rsidRPr="00D50CF9">
        <w:rPr>
          <w:szCs w:val="24"/>
        </w:rPr>
        <w:t xml:space="preserve">), we employed the National Meteorological Center (NMC) method in our study </w:t>
      </w:r>
      <w:r w:rsidR="00666B2D" w:rsidRPr="00D50CF9">
        <w:rPr>
          <w:szCs w:val="24"/>
          <w:vertAlign w:val="superscript"/>
        </w:rPr>
        <w:t>49</w:t>
      </w:r>
      <w:r w:rsidRPr="00D50CF9">
        <w:rPr>
          <w:szCs w:val="24"/>
        </w:rPr>
        <w:t>. This method has widely been used in vibrational data assimilation. In the NMC method, model errors presented</w:t>
      </w:r>
      <w:r w:rsidRPr="00D50CF9">
        <w:rPr>
          <w:color w:val="000000"/>
          <w:szCs w:val="24"/>
        </w:rPr>
        <w:t xml:space="preserve"> in </w:t>
      </w:r>
      <w:r w:rsidR="00936CAF" w:rsidRPr="00D50CF9">
        <w:rPr>
          <w:szCs w:val="24"/>
        </w:rPr>
        <w:t>Supplementary</w:t>
      </w:r>
      <w:r w:rsidR="00936CAF" w:rsidRPr="00D50CF9">
        <w:rPr>
          <w:color w:val="000000"/>
          <w:szCs w:val="24"/>
          <w:lang w:eastAsia="ko-KR"/>
        </w:rPr>
        <w:t xml:space="preserve"> </w:t>
      </w:r>
      <w:r w:rsidRPr="00D50CF9">
        <w:rPr>
          <w:color w:val="000000"/>
          <w:szCs w:val="24"/>
          <w:lang w:eastAsia="ko-KR"/>
        </w:rPr>
        <w:t>Eq.</w:t>
      </w:r>
      <w:r w:rsidRPr="00D50CF9">
        <w:rPr>
          <w:color w:val="000000"/>
          <w:szCs w:val="24"/>
        </w:rPr>
        <w:t xml:space="preserve"> </w:t>
      </w:r>
      <w:r w:rsidR="00BB25F5" w:rsidRPr="00D50CF9">
        <w:rPr>
          <w:color w:val="000000"/>
          <w:szCs w:val="24"/>
          <w:lang w:eastAsia="ko-KR"/>
        </w:rPr>
        <w:t>(</w:t>
      </w:r>
      <w:r w:rsidRPr="00D50CF9">
        <w:rPr>
          <w:color w:val="000000"/>
          <w:szCs w:val="24"/>
          <w:lang w:eastAsia="ko-KR"/>
        </w:rPr>
        <w:t>1</w:t>
      </w:r>
      <w:r w:rsidR="001531D6">
        <w:rPr>
          <w:color w:val="000000"/>
          <w:szCs w:val="24"/>
          <w:lang w:eastAsia="ko-KR"/>
        </w:rPr>
        <w:t>1</w:t>
      </w:r>
      <w:r w:rsidR="00BB25F5" w:rsidRPr="00D50CF9">
        <w:rPr>
          <w:color w:val="000000"/>
          <w:szCs w:val="24"/>
          <w:lang w:eastAsia="ko-KR"/>
        </w:rPr>
        <w:t>)</w:t>
      </w:r>
      <w:r w:rsidRPr="00D50CF9">
        <w:rPr>
          <w:color w:val="000000"/>
          <w:szCs w:val="24"/>
        </w:rPr>
        <w:t xml:space="preserve"> be</w:t>
      </w:r>
      <w:r w:rsidRPr="00D50CF9">
        <w:rPr>
          <w:szCs w:val="24"/>
        </w:rPr>
        <w:t xml:space="preserve">low are defined as differences between two different predictions verifying at the same time. In the K_ACheMS v2.0, monthly climatological </w:t>
      </w:r>
      <w:r w:rsidRPr="00D50CF9">
        <w:rPr>
          <w:b/>
          <w:szCs w:val="24"/>
        </w:rPr>
        <w:t>B</w:t>
      </w:r>
      <w:r w:rsidRPr="00D50CF9">
        <w:rPr>
          <w:szCs w:val="24"/>
        </w:rPr>
        <w:t xml:space="preserve"> (i.e., static error covariance matrix) </w:t>
      </w:r>
      <w:r w:rsidRPr="00D50CF9">
        <w:rPr>
          <w:szCs w:val="24"/>
        </w:rPr>
        <w:lastRenderedPageBreak/>
        <w:t>was constructed while using differences between 24-hr and 12-hr model simulations from a previous year:</w:t>
      </w:r>
    </w:p>
    <w:tbl>
      <w:tblPr>
        <w:tblStyle w:val="afff1"/>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8"/>
        <w:gridCol w:w="762"/>
      </w:tblGrid>
      <w:tr w:rsidR="00792DCE" w:rsidRPr="00D50CF9" w:rsidTr="00FF6C9B">
        <w:trPr>
          <w:trHeight w:val="283"/>
        </w:trPr>
        <w:tc>
          <w:tcPr>
            <w:tcW w:w="4190" w:type="pct"/>
            <w:vAlign w:val="center"/>
          </w:tcPr>
          <w:p w:rsidR="00792DCE" w:rsidRPr="00D50CF9" w:rsidRDefault="00792DCE" w:rsidP="00FF6C9B">
            <w:pPr>
              <w:spacing w:line="480" w:lineRule="auto"/>
              <w:rPr>
                <w:rFonts w:eastAsia="바탕"/>
                <w:szCs w:val="24"/>
              </w:rPr>
            </w:pPr>
            <m:oMathPara>
              <m:oMath>
                <m:r>
                  <m:rPr>
                    <m:sty m:val="b"/>
                  </m:rPr>
                  <w:rPr>
                    <w:rFonts w:ascii="Cambria Math" w:eastAsia="바탕" w:hAnsi="Cambria Math"/>
                    <w:szCs w:val="24"/>
                  </w:rPr>
                  <m:t>B</m:t>
                </m:r>
                <m:r>
                  <w:rPr>
                    <w:rFonts w:ascii="Cambria Math" w:eastAsia="바탕" w:hAnsi="Cambria Math"/>
                    <w:szCs w:val="24"/>
                  </w:rPr>
                  <m:t>=</m:t>
                </m:r>
                <m:acc>
                  <m:accPr>
                    <m:chr m:val="̅"/>
                    <m:ctrlPr>
                      <w:rPr>
                        <w:rFonts w:ascii="Cambria Math" w:eastAsia="바탕" w:hAnsi="Cambria Math"/>
                        <w:i/>
                        <w:szCs w:val="24"/>
                      </w:rPr>
                    </m:ctrlPr>
                  </m:accPr>
                  <m:e>
                    <m:sSup>
                      <m:sSupPr>
                        <m:ctrlPr>
                          <w:rPr>
                            <w:rFonts w:ascii="Cambria Math" w:eastAsia="바탕" w:hAnsi="Cambria Math"/>
                            <w:i/>
                            <w:szCs w:val="24"/>
                          </w:rPr>
                        </m:ctrlPr>
                      </m:sSupPr>
                      <m:e>
                        <m:d>
                          <m:dPr>
                            <m:ctrlPr>
                              <w:rPr>
                                <w:rFonts w:ascii="Cambria Math" w:eastAsia="바탕" w:hAnsi="Cambria Math"/>
                                <w:i/>
                                <w:szCs w:val="24"/>
                              </w:rPr>
                            </m:ctrlPr>
                          </m:dPr>
                          <m:e>
                            <m:sSup>
                              <m:sSupPr>
                                <m:ctrlPr>
                                  <w:rPr>
                                    <w:rFonts w:ascii="Cambria Math" w:eastAsia="바탕" w:hAnsi="Cambria Math"/>
                                    <w:b/>
                                    <w:szCs w:val="24"/>
                                  </w:rPr>
                                </m:ctrlPr>
                              </m:sSupPr>
                              <m:e>
                                <m:r>
                                  <m:rPr>
                                    <m:sty m:val="b"/>
                                  </m:rPr>
                                  <w:rPr>
                                    <w:rFonts w:ascii="Cambria Math" w:eastAsia="바탕" w:hAnsi="Cambria Math"/>
                                    <w:szCs w:val="24"/>
                                  </w:rPr>
                                  <m:t>x</m:t>
                                </m:r>
                              </m:e>
                              <m:sup>
                                <m:r>
                                  <m:rPr>
                                    <m:sty m:val="bi"/>
                                  </m:rPr>
                                  <w:rPr>
                                    <w:rFonts w:ascii="Cambria Math" w:eastAsia="바탕" w:hAnsi="Cambria Math"/>
                                    <w:szCs w:val="24"/>
                                  </w:rPr>
                                  <m:t>24</m:t>
                                </m:r>
                                <m:r>
                                  <m:rPr>
                                    <m:sty m:val="bi"/>
                                  </m:rPr>
                                  <w:rPr>
                                    <w:rFonts w:ascii="Cambria Math" w:eastAsia="바탕" w:hAnsi="Cambria Math"/>
                                    <w:szCs w:val="24"/>
                                  </w:rPr>
                                  <m:t>h</m:t>
                                </m:r>
                              </m:sup>
                            </m:sSup>
                            <m:r>
                              <w:rPr>
                                <w:rFonts w:ascii="Cambria Math" w:eastAsia="바탕" w:hAnsi="Cambria Math"/>
                                <w:szCs w:val="24"/>
                              </w:rPr>
                              <m:t>-</m:t>
                            </m:r>
                            <m:sSup>
                              <m:sSupPr>
                                <m:ctrlPr>
                                  <w:rPr>
                                    <w:rFonts w:ascii="Cambria Math" w:eastAsia="바탕" w:hAnsi="Cambria Math"/>
                                    <w:b/>
                                    <w:szCs w:val="24"/>
                                  </w:rPr>
                                </m:ctrlPr>
                              </m:sSupPr>
                              <m:e>
                                <m:r>
                                  <m:rPr>
                                    <m:sty m:val="b"/>
                                  </m:rPr>
                                  <w:rPr>
                                    <w:rFonts w:ascii="Cambria Math" w:eastAsia="바탕" w:hAnsi="Cambria Math"/>
                                    <w:szCs w:val="24"/>
                                  </w:rPr>
                                  <m:t>x</m:t>
                                </m:r>
                              </m:e>
                              <m:sup>
                                <m:r>
                                  <m:rPr>
                                    <m:sty m:val="bi"/>
                                  </m:rPr>
                                  <w:rPr>
                                    <w:rFonts w:ascii="Cambria Math" w:eastAsia="바탕" w:hAnsi="Cambria Math"/>
                                    <w:szCs w:val="24"/>
                                  </w:rPr>
                                  <m:t>12</m:t>
                                </m:r>
                                <m:r>
                                  <m:rPr>
                                    <m:sty m:val="bi"/>
                                  </m:rPr>
                                  <w:rPr>
                                    <w:rFonts w:ascii="Cambria Math" w:eastAsia="바탕" w:hAnsi="Cambria Math"/>
                                    <w:szCs w:val="24"/>
                                  </w:rPr>
                                  <m:t>h</m:t>
                                </m:r>
                              </m:sup>
                            </m:sSup>
                          </m:e>
                        </m:d>
                        <m:d>
                          <m:dPr>
                            <m:ctrlPr>
                              <w:rPr>
                                <w:rFonts w:ascii="Cambria Math" w:eastAsia="바탕" w:hAnsi="Cambria Math"/>
                                <w:i/>
                                <w:szCs w:val="24"/>
                              </w:rPr>
                            </m:ctrlPr>
                          </m:dPr>
                          <m:e>
                            <m:sSup>
                              <m:sSupPr>
                                <m:ctrlPr>
                                  <w:rPr>
                                    <w:rFonts w:ascii="Cambria Math" w:eastAsia="바탕" w:hAnsi="Cambria Math"/>
                                    <w:b/>
                                    <w:szCs w:val="24"/>
                                  </w:rPr>
                                </m:ctrlPr>
                              </m:sSupPr>
                              <m:e>
                                <m:r>
                                  <m:rPr>
                                    <m:sty m:val="b"/>
                                  </m:rPr>
                                  <w:rPr>
                                    <w:rFonts w:ascii="Cambria Math" w:eastAsia="바탕" w:hAnsi="Cambria Math"/>
                                    <w:szCs w:val="24"/>
                                  </w:rPr>
                                  <m:t>x</m:t>
                                </m:r>
                              </m:e>
                              <m:sup>
                                <m:r>
                                  <m:rPr>
                                    <m:sty m:val="bi"/>
                                  </m:rPr>
                                  <w:rPr>
                                    <w:rFonts w:ascii="Cambria Math" w:eastAsia="바탕" w:hAnsi="Cambria Math"/>
                                    <w:szCs w:val="24"/>
                                  </w:rPr>
                                  <m:t>24</m:t>
                                </m:r>
                                <m:r>
                                  <m:rPr>
                                    <m:sty m:val="bi"/>
                                  </m:rPr>
                                  <w:rPr>
                                    <w:rFonts w:ascii="Cambria Math" w:eastAsia="바탕" w:hAnsi="Cambria Math"/>
                                    <w:szCs w:val="24"/>
                                  </w:rPr>
                                  <m:t>h</m:t>
                                </m:r>
                              </m:sup>
                            </m:sSup>
                            <m:r>
                              <w:rPr>
                                <w:rFonts w:ascii="Cambria Math" w:eastAsia="바탕" w:hAnsi="Cambria Math"/>
                                <w:szCs w:val="24"/>
                              </w:rPr>
                              <m:t>-</m:t>
                            </m:r>
                            <m:sSup>
                              <m:sSupPr>
                                <m:ctrlPr>
                                  <w:rPr>
                                    <w:rFonts w:ascii="Cambria Math" w:eastAsia="바탕" w:hAnsi="Cambria Math"/>
                                    <w:b/>
                                    <w:szCs w:val="24"/>
                                  </w:rPr>
                                </m:ctrlPr>
                              </m:sSupPr>
                              <m:e>
                                <m:r>
                                  <m:rPr>
                                    <m:sty m:val="b"/>
                                  </m:rPr>
                                  <w:rPr>
                                    <w:rFonts w:ascii="Cambria Math" w:eastAsia="바탕" w:hAnsi="Cambria Math"/>
                                    <w:szCs w:val="24"/>
                                  </w:rPr>
                                  <m:t>x</m:t>
                                </m:r>
                              </m:e>
                              <m:sup>
                                <m:r>
                                  <m:rPr>
                                    <m:sty m:val="bi"/>
                                  </m:rPr>
                                  <w:rPr>
                                    <w:rFonts w:ascii="Cambria Math" w:eastAsia="바탕" w:hAnsi="Cambria Math"/>
                                    <w:szCs w:val="24"/>
                                  </w:rPr>
                                  <m:t>12</m:t>
                                </m:r>
                                <m:r>
                                  <m:rPr>
                                    <m:sty m:val="bi"/>
                                  </m:rPr>
                                  <w:rPr>
                                    <w:rFonts w:ascii="Cambria Math" w:eastAsia="바탕" w:hAnsi="Cambria Math"/>
                                    <w:szCs w:val="24"/>
                                  </w:rPr>
                                  <m:t>h</m:t>
                                </m:r>
                              </m:sup>
                            </m:sSup>
                          </m:e>
                        </m:d>
                      </m:e>
                      <m:sup>
                        <m:r>
                          <w:rPr>
                            <w:rFonts w:ascii="Cambria Math" w:eastAsia="바탕" w:hAnsi="Cambria Math"/>
                            <w:szCs w:val="24"/>
                          </w:rPr>
                          <m:t>T</m:t>
                        </m:r>
                      </m:sup>
                    </m:sSup>
                  </m:e>
                </m:acc>
              </m:oMath>
            </m:oMathPara>
          </w:p>
        </w:tc>
        <w:tc>
          <w:tcPr>
            <w:tcW w:w="405" w:type="pct"/>
            <w:vAlign w:val="center"/>
          </w:tcPr>
          <w:p w:rsidR="00792DCE" w:rsidRPr="00D50CF9" w:rsidRDefault="00BB25F5" w:rsidP="001531D6">
            <w:pPr>
              <w:spacing w:line="480" w:lineRule="auto"/>
              <w:rPr>
                <w:rFonts w:eastAsia="바탕"/>
                <w:szCs w:val="24"/>
              </w:rPr>
            </w:pPr>
            <w:r w:rsidRPr="00D50CF9">
              <w:rPr>
                <w:rFonts w:eastAsia="바탕"/>
                <w:szCs w:val="24"/>
              </w:rPr>
              <w:t>(</w:t>
            </w:r>
            <w:r w:rsidR="00792DCE" w:rsidRPr="00D50CF9">
              <w:rPr>
                <w:rFonts w:eastAsia="바탕"/>
                <w:szCs w:val="24"/>
              </w:rPr>
              <w:t>1</w:t>
            </w:r>
            <w:r w:rsidR="001531D6">
              <w:rPr>
                <w:rFonts w:eastAsia="바탕"/>
                <w:szCs w:val="24"/>
              </w:rPr>
              <w:t>1</w:t>
            </w:r>
            <w:r w:rsidRPr="00D50CF9">
              <w:rPr>
                <w:rFonts w:eastAsia="바탕"/>
                <w:szCs w:val="24"/>
              </w:rPr>
              <w:t>)</w:t>
            </w:r>
          </w:p>
        </w:tc>
      </w:tr>
    </w:tbl>
    <w:p w:rsidR="00792DCE" w:rsidRPr="00D50CF9" w:rsidRDefault="00792DCE" w:rsidP="00792DCE">
      <w:pPr>
        <w:ind w:firstLine="800"/>
        <w:jc w:val="both"/>
        <w:rPr>
          <w:szCs w:val="24"/>
        </w:rPr>
      </w:pPr>
      <w:r w:rsidRPr="00D50CF9">
        <w:rPr>
          <w:szCs w:val="24"/>
        </w:rPr>
        <w:t>To construct the OEC matrix (</w:t>
      </w:r>
      <w:r w:rsidRPr="00D50CF9">
        <w:rPr>
          <w:b/>
          <w:szCs w:val="24"/>
        </w:rPr>
        <w:t>R</w:t>
      </w:r>
      <w:r w:rsidRPr="00D50CF9">
        <w:rPr>
          <w:szCs w:val="24"/>
        </w:rPr>
        <w:t xml:space="preserve">), we set upper and lower components of the OEC matrix to be all zero, with an assumption that all observations were independent or not correlated. As already discussed in </w:t>
      </w:r>
      <w:r w:rsidR="00177258">
        <w:rPr>
          <w:szCs w:val="24"/>
        </w:rPr>
        <w:t>Supplementary</w:t>
      </w:r>
      <w:r w:rsidR="00177258" w:rsidRPr="00D50CF9">
        <w:rPr>
          <w:szCs w:val="24"/>
        </w:rPr>
        <w:t xml:space="preserve"> </w:t>
      </w:r>
      <w:r w:rsidRPr="00D50CF9">
        <w:rPr>
          <w:szCs w:val="24"/>
        </w:rPr>
        <w:t xml:space="preserve">Section 7 and </w:t>
      </w:r>
      <w:r w:rsidR="0072622A" w:rsidRPr="00D50CF9">
        <w:rPr>
          <w:szCs w:val="24"/>
        </w:rPr>
        <w:t xml:space="preserve">Supplementary </w:t>
      </w:r>
      <w:r w:rsidRPr="00D50CF9">
        <w:rPr>
          <w:szCs w:val="24"/>
        </w:rPr>
        <w:t xml:space="preserve">Table 4, diagonal components of the OEC matrix were estimated based on Remer et al. </w:t>
      </w:r>
      <w:r w:rsidR="00DA76CF" w:rsidRPr="00D50CF9">
        <w:rPr>
          <w:szCs w:val="24"/>
          <w:vertAlign w:val="superscript"/>
        </w:rPr>
        <w:t>38</w:t>
      </w:r>
      <w:r w:rsidRPr="00D50CF9">
        <w:rPr>
          <w:szCs w:val="24"/>
        </w:rPr>
        <w:t xml:space="preserve"> for MODIS AOD, Choi et al. </w:t>
      </w:r>
      <w:r w:rsidRPr="00D50CF9">
        <w:rPr>
          <w:szCs w:val="24"/>
          <w:vertAlign w:val="superscript"/>
          <w:lang w:eastAsia="ko-KR"/>
        </w:rPr>
        <w:t>35</w:t>
      </w:r>
      <w:r w:rsidRPr="00D50CF9">
        <w:rPr>
          <w:szCs w:val="24"/>
        </w:rPr>
        <w:t xml:space="preserve"> for GOCI AOD, Park et al. </w:t>
      </w:r>
      <w:r w:rsidRPr="00D50CF9">
        <w:rPr>
          <w:szCs w:val="24"/>
          <w:vertAlign w:val="superscript"/>
          <w:lang w:eastAsia="ko-KR"/>
        </w:rPr>
        <w:t>36</w:t>
      </w:r>
      <w:r w:rsidRPr="00D50CF9">
        <w:rPr>
          <w:szCs w:val="24"/>
        </w:rPr>
        <w:t xml:space="preserve"> for RF-derived PM, and Elbern et al. </w:t>
      </w:r>
      <w:r w:rsidRPr="00D50CF9">
        <w:rPr>
          <w:szCs w:val="24"/>
          <w:vertAlign w:val="superscript"/>
          <w:lang w:eastAsia="ko-KR"/>
        </w:rPr>
        <w:t>37</w:t>
      </w:r>
      <w:r w:rsidRPr="00D50CF9">
        <w:rPr>
          <w:szCs w:val="24"/>
          <w:vertAlign w:val="superscript"/>
        </w:rPr>
        <w:t xml:space="preserve"> </w:t>
      </w:r>
      <w:r w:rsidRPr="00D50CF9">
        <w:rPr>
          <w:szCs w:val="24"/>
        </w:rPr>
        <w:t>for ground observations.</w:t>
      </w:r>
    </w:p>
    <w:p w:rsidR="008B50C5" w:rsidRPr="00D50CF9" w:rsidRDefault="00792DCE" w:rsidP="00792DCE">
      <w:pPr>
        <w:ind w:firstLine="800"/>
        <w:jc w:val="both"/>
        <w:rPr>
          <w:szCs w:val="24"/>
        </w:rPr>
      </w:pPr>
      <w:r w:rsidRPr="00D50CF9">
        <w:rPr>
          <w:szCs w:val="24"/>
        </w:rPr>
        <w:t xml:space="preserve">To update initial states, 3-D VAR data assimilations were carried out at every 00 UTC using both/either ground observations and/or satellite-borne observations. </w:t>
      </w:r>
      <w:r w:rsidR="008B2907" w:rsidRPr="00D50CF9">
        <w:rPr>
          <w:szCs w:val="24"/>
        </w:rPr>
        <w:t xml:space="preserve">Supplementary </w:t>
      </w:r>
      <w:r w:rsidRPr="00D50CF9">
        <w:rPr>
          <w:szCs w:val="24"/>
        </w:rPr>
        <w:t>Fig. 14 presents cycle of the data assimilations c</w:t>
      </w:r>
      <w:r w:rsidR="008B2907" w:rsidRPr="00D50CF9">
        <w:rPr>
          <w:szCs w:val="24"/>
        </w:rPr>
        <w:t xml:space="preserve">arried out in this study. Supplementary Fig. </w:t>
      </w:r>
      <w:r w:rsidRPr="00D50CF9">
        <w:rPr>
          <w:szCs w:val="24"/>
        </w:rPr>
        <w:t>15 illustrates procedures for 24-hr PM</w:t>
      </w:r>
      <w:r w:rsidRPr="00D50CF9">
        <w:rPr>
          <w:szCs w:val="24"/>
          <w:vertAlign w:val="subscript"/>
        </w:rPr>
        <w:t xml:space="preserve">2.5 </w:t>
      </w:r>
      <w:r w:rsidRPr="00D50CF9">
        <w:rPr>
          <w:szCs w:val="24"/>
        </w:rPr>
        <w:t>predictions of K</w:t>
      </w:r>
      <w:r w:rsidRPr="00D50CF9">
        <w:rPr>
          <w:szCs w:val="24"/>
          <w:lang w:eastAsia="ko-KR"/>
        </w:rPr>
        <w:t>_</w:t>
      </w:r>
      <w:r w:rsidRPr="00D50CF9">
        <w:rPr>
          <w:szCs w:val="24"/>
        </w:rPr>
        <w:t>ACheMS v2.0 including the data assimilation.</w:t>
      </w:r>
    </w:p>
    <w:p w:rsidR="00792DCE" w:rsidRPr="00D50CF9" w:rsidRDefault="008B50C5" w:rsidP="008B50C5">
      <w:pPr>
        <w:spacing w:after="160" w:line="259" w:lineRule="auto"/>
        <w:jc w:val="both"/>
        <w:rPr>
          <w:szCs w:val="24"/>
        </w:rPr>
      </w:pPr>
      <w:r w:rsidRPr="00D50CF9">
        <w:rPr>
          <w:szCs w:val="24"/>
        </w:rPr>
        <w:br w:type="page"/>
      </w:r>
    </w:p>
    <w:p w:rsidR="00792DCE" w:rsidRPr="00D50CF9" w:rsidRDefault="00F06611" w:rsidP="00792DCE">
      <w:pPr>
        <w:pStyle w:val="SMHeading"/>
        <w:rPr>
          <w:b w:val="0"/>
        </w:rPr>
      </w:pPr>
      <w:r w:rsidRPr="00D50CF9">
        <w:rPr>
          <w:lang w:eastAsia="ko-KR"/>
        </w:rPr>
        <w:lastRenderedPageBreak/>
        <w:t>Supplementary</w:t>
      </w:r>
      <w:r w:rsidR="00792DCE" w:rsidRPr="00D50CF9">
        <w:t xml:space="preserve"> </w:t>
      </w:r>
      <w:r w:rsidR="00792DCE" w:rsidRPr="00D50CF9">
        <w:rPr>
          <w:lang w:eastAsia="ko-KR"/>
        </w:rPr>
        <w:t>References</w:t>
      </w:r>
    </w:p>
    <w:p w:rsidR="00792DCE" w:rsidRPr="00D50CF9" w:rsidRDefault="00792DCE" w:rsidP="00792DCE">
      <w:pPr>
        <w:pStyle w:val="aff1"/>
        <w:shd w:val="clear" w:color="auto" w:fill="FFFFFF"/>
        <w:textAlignment w:val="baseline"/>
        <w:rPr>
          <w:sz w:val="20"/>
        </w:rPr>
      </w:pPr>
    </w:p>
    <w:p w:rsidR="003232C6" w:rsidRPr="00D50CF9" w:rsidRDefault="00792DCE" w:rsidP="00F51C8D">
      <w:pPr>
        <w:pStyle w:val="a9"/>
        <w:spacing w:line="240" w:lineRule="auto"/>
        <w:jc w:val="both"/>
        <w:rPr>
          <w:szCs w:val="24"/>
        </w:rPr>
      </w:pPr>
      <w:r w:rsidRPr="00D50CF9">
        <w:rPr>
          <w:szCs w:val="24"/>
        </w:rPr>
        <w:fldChar w:fldCharType="begin"/>
      </w:r>
      <w:r w:rsidR="003232C6" w:rsidRPr="00D50CF9">
        <w:rPr>
          <w:szCs w:val="24"/>
        </w:rPr>
        <w:instrText xml:space="preserve"> ADDIN ZOTERO_BIBL {"uncited":[],"omitted":[],"custom":[]} CSL_BIBLIOGRAPHY </w:instrText>
      </w:r>
      <w:r w:rsidRPr="00D50CF9">
        <w:rPr>
          <w:szCs w:val="24"/>
        </w:rPr>
        <w:fldChar w:fldCharType="separate"/>
      </w:r>
      <w:r w:rsidR="003232C6" w:rsidRPr="00D50CF9">
        <w:rPr>
          <w:szCs w:val="24"/>
        </w:rPr>
        <w:t>1.</w:t>
      </w:r>
      <w:r w:rsidR="003232C6" w:rsidRPr="00D50CF9">
        <w:rPr>
          <w:szCs w:val="24"/>
        </w:rPr>
        <w:tab/>
        <w:t xml:space="preserve">Skamarock, C. </w:t>
      </w:r>
      <w:r w:rsidR="003232C6" w:rsidRPr="00D50CF9">
        <w:rPr>
          <w:i/>
          <w:iCs/>
          <w:szCs w:val="24"/>
        </w:rPr>
        <w:t>et al.</w:t>
      </w:r>
      <w:r w:rsidR="003232C6" w:rsidRPr="00D50CF9">
        <w:rPr>
          <w:szCs w:val="24"/>
        </w:rPr>
        <w:t xml:space="preserve"> A Description of the Advanced Research WRF Model Version 4.1. (2019) doi:10.5065/1dfh-6p97.</w:t>
      </w:r>
    </w:p>
    <w:p w:rsidR="003232C6" w:rsidRPr="00D50CF9" w:rsidRDefault="003232C6" w:rsidP="00F51C8D">
      <w:pPr>
        <w:pStyle w:val="a9"/>
        <w:spacing w:line="240" w:lineRule="auto"/>
        <w:jc w:val="both"/>
        <w:rPr>
          <w:szCs w:val="24"/>
        </w:rPr>
      </w:pPr>
      <w:r w:rsidRPr="00D50CF9">
        <w:rPr>
          <w:szCs w:val="24"/>
        </w:rPr>
        <w:t>2.</w:t>
      </w:r>
      <w:r w:rsidRPr="00D50CF9">
        <w:rPr>
          <w:szCs w:val="24"/>
        </w:rPr>
        <w:tab/>
        <w:t xml:space="preserve">Brown, A. </w:t>
      </w:r>
      <w:r w:rsidRPr="00D50CF9">
        <w:rPr>
          <w:i/>
          <w:iCs/>
          <w:szCs w:val="24"/>
        </w:rPr>
        <w:t>et al.</w:t>
      </w:r>
      <w:r w:rsidRPr="00D50CF9">
        <w:rPr>
          <w:szCs w:val="24"/>
        </w:rPr>
        <w:t xml:space="preserve"> Unified Modeling and Prediction of Weather and Climate: A 25-Year Journey. </w:t>
      </w:r>
      <w:r w:rsidRPr="00D50CF9">
        <w:rPr>
          <w:i/>
          <w:iCs/>
          <w:szCs w:val="24"/>
        </w:rPr>
        <w:t>Bulletin of the American Meteorological Society</w:t>
      </w:r>
      <w:r w:rsidRPr="00D50CF9">
        <w:rPr>
          <w:szCs w:val="24"/>
        </w:rPr>
        <w:t xml:space="preserve"> </w:t>
      </w:r>
      <w:r w:rsidRPr="00D50CF9">
        <w:rPr>
          <w:b/>
          <w:bCs/>
          <w:szCs w:val="24"/>
        </w:rPr>
        <w:t>93</w:t>
      </w:r>
      <w:r w:rsidRPr="00D50CF9">
        <w:rPr>
          <w:szCs w:val="24"/>
        </w:rPr>
        <w:t>, 1865–1877 (2012).</w:t>
      </w:r>
    </w:p>
    <w:p w:rsidR="003232C6" w:rsidRPr="00D50CF9" w:rsidRDefault="003232C6" w:rsidP="00F51C8D">
      <w:pPr>
        <w:pStyle w:val="a9"/>
        <w:spacing w:line="240" w:lineRule="auto"/>
        <w:jc w:val="both"/>
        <w:rPr>
          <w:szCs w:val="24"/>
        </w:rPr>
      </w:pPr>
      <w:r w:rsidRPr="00D50CF9">
        <w:rPr>
          <w:szCs w:val="24"/>
        </w:rPr>
        <w:t>3.</w:t>
      </w:r>
      <w:r w:rsidRPr="00D50CF9">
        <w:rPr>
          <w:szCs w:val="24"/>
        </w:rPr>
        <w:tab/>
        <w:t xml:space="preserve">Byun, D. &amp; Schere, K. L. Review of the Governing Equations, Computational Algorithms, and Other Components of the Models-3 Community Multiscale Air Quality (CMAQ) Modeling System. </w:t>
      </w:r>
      <w:r w:rsidRPr="00D50CF9">
        <w:rPr>
          <w:i/>
          <w:iCs/>
          <w:szCs w:val="24"/>
        </w:rPr>
        <w:t>Appl. Mech. Rev</w:t>
      </w:r>
      <w:r w:rsidRPr="00D50CF9">
        <w:rPr>
          <w:szCs w:val="24"/>
        </w:rPr>
        <w:t xml:space="preserve"> </w:t>
      </w:r>
      <w:r w:rsidRPr="00D50CF9">
        <w:rPr>
          <w:b/>
          <w:bCs/>
          <w:szCs w:val="24"/>
        </w:rPr>
        <w:t>59</w:t>
      </w:r>
      <w:r w:rsidRPr="00D50CF9">
        <w:rPr>
          <w:szCs w:val="24"/>
        </w:rPr>
        <w:t>, 51–77 (2006).</w:t>
      </w:r>
    </w:p>
    <w:p w:rsidR="003232C6" w:rsidRPr="00D50CF9" w:rsidRDefault="003232C6" w:rsidP="00F51C8D">
      <w:pPr>
        <w:pStyle w:val="a9"/>
        <w:spacing w:line="240" w:lineRule="auto"/>
        <w:jc w:val="both"/>
        <w:rPr>
          <w:szCs w:val="24"/>
        </w:rPr>
      </w:pPr>
      <w:r w:rsidRPr="00D50CF9">
        <w:rPr>
          <w:szCs w:val="24"/>
        </w:rPr>
        <w:t>4.</w:t>
      </w:r>
      <w:r w:rsidRPr="00D50CF9">
        <w:rPr>
          <w:szCs w:val="24"/>
        </w:rPr>
        <w:tab/>
        <w:t xml:space="preserve">Zhang, L. </w:t>
      </w:r>
      <w:r w:rsidRPr="00D50CF9">
        <w:rPr>
          <w:i/>
          <w:iCs/>
          <w:szCs w:val="24"/>
        </w:rPr>
        <w:t>et al.</w:t>
      </w:r>
      <w:r w:rsidRPr="00D50CF9">
        <w:rPr>
          <w:szCs w:val="24"/>
        </w:rPr>
        <w:t xml:space="preserve"> Potential sources of nitrous acid (HONO) and their impacts on ozone: A WRF-Chem study in a polluted subtropical region. </w:t>
      </w:r>
      <w:r w:rsidRPr="00D50CF9">
        <w:rPr>
          <w:i/>
          <w:iCs/>
          <w:szCs w:val="24"/>
        </w:rPr>
        <w:t>Journal of Geophysical Research: Atmospheres</w:t>
      </w:r>
      <w:r w:rsidRPr="00D50CF9">
        <w:rPr>
          <w:szCs w:val="24"/>
        </w:rPr>
        <w:t xml:space="preserve"> </w:t>
      </w:r>
      <w:r w:rsidRPr="00D50CF9">
        <w:rPr>
          <w:b/>
          <w:bCs/>
          <w:szCs w:val="24"/>
        </w:rPr>
        <w:t>121</w:t>
      </w:r>
      <w:r w:rsidRPr="00D50CF9">
        <w:rPr>
          <w:szCs w:val="24"/>
        </w:rPr>
        <w:t>, 3645–3662 (2016).</w:t>
      </w:r>
    </w:p>
    <w:p w:rsidR="003232C6" w:rsidRPr="00D50CF9" w:rsidRDefault="003232C6" w:rsidP="00F51C8D">
      <w:pPr>
        <w:pStyle w:val="a9"/>
        <w:spacing w:line="240" w:lineRule="auto"/>
        <w:jc w:val="both"/>
        <w:rPr>
          <w:szCs w:val="24"/>
        </w:rPr>
      </w:pPr>
      <w:r w:rsidRPr="00D50CF9">
        <w:rPr>
          <w:szCs w:val="24"/>
        </w:rPr>
        <w:t>5.</w:t>
      </w:r>
      <w:r w:rsidRPr="00D50CF9">
        <w:rPr>
          <w:szCs w:val="24"/>
        </w:rPr>
        <w:tab/>
        <w:t>Macintyre, H. L. &amp; Evans, M. J. Parameterisation and impact of aerosol uptake of HO</w:t>
      </w:r>
      <w:r w:rsidRPr="00D50CF9">
        <w:rPr>
          <w:szCs w:val="24"/>
          <w:vertAlign w:val="subscript"/>
        </w:rPr>
        <w:t>2</w:t>
      </w:r>
      <w:r w:rsidRPr="00D50CF9">
        <w:rPr>
          <w:szCs w:val="24"/>
        </w:rPr>
        <w:t xml:space="preserve"> on a global tropospheric model. </w:t>
      </w:r>
      <w:r w:rsidRPr="00D50CF9">
        <w:rPr>
          <w:i/>
          <w:iCs/>
          <w:szCs w:val="24"/>
        </w:rPr>
        <w:t>Atmospheric Chemistry and Physics</w:t>
      </w:r>
      <w:r w:rsidRPr="00D50CF9">
        <w:rPr>
          <w:szCs w:val="24"/>
        </w:rPr>
        <w:t xml:space="preserve"> </w:t>
      </w:r>
      <w:r w:rsidRPr="00D50CF9">
        <w:rPr>
          <w:b/>
          <w:bCs/>
          <w:szCs w:val="24"/>
        </w:rPr>
        <w:t>11</w:t>
      </w:r>
      <w:r w:rsidRPr="00D50CF9">
        <w:rPr>
          <w:szCs w:val="24"/>
        </w:rPr>
        <w:t>, 10965–10974 (2011).</w:t>
      </w:r>
    </w:p>
    <w:p w:rsidR="003232C6" w:rsidRPr="00D50CF9" w:rsidRDefault="003232C6" w:rsidP="00F51C8D">
      <w:pPr>
        <w:pStyle w:val="a9"/>
        <w:spacing w:line="240" w:lineRule="auto"/>
        <w:jc w:val="both"/>
        <w:rPr>
          <w:szCs w:val="24"/>
        </w:rPr>
      </w:pPr>
      <w:r w:rsidRPr="00D50CF9">
        <w:rPr>
          <w:szCs w:val="24"/>
        </w:rPr>
        <w:t>6.</w:t>
      </w:r>
      <w:r w:rsidRPr="00D50CF9">
        <w:rPr>
          <w:szCs w:val="24"/>
        </w:rPr>
        <w:tab/>
        <w:t xml:space="preserve">Sarwar, G. </w:t>
      </w:r>
      <w:r w:rsidRPr="00D50CF9">
        <w:rPr>
          <w:i/>
          <w:iCs/>
          <w:szCs w:val="24"/>
        </w:rPr>
        <w:t>et al.</w:t>
      </w:r>
      <w:r w:rsidRPr="00D50CF9">
        <w:rPr>
          <w:szCs w:val="24"/>
        </w:rPr>
        <w:t xml:space="preserve"> Impact of Enhanced Ozone Deposition and Halogen Chemistry on Tropospheric Ozone over the Northern Hemisphere. </w:t>
      </w:r>
      <w:r w:rsidRPr="00D50CF9">
        <w:rPr>
          <w:i/>
          <w:iCs/>
          <w:szCs w:val="24"/>
        </w:rPr>
        <w:t>Environ. Sci. Technol.</w:t>
      </w:r>
      <w:r w:rsidRPr="00D50CF9">
        <w:rPr>
          <w:szCs w:val="24"/>
        </w:rPr>
        <w:t xml:space="preserve"> </w:t>
      </w:r>
      <w:r w:rsidRPr="00D50CF9">
        <w:rPr>
          <w:b/>
          <w:bCs/>
          <w:szCs w:val="24"/>
        </w:rPr>
        <w:t>49</w:t>
      </w:r>
      <w:r w:rsidRPr="00D50CF9">
        <w:rPr>
          <w:szCs w:val="24"/>
        </w:rPr>
        <w:t>, 9203–9211 (2015).</w:t>
      </w:r>
    </w:p>
    <w:p w:rsidR="003232C6" w:rsidRPr="00D50CF9" w:rsidRDefault="003232C6" w:rsidP="00F51C8D">
      <w:pPr>
        <w:pStyle w:val="a9"/>
        <w:spacing w:line="240" w:lineRule="auto"/>
        <w:jc w:val="both"/>
        <w:rPr>
          <w:szCs w:val="24"/>
        </w:rPr>
      </w:pPr>
      <w:r w:rsidRPr="00D50CF9">
        <w:rPr>
          <w:szCs w:val="24"/>
        </w:rPr>
        <w:t>7.</w:t>
      </w:r>
      <w:r w:rsidRPr="00D50CF9">
        <w:rPr>
          <w:szCs w:val="24"/>
        </w:rPr>
        <w:tab/>
        <w:t xml:space="preserve">Babar, Z. B., Park, J.-H., Kang, J. &amp; Lim, H. Characterization of a Smog Chamber for Studying Formation and Physicochemical Properties of Secondary Organic Aerosol. </w:t>
      </w:r>
      <w:r w:rsidRPr="00D50CF9">
        <w:rPr>
          <w:i/>
          <w:iCs/>
          <w:szCs w:val="24"/>
        </w:rPr>
        <w:t>Aerosol Air Qual. Res.</w:t>
      </w:r>
      <w:r w:rsidRPr="00D50CF9">
        <w:rPr>
          <w:szCs w:val="24"/>
        </w:rPr>
        <w:t xml:space="preserve"> </w:t>
      </w:r>
      <w:r w:rsidRPr="00D50CF9">
        <w:rPr>
          <w:b/>
          <w:bCs/>
          <w:szCs w:val="24"/>
        </w:rPr>
        <w:t>16</w:t>
      </w:r>
      <w:r w:rsidRPr="00D50CF9">
        <w:rPr>
          <w:szCs w:val="24"/>
        </w:rPr>
        <w:t>, 3102–3113 (2016).</w:t>
      </w:r>
    </w:p>
    <w:p w:rsidR="003232C6" w:rsidRPr="00D50CF9" w:rsidRDefault="003232C6" w:rsidP="00F51C8D">
      <w:pPr>
        <w:pStyle w:val="a9"/>
        <w:spacing w:line="240" w:lineRule="auto"/>
        <w:jc w:val="both"/>
        <w:rPr>
          <w:szCs w:val="24"/>
        </w:rPr>
      </w:pPr>
      <w:r w:rsidRPr="00D50CF9">
        <w:rPr>
          <w:szCs w:val="24"/>
        </w:rPr>
        <w:t>8.</w:t>
      </w:r>
      <w:r w:rsidRPr="00D50CF9">
        <w:rPr>
          <w:szCs w:val="24"/>
        </w:rPr>
        <w:tab/>
        <w:t xml:space="preserve">Pouyaei, A. </w:t>
      </w:r>
      <w:r w:rsidRPr="00D50CF9">
        <w:rPr>
          <w:i/>
          <w:iCs/>
          <w:szCs w:val="24"/>
        </w:rPr>
        <w:t>et al.</w:t>
      </w:r>
      <w:r w:rsidRPr="00D50CF9">
        <w:rPr>
          <w:szCs w:val="24"/>
        </w:rPr>
        <w:t xml:space="preserve"> Development and Implementation of a Physics-Based Convective Mixing Scheme in the Community Multiscale Air Quality Modeling Framework. </w:t>
      </w:r>
      <w:r w:rsidRPr="00D50CF9">
        <w:rPr>
          <w:i/>
          <w:iCs/>
          <w:szCs w:val="24"/>
        </w:rPr>
        <w:t>Journal of Advances in Modeling Earth Systems</w:t>
      </w:r>
      <w:r w:rsidRPr="00D50CF9">
        <w:rPr>
          <w:szCs w:val="24"/>
        </w:rPr>
        <w:t xml:space="preserve"> </w:t>
      </w:r>
      <w:r w:rsidRPr="00D50CF9">
        <w:rPr>
          <w:b/>
          <w:bCs/>
          <w:szCs w:val="24"/>
        </w:rPr>
        <w:t>13</w:t>
      </w:r>
      <w:r w:rsidRPr="00D50CF9">
        <w:rPr>
          <w:szCs w:val="24"/>
        </w:rPr>
        <w:t>, e2021MS002475 (2021).</w:t>
      </w:r>
    </w:p>
    <w:p w:rsidR="003232C6" w:rsidRPr="00D50CF9" w:rsidRDefault="003232C6" w:rsidP="00F51C8D">
      <w:pPr>
        <w:pStyle w:val="a9"/>
        <w:spacing w:line="240" w:lineRule="auto"/>
        <w:jc w:val="both"/>
        <w:rPr>
          <w:szCs w:val="24"/>
        </w:rPr>
      </w:pPr>
      <w:r w:rsidRPr="00D50CF9">
        <w:rPr>
          <w:szCs w:val="24"/>
        </w:rPr>
        <w:t>9.</w:t>
      </w:r>
      <w:r w:rsidRPr="00D50CF9">
        <w:rPr>
          <w:szCs w:val="24"/>
        </w:rPr>
        <w:tab/>
        <w:t xml:space="preserve">Pouyaei, A., Choi, Y., Jung, J., Sadeghi, B. &amp; Song, C. H. Concentration Trajectory Route of Air pollution with an Integrated Lagrangian model (C-TRAIL Model v1.0) derived from the Community Multiscale Air Quality Model (CMAQ Model v5.2). </w:t>
      </w:r>
      <w:r w:rsidRPr="00D50CF9">
        <w:rPr>
          <w:i/>
          <w:iCs/>
          <w:szCs w:val="24"/>
        </w:rPr>
        <w:t>Geoscientific Model Development</w:t>
      </w:r>
      <w:r w:rsidRPr="00D50CF9">
        <w:rPr>
          <w:szCs w:val="24"/>
        </w:rPr>
        <w:t xml:space="preserve"> </w:t>
      </w:r>
      <w:r w:rsidRPr="00D50CF9">
        <w:rPr>
          <w:b/>
          <w:bCs/>
          <w:szCs w:val="24"/>
        </w:rPr>
        <w:t>13</w:t>
      </w:r>
      <w:r w:rsidRPr="00D50CF9">
        <w:rPr>
          <w:szCs w:val="24"/>
        </w:rPr>
        <w:t>, 3489–3505 (2020).</w:t>
      </w:r>
    </w:p>
    <w:p w:rsidR="003232C6" w:rsidRPr="00D50CF9" w:rsidRDefault="003232C6" w:rsidP="00F51C8D">
      <w:pPr>
        <w:pStyle w:val="a9"/>
        <w:spacing w:line="240" w:lineRule="auto"/>
        <w:jc w:val="both"/>
        <w:rPr>
          <w:szCs w:val="24"/>
        </w:rPr>
      </w:pPr>
      <w:r w:rsidRPr="00D50CF9">
        <w:rPr>
          <w:szCs w:val="24"/>
        </w:rPr>
        <w:t>10.</w:t>
      </w:r>
      <w:r w:rsidRPr="00D50CF9">
        <w:rPr>
          <w:szCs w:val="24"/>
        </w:rPr>
        <w:tab/>
        <w:t xml:space="preserve">Lee, S. </w:t>
      </w:r>
      <w:r w:rsidRPr="00D50CF9">
        <w:rPr>
          <w:i/>
          <w:iCs/>
          <w:szCs w:val="24"/>
        </w:rPr>
        <w:t>et al.</w:t>
      </w:r>
      <w:r w:rsidRPr="00D50CF9">
        <w:rPr>
          <w:szCs w:val="24"/>
        </w:rPr>
        <w:t xml:space="preserve"> Impacts of uncertainties in emissions on aerosol data assimilation and short-term PM</w:t>
      </w:r>
      <w:r w:rsidRPr="00E01052">
        <w:rPr>
          <w:szCs w:val="24"/>
          <w:vertAlign w:val="subscript"/>
        </w:rPr>
        <w:t>2.5</w:t>
      </w:r>
      <w:r w:rsidRPr="00D50CF9">
        <w:rPr>
          <w:szCs w:val="24"/>
        </w:rPr>
        <w:t xml:space="preserve"> predictions over Northeast Asia. </w:t>
      </w:r>
      <w:r w:rsidRPr="00D50CF9">
        <w:rPr>
          <w:i/>
          <w:iCs/>
          <w:szCs w:val="24"/>
        </w:rPr>
        <w:t>Atmospheric Environment</w:t>
      </w:r>
      <w:r w:rsidRPr="00D50CF9">
        <w:rPr>
          <w:szCs w:val="24"/>
        </w:rPr>
        <w:t xml:space="preserve"> </w:t>
      </w:r>
      <w:r w:rsidRPr="00D50CF9">
        <w:rPr>
          <w:b/>
          <w:bCs/>
          <w:szCs w:val="24"/>
        </w:rPr>
        <w:t>271</w:t>
      </w:r>
      <w:r w:rsidRPr="00D50CF9">
        <w:rPr>
          <w:szCs w:val="24"/>
        </w:rPr>
        <w:t>, 118921 (2022).</w:t>
      </w:r>
    </w:p>
    <w:p w:rsidR="003232C6" w:rsidRPr="00D50CF9" w:rsidRDefault="003232C6" w:rsidP="00F51C8D">
      <w:pPr>
        <w:pStyle w:val="a9"/>
        <w:spacing w:line="240" w:lineRule="auto"/>
        <w:jc w:val="both"/>
        <w:rPr>
          <w:szCs w:val="24"/>
        </w:rPr>
      </w:pPr>
      <w:r w:rsidRPr="00D50CF9">
        <w:rPr>
          <w:szCs w:val="24"/>
        </w:rPr>
        <w:t>11.</w:t>
      </w:r>
      <w:r w:rsidRPr="00D50CF9">
        <w:rPr>
          <w:szCs w:val="24"/>
        </w:rPr>
        <w:tab/>
        <w:t xml:space="preserve">Park, S.-Y. </w:t>
      </w:r>
      <w:r w:rsidRPr="00D50CF9">
        <w:rPr>
          <w:i/>
          <w:iCs/>
          <w:szCs w:val="24"/>
        </w:rPr>
        <w:t>et al.</w:t>
      </w:r>
      <w:r w:rsidRPr="00D50CF9">
        <w:rPr>
          <w:szCs w:val="24"/>
        </w:rPr>
        <w:t xml:space="preserve"> Implementation of an ensemble Kalman filter in the Community Multiscale Air Quality model (CMAQ model v5.1) for data assimilation of ground-level PM</w:t>
      </w:r>
      <w:r w:rsidRPr="00D50CF9">
        <w:rPr>
          <w:szCs w:val="24"/>
          <w:vertAlign w:val="subscript"/>
        </w:rPr>
        <w:t>2.5</w:t>
      </w:r>
      <w:r w:rsidRPr="00D50CF9">
        <w:rPr>
          <w:szCs w:val="24"/>
        </w:rPr>
        <w:t xml:space="preserve">. </w:t>
      </w:r>
      <w:r w:rsidRPr="00D50CF9">
        <w:rPr>
          <w:i/>
          <w:iCs/>
          <w:szCs w:val="24"/>
        </w:rPr>
        <w:t>Geoscientific Model Development</w:t>
      </w:r>
      <w:r w:rsidRPr="00D50CF9">
        <w:rPr>
          <w:szCs w:val="24"/>
        </w:rPr>
        <w:t xml:space="preserve"> </w:t>
      </w:r>
      <w:r w:rsidRPr="00D50CF9">
        <w:rPr>
          <w:b/>
          <w:bCs/>
          <w:szCs w:val="24"/>
        </w:rPr>
        <w:t>15</w:t>
      </w:r>
      <w:r w:rsidRPr="00D50CF9">
        <w:rPr>
          <w:szCs w:val="24"/>
        </w:rPr>
        <w:t>, 2773–2790 (2022).</w:t>
      </w:r>
    </w:p>
    <w:p w:rsidR="003232C6" w:rsidRPr="00D50CF9" w:rsidRDefault="003232C6" w:rsidP="00F51C8D">
      <w:pPr>
        <w:pStyle w:val="a9"/>
        <w:spacing w:line="240" w:lineRule="auto"/>
        <w:jc w:val="both"/>
        <w:rPr>
          <w:szCs w:val="24"/>
        </w:rPr>
      </w:pPr>
      <w:r w:rsidRPr="00D50CF9">
        <w:rPr>
          <w:szCs w:val="24"/>
        </w:rPr>
        <w:t>12.</w:t>
      </w:r>
      <w:r w:rsidRPr="00D50CF9">
        <w:rPr>
          <w:szCs w:val="24"/>
        </w:rPr>
        <w:tab/>
        <w:t xml:space="preserve">Woo, J.-H. </w:t>
      </w:r>
      <w:r w:rsidRPr="00D50CF9">
        <w:rPr>
          <w:i/>
          <w:iCs/>
          <w:szCs w:val="24"/>
        </w:rPr>
        <w:t>et al.</w:t>
      </w:r>
      <w:r w:rsidRPr="00D50CF9">
        <w:rPr>
          <w:szCs w:val="24"/>
        </w:rPr>
        <w:t xml:space="preserve"> Development of the CREATE Inventory in Support of Integrated Climate and Air Quality Modeling for Asia. </w:t>
      </w:r>
      <w:r w:rsidRPr="00D50CF9">
        <w:rPr>
          <w:i/>
          <w:iCs/>
          <w:szCs w:val="24"/>
        </w:rPr>
        <w:t>Sustainability</w:t>
      </w:r>
      <w:r w:rsidRPr="00D50CF9">
        <w:rPr>
          <w:szCs w:val="24"/>
        </w:rPr>
        <w:t xml:space="preserve"> </w:t>
      </w:r>
      <w:r w:rsidRPr="00D50CF9">
        <w:rPr>
          <w:b/>
          <w:bCs/>
          <w:szCs w:val="24"/>
        </w:rPr>
        <w:t>12</w:t>
      </w:r>
      <w:r w:rsidRPr="00D50CF9">
        <w:rPr>
          <w:szCs w:val="24"/>
        </w:rPr>
        <w:t>, 7930 (2020).</w:t>
      </w:r>
    </w:p>
    <w:p w:rsidR="003232C6" w:rsidRPr="00D50CF9" w:rsidRDefault="003232C6" w:rsidP="00F51C8D">
      <w:pPr>
        <w:pStyle w:val="a9"/>
        <w:spacing w:line="240" w:lineRule="auto"/>
        <w:jc w:val="both"/>
        <w:rPr>
          <w:szCs w:val="24"/>
        </w:rPr>
      </w:pPr>
      <w:r w:rsidRPr="00D50CF9">
        <w:rPr>
          <w:szCs w:val="24"/>
        </w:rPr>
        <w:t>13.</w:t>
      </w:r>
      <w:r w:rsidRPr="00D50CF9">
        <w:rPr>
          <w:szCs w:val="24"/>
        </w:rPr>
        <w:tab/>
        <w:t xml:space="preserve">Guenther, A. B. </w:t>
      </w:r>
      <w:r w:rsidRPr="00D50CF9">
        <w:rPr>
          <w:i/>
          <w:iCs/>
          <w:szCs w:val="24"/>
        </w:rPr>
        <w:t>et al.</w:t>
      </w:r>
      <w:r w:rsidRPr="00D50CF9">
        <w:rPr>
          <w:szCs w:val="24"/>
        </w:rPr>
        <w:t xml:space="preserve"> The Model of Emissions of Gases and Aerosols from Nature version 2.1 (MEGAN2.1): an extended and updated framework for modeling biogenic emissions. </w:t>
      </w:r>
      <w:r w:rsidRPr="00D50CF9">
        <w:rPr>
          <w:i/>
          <w:iCs/>
          <w:szCs w:val="24"/>
        </w:rPr>
        <w:t>Geosci. Model Dev.</w:t>
      </w:r>
      <w:r w:rsidRPr="00D50CF9">
        <w:rPr>
          <w:szCs w:val="24"/>
        </w:rPr>
        <w:t xml:space="preserve"> </w:t>
      </w:r>
      <w:r w:rsidRPr="00D50CF9">
        <w:rPr>
          <w:b/>
          <w:bCs/>
          <w:szCs w:val="24"/>
        </w:rPr>
        <w:t>5</w:t>
      </w:r>
      <w:r w:rsidRPr="00D50CF9">
        <w:rPr>
          <w:szCs w:val="24"/>
        </w:rPr>
        <w:t>, 1471–1492 (2012).</w:t>
      </w:r>
    </w:p>
    <w:p w:rsidR="003232C6" w:rsidRPr="00D50CF9" w:rsidRDefault="003232C6" w:rsidP="00F51C8D">
      <w:pPr>
        <w:pStyle w:val="a9"/>
        <w:spacing w:line="240" w:lineRule="auto"/>
        <w:jc w:val="both"/>
        <w:rPr>
          <w:szCs w:val="24"/>
        </w:rPr>
      </w:pPr>
      <w:r w:rsidRPr="00D50CF9">
        <w:rPr>
          <w:szCs w:val="24"/>
        </w:rPr>
        <w:t>14.</w:t>
      </w:r>
      <w:r w:rsidRPr="00D50CF9">
        <w:rPr>
          <w:szCs w:val="24"/>
        </w:rPr>
        <w:tab/>
        <w:t xml:space="preserve">Wiedinmyer, C. </w:t>
      </w:r>
      <w:r w:rsidRPr="00D50CF9">
        <w:rPr>
          <w:i/>
          <w:iCs/>
          <w:szCs w:val="24"/>
        </w:rPr>
        <w:t>et al.</w:t>
      </w:r>
      <w:r w:rsidRPr="00D50CF9">
        <w:rPr>
          <w:szCs w:val="24"/>
        </w:rPr>
        <w:t xml:space="preserve"> The Fire INventory from NCAR (FINN): a high resolution global model to estimate the emissions from open burning. </w:t>
      </w:r>
      <w:r w:rsidRPr="00D50CF9">
        <w:rPr>
          <w:i/>
          <w:iCs/>
          <w:szCs w:val="24"/>
        </w:rPr>
        <w:t>Geoscientific Model Development</w:t>
      </w:r>
      <w:r w:rsidRPr="00D50CF9">
        <w:rPr>
          <w:szCs w:val="24"/>
        </w:rPr>
        <w:t xml:space="preserve"> </w:t>
      </w:r>
      <w:r w:rsidRPr="00D50CF9">
        <w:rPr>
          <w:b/>
          <w:bCs/>
          <w:szCs w:val="24"/>
        </w:rPr>
        <w:t>4</w:t>
      </w:r>
      <w:r w:rsidRPr="00D50CF9">
        <w:rPr>
          <w:szCs w:val="24"/>
        </w:rPr>
        <w:t>, 625–641 (2011).</w:t>
      </w:r>
    </w:p>
    <w:p w:rsidR="003232C6" w:rsidRPr="00D50CF9" w:rsidRDefault="003232C6" w:rsidP="00F51C8D">
      <w:pPr>
        <w:pStyle w:val="a9"/>
        <w:spacing w:line="240" w:lineRule="auto"/>
        <w:jc w:val="both"/>
        <w:rPr>
          <w:szCs w:val="24"/>
        </w:rPr>
      </w:pPr>
      <w:r w:rsidRPr="00D50CF9">
        <w:rPr>
          <w:szCs w:val="24"/>
        </w:rPr>
        <w:t>15.</w:t>
      </w:r>
      <w:r w:rsidRPr="00D50CF9">
        <w:rPr>
          <w:szCs w:val="24"/>
        </w:rPr>
        <w:tab/>
        <w:t xml:space="preserve">Kim, H. S. </w:t>
      </w:r>
      <w:r w:rsidRPr="00D50CF9">
        <w:rPr>
          <w:i/>
          <w:iCs/>
          <w:szCs w:val="24"/>
        </w:rPr>
        <w:t>et al.</w:t>
      </w:r>
      <w:r w:rsidRPr="00D50CF9">
        <w:rPr>
          <w:szCs w:val="24"/>
        </w:rPr>
        <w:t xml:space="preserve"> Development of a daily PM</w:t>
      </w:r>
      <w:r w:rsidRPr="00D50CF9">
        <w:rPr>
          <w:szCs w:val="24"/>
          <w:vertAlign w:val="subscript"/>
        </w:rPr>
        <w:t>10</w:t>
      </w:r>
      <w:r w:rsidRPr="00D50CF9">
        <w:rPr>
          <w:szCs w:val="24"/>
        </w:rPr>
        <w:t xml:space="preserve"> and PM</w:t>
      </w:r>
      <w:r w:rsidRPr="00D50CF9">
        <w:rPr>
          <w:szCs w:val="24"/>
          <w:vertAlign w:val="subscript"/>
        </w:rPr>
        <w:t>2.5</w:t>
      </w:r>
      <w:r w:rsidRPr="00D50CF9">
        <w:rPr>
          <w:szCs w:val="24"/>
        </w:rPr>
        <w:t xml:space="preserve"> prediction system using a deep long short-term memory neural network model. </w:t>
      </w:r>
      <w:r w:rsidRPr="00D50CF9">
        <w:rPr>
          <w:i/>
          <w:iCs/>
          <w:szCs w:val="24"/>
        </w:rPr>
        <w:t>Atmospheric Chemistry and Physics</w:t>
      </w:r>
      <w:r w:rsidRPr="00D50CF9">
        <w:rPr>
          <w:szCs w:val="24"/>
        </w:rPr>
        <w:t xml:space="preserve"> </w:t>
      </w:r>
      <w:r w:rsidRPr="00D50CF9">
        <w:rPr>
          <w:b/>
          <w:bCs/>
          <w:szCs w:val="24"/>
        </w:rPr>
        <w:t>19</w:t>
      </w:r>
      <w:r w:rsidRPr="00D50CF9">
        <w:rPr>
          <w:szCs w:val="24"/>
        </w:rPr>
        <w:t>, 12935–12951 (2019).</w:t>
      </w:r>
    </w:p>
    <w:p w:rsidR="003232C6" w:rsidRPr="00D50CF9" w:rsidRDefault="003232C6" w:rsidP="00F51C8D">
      <w:pPr>
        <w:pStyle w:val="a9"/>
        <w:spacing w:line="240" w:lineRule="auto"/>
        <w:jc w:val="both"/>
        <w:rPr>
          <w:szCs w:val="24"/>
        </w:rPr>
      </w:pPr>
      <w:r w:rsidRPr="00D50CF9">
        <w:rPr>
          <w:szCs w:val="24"/>
        </w:rPr>
        <w:lastRenderedPageBreak/>
        <w:t>16.</w:t>
      </w:r>
      <w:r w:rsidRPr="00D50CF9">
        <w:rPr>
          <w:szCs w:val="24"/>
        </w:rPr>
        <w:tab/>
        <w:t xml:space="preserve">Ivatt, P. D. &amp; Evans, M. J. Improving the prediction of an atmospheric chemistry transport model using gradient-boosted regression trees. </w:t>
      </w:r>
      <w:r w:rsidRPr="00D50CF9">
        <w:rPr>
          <w:i/>
          <w:iCs/>
          <w:szCs w:val="24"/>
        </w:rPr>
        <w:t>Atmospheric Chemistry and Physics</w:t>
      </w:r>
      <w:r w:rsidRPr="00D50CF9">
        <w:rPr>
          <w:szCs w:val="24"/>
        </w:rPr>
        <w:t xml:space="preserve"> </w:t>
      </w:r>
      <w:r w:rsidRPr="00D50CF9">
        <w:rPr>
          <w:b/>
          <w:bCs/>
          <w:szCs w:val="24"/>
        </w:rPr>
        <w:t>20</w:t>
      </w:r>
      <w:r w:rsidRPr="00D50CF9">
        <w:rPr>
          <w:szCs w:val="24"/>
        </w:rPr>
        <w:t>, 8063–8082 (2020).</w:t>
      </w:r>
    </w:p>
    <w:p w:rsidR="003232C6" w:rsidRPr="00D50CF9" w:rsidRDefault="003232C6" w:rsidP="00F51C8D">
      <w:pPr>
        <w:pStyle w:val="a9"/>
        <w:spacing w:line="240" w:lineRule="auto"/>
        <w:jc w:val="both"/>
        <w:rPr>
          <w:szCs w:val="24"/>
        </w:rPr>
      </w:pPr>
      <w:r w:rsidRPr="00D50CF9">
        <w:rPr>
          <w:szCs w:val="24"/>
        </w:rPr>
        <w:t>17.</w:t>
      </w:r>
      <w:r w:rsidRPr="00D50CF9">
        <w:rPr>
          <w:szCs w:val="24"/>
        </w:rPr>
        <w:tab/>
        <w:t xml:space="preserve">Dunker, A. M. Path-integral method for the source apportionment of photochemical pollutants. </w:t>
      </w:r>
      <w:r w:rsidRPr="00D50CF9">
        <w:rPr>
          <w:i/>
          <w:iCs/>
          <w:szCs w:val="24"/>
        </w:rPr>
        <w:t>Geoscientific Model Development</w:t>
      </w:r>
      <w:r w:rsidRPr="00D50CF9">
        <w:rPr>
          <w:szCs w:val="24"/>
        </w:rPr>
        <w:t xml:space="preserve"> </w:t>
      </w:r>
      <w:r w:rsidRPr="00D50CF9">
        <w:rPr>
          <w:b/>
          <w:bCs/>
          <w:szCs w:val="24"/>
        </w:rPr>
        <w:t>8</w:t>
      </w:r>
      <w:r w:rsidRPr="00D50CF9">
        <w:rPr>
          <w:szCs w:val="24"/>
        </w:rPr>
        <w:t>, 1763–1773 (2015).</w:t>
      </w:r>
    </w:p>
    <w:p w:rsidR="003232C6" w:rsidRPr="00D50CF9" w:rsidRDefault="003232C6" w:rsidP="00F51C8D">
      <w:pPr>
        <w:pStyle w:val="a9"/>
        <w:spacing w:line="240" w:lineRule="auto"/>
        <w:jc w:val="both"/>
        <w:rPr>
          <w:szCs w:val="24"/>
        </w:rPr>
      </w:pPr>
      <w:r w:rsidRPr="00D50CF9">
        <w:rPr>
          <w:szCs w:val="24"/>
        </w:rPr>
        <w:t>18.</w:t>
      </w:r>
      <w:r w:rsidRPr="00D50CF9">
        <w:rPr>
          <w:szCs w:val="24"/>
        </w:rPr>
        <w:tab/>
        <w:t xml:space="preserve">Flemming, J. </w:t>
      </w:r>
      <w:r w:rsidRPr="00D50CF9">
        <w:rPr>
          <w:i/>
          <w:iCs/>
          <w:szCs w:val="24"/>
        </w:rPr>
        <w:t>et al.</w:t>
      </w:r>
      <w:r w:rsidRPr="00D50CF9">
        <w:rPr>
          <w:szCs w:val="24"/>
        </w:rPr>
        <w:t xml:space="preserve"> Tropospheric chemistry in the Integrated Forecasting System of ECMWF. </w:t>
      </w:r>
      <w:r w:rsidRPr="00D50CF9">
        <w:rPr>
          <w:i/>
          <w:iCs/>
          <w:szCs w:val="24"/>
        </w:rPr>
        <w:t>Geoscientific Model Development</w:t>
      </w:r>
      <w:r w:rsidRPr="00D50CF9">
        <w:rPr>
          <w:szCs w:val="24"/>
        </w:rPr>
        <w:t xml:space="preserve"> </w:t>
      </w:r>
      <w:r w:rsidRPr="00D50CF9">
        <w:rPr>
          <w:b/>
          <w:bCs/>
          <w:szCs w:val="24"/>
        </w:rPr>
        <w:t>8</w:t>
      </w:r>
      <w:r w:rsidRPr="00D50CF9">
        <w:rPr>
          <w:szCs w:val="24"/>
        </w:rPr>
        <w:t>, 975–1003 (2015).</w:t>
      </w:r>
    </w:p>
    <w:p w:rsidR="003232C6" w:rsidRPr="00D50CF9" w:rsidRDefault="003232C6" w:rsidP="00F51C8D">
      <w:pPr>
        <w:pStyle w:val="a9"/>
        <w:spacing w:line="240" w:lineRule="auto"/>
        <w:jc w:val="both"/>
        <w:rPr>
          <w:szCs w:val="24"/>
        </w:rPr>
      </w:pPr>
      <w:r w:rsidRPr="00D50CF9">
        <w:rPr>
          <w:szCs w:val="24"/>
        </w:rPr>
        <w:t>19.</w:t>
      </w:r>
      <w:r w:rsidRPr="00D50CF9">
        <w:rPr>
          <w:szCs w:val="24"/>
        </w:rPr>
        <w:tab/>
        <w:t xml:space="preserve">Williams, J. E., van Velthoven, P. F. J. &amp; Brenninkmeijer, C. a. M. Quantifying the uncertainty in simulating global tropospheric composition due to the variability in global emission estimates of Biogenic Volatile Organic Compounds. </w:t>
      </w:r>
      <w:r w:rsidRPr="00D50CF9">
        <w:rPr>
          <w:i/>
          <w:iCs/>
          <w:szCs w:val="24"/>
        </w:rPr>
        <w:t>Atmospheric Chemistry and Physics</w:t>
      </w:r>
      <w:r w:rsidRPr="00D50CF9">
        <w:rPr>
          <w:szCs w:val="24"/>
        </w:rPr>
        <w:t xml:space="preserve"> </w:t>
      </w:r>
      <w:r w:rsidRPr="00D50CF9">
        <w:rPr>
          <w:b/>
          <w:bCs/>
          <w:szCs w:val="24"/>
        </w:rPr>
        <w:t>13</w:t>
      </w:r>
      <w:r w:rsidRPr="00D50CF9">
        <w:rPr>
          <w:szCs w:val="24"/>
        </w:rPr>
        <w:t>, 2857–2891 (2013).</w:t>
      </w:r>
    </w:p>
    <w:p w:rsidR="003232C6" w:rsidRPr="00D50CF9" w:rsidRDefault="003232C6" w:rsidP="00F51C8D">
      <w:pPr>
        <w:pStyle w:val="a9"/>
        <w:spacing w:line="240" w:lineRule="auto"/>
        <w:jc w:val="both"/>
        <w:rPr>
          <w:szCs w:val="24"/>
        </w:rPr>
      </w:pPr>
      <w:r w:rsidRPr="00D50CF9">
        <w:rPr>
          <w:szCs w:val="24"/>
        </w:rPr>
        <w:t>20.</w:t>
      </w:r>
      <w:r w:rsidRPr="00D50CF9">
        <w:rPr>
          <w:szCs w:val="24"/>
        </w:rPr>
        <w:tab/>
        <w:t xml:space="preserve">Cariolle, D. &amp; Teyssèdre, H. A revised linear ozone photochemistry parameterization for use in transport and general circulation models: multi-annual simulations. </w:t>
      </w:r>
      <w:r w:rsidRPr="00D50CF9">
        <w:rPr>
          <w:i/>
          <w:iCs/>
          <w:szCs w:val="24"/>
        </w:rPr>
        <w:t>Atmospheric Chemistry and Physics</w:t>
      </w:r>
      <w:r w:rsidRPr="00D50CF9">
        <w:rPr>
          <w:szCs w:val="24"/>
        </w:rPr>
        <w:t xml:space="preserve"> </w:t>
      </w:r>
      <w:r w:rsidRPr="00D50CF9">
        <w:rPr>
          <w:b/>
          <w:bCs/>
          <w:szCs w:val="24"/>
        </w:rPr>
        <w:t>7</w:t>
      </w:r>
      <w:r w:rsidRPr="00D50CF9">
        <w:rPr>
          <w:szCs w:val="24"/>
        </w:rPr>
        <w:t>, 2183–2196 (2007).</w:t>
      </w:r>
    </w:p>
    <w:p w:rsidR="003232C6" w:rsidRPr="00D50CF9" w:rsidRDefault="003232C6" w:rsidP="00F51C8D">
      <w:pPr>
        <w:pStyle w:val="a9"/>
        <w:spacing w:line="240" w:lineRule="auto"/>
        <w:jc w:val="both"/>
        <w:rPr>
          <w:szCs w:val="24"/>
        </w:rPr>
      </w:pPr>
      <w:r w:rsidRPr="00D50CF9">
        <w:rPr>
          <w:szCs w:val="24"/>
        </w:rPr>
        <w:t>21.</w:t>
      </w:r>
      <w:r w:rsidRPr="00D50CF9">
        <w:rPr>
          <w:szCs w:val="24"/>
        </w:rPr>
        <w:tab/>
        <w:t xml:space="preserve">Morcrette, J.-J. </w:t>
      </w:r>
      <w:r w:rsidRPr="00D50CF9">
        <w:rPr>
          <w:i/>
          <w:iCs/>
          <w:szCs w:val="24"/>
        </w:rPr>
        <w:t>et al.</w:t>
      </w:r>
      <w:r w:rsidRPr="00D50CF9">
        <w:rPr>
          <w:szCs w:val="24"/>
        </w:rPr>
        <w:t xml:space="preserve"> Aerosol analysis and forecast in the European Centre for Medium-Range Weather Forecasts Integrated Forecast System: Forward modeling. </w:t>
      </w:r>
      <w:r w:rsidRPr="00D50CF9">
        <w:rPr>
          <w:i/>
          <w:iCs/>
          <w:szCs w:val="24"/>
        </w:rPr>
        <w:t>Journal of Geophysical Research: Atmospheres</w:t>
      </w:r>
      <w:r w:rsidRPr="00D50CF9">
        <w:rPr>
          <w:szCs w:val="24"/>
        </w:rPr>
        <w:t xml:space="preserve"> </w:t>
      </w:r>
      <w:r w:rsidRPr="00D50CF9">
        <w:rPr>
          <w:b/>
          <w:bCs/>
          <w:szCs w:val="24"/>
        </w:rPr>
        <w:t>114</w:t>
      </w:r>
      <w:r w:rsidRPr="00D50CF9">
        <w:rPr>
          <w:szCs w:val="24"/>
        </w:rPr>
        <w:t>, (2009).</w:t>
      </w:r>
    </w:p>
    <w:p w:rsidR="003232C6" w:rsidRPr="00D50CF9" w:rsidRDefault="003232C6" w:rsidP="00F51C8D">
      <w:pPr>
        <w:pStyle w:val="a9"/>
        <w:spacing w:line="240" w:lineRule="auto"/>
        <w:jc w:val="both"/>
        <w:rPr>
          <w:szCs w:val="24"/>
        </w:rPr>
      </w:pPr>
      <w:r w:rsidRPr="00D50CF9">
        <w:rPr>
          <w:szCs w:val="24"/>
        </w:rPr>
        <w:t>22.</w:t>
      </w:r>
      <w:r w:rsidRPr="00D50CF9">
        <w:rPr>
          <w:szCs w:val="24"/>
        </w:rPr>
        <w:tab/>
        <w:t xml:space="preserve">Dentener, F. </w:t>
      </w:r>
      <w:r w:rsidRPr="00D50CF9">
        <w:rPr>
          <w:i/>
          <w:iCs/>
          <w:szCs w:val="24"/>
        </w:rPr>
        <w:t>et al.</w:t>
      </w:r>
      <w:r w:rsidRPr="00D50CF9">
        <w:rPr>
          <w:szCs w:val="24"/>
        </w:rPr>
        <w:t xml:space="preserve"> Emissions of primary aerosol and precursor gases in the years 2000 and 1750 prescribed data-sets for AeroCom. </w:t>
      </w:r>
      <w:r w:rsidRPr="00D50CF9">
        <w:rPr>
          <w:i/>
          <w:iCs/>
          <w:szCs w:val="24"/>
        </w:rPr>
        <w:t>Atmospheric Chemistry and Physics</w:t>
      </w:r>
      <w:r w:rsidRPr="00D50CF9">
        <w:rPr>
          <w:szCs w:val="24"/>
        </w:rPr>
        <w:t xml:space="preserve"> </w:t>
      </w:r>
      <w:r w:rsidRPr="00D50CF9">
        <w:rPr>
          <w:b/>
          <w:bCs/>
          <w:szCs w:val="24"/>
        </w:rPr>
        <w:t>6</w:t>
      </w:r>
      <w:r w:rsidRPr="00D50CF9">
        <w:rPr>
          <w:szCs w:val="24"/>
        </w:rPr>
        <w:t>, 4321–4344 (2006).</w:t>
      </w:r>
    </w:p>
    <w:p w:rsidR="003232C6" w:rsidRPr="00D50CF9" w:rsidRDefault="003232C6" w:rsidP="00F51C8D">
      <w:pPr>
        <w:pStyle w:val="a9"/>
        <w:spacing w:line="240" w:lineRule="auto"/>
        <w:jc w:val="both"/>
        <w:rPr>
          <w:szCs w:val="24"/>
        </w:rPr>
      </w:pPr>
      <w:r w:rsidRPr="00D50CF9">
        <w:rPr>
          <w:szCs w:val="24"/>
        </w:rPr>
        <w:t>23.</w:t>
      </w:r>
      <w:r w:rsidRPr="00D50CF9">
        <w:rPr>
          <w:szCs w:val="24"/>
        </w:rPr>
        <w:tab/>
        <w:t xml:space="preserve">Spracklen, D. V. </w:t>
      </w:r>
      <w:r w:rsidRPr="00D50CF9">
        <w:rPr>
          <w:i/>
          <w:iCs/>
          <w:szCs w:val="24"/>
        </w:rPr>
        <w:t>et al.</w:t>
      </w:r>
      <w:r w:rsidRPr="00D50CF9">
        <w:rPr>
          <w:szCs w:val="24"/>
        </w:rPr>
        <w:t xml:space="preserve"> Aerosol mass spectrometer constraint on the global secondary organic aerosol budget. </w:t>
      </w:r>
      <w:r w:rsidRPr="00D50CF9">
        <w:rPr>
          <w:i/>
          <w:iCs/>
          <w:szCs w:val="24"/>
        </w:rPr>
        <w:t>Atmospheric Chemistry and Physics</w:t>
      </w:r>
      <w:r w:rsidRPr="00D50CF9">
        <w:rPr>
          <w:szCs w:val="24"/>
        </w:rPr>
        <w:t xml:space="preserve"> </w:t>
      </w:r>
      <w:r w:rsidRPr="00D50CF9">
        <w:rPr>
          <w:b/>
          <w:bCs/>
          <w:szCs w:val="24"/>
        </w:rPr>
        <w:t>11</w:t>
      </w:r>
      <w:r w:rsidRPr="00D50CF9">
        <w:rPr>
          <w:szCs w:val="24"/>
        </w:rPr>
        <w:t>, 12109–12136 (2011).</w:t>
      </w:r>
    </w:p>
    <w:p w:rsidR="003232C6" w:rsidRPr="00D50CF9" w:rsidRDefault="003232C6" w:rsidP="00F51C8D">
      <w:pPr>
        <w:pStyle w:val="a9"/>
        <w:spacing w:line="240" w:lineRule="auto"/>
        <w:jc w:val="both"/>
        <w:rPr>
          <w:szCs w:val="24"/>
        </w:rPr>
      </w:pPr>
      <w:r w:rsidRPr="00D50CF9">
        <w:rPr>
          <w:szCs w:val="24"/>
        </w:rPr>
        <w:t>24.</w:t>
      </w:r>
      <w:r w:rsidRPr="00D50CF9">
        <w:rPr>
          <w:szCs w:val="24"/>
        </w:rPr>
        <w:tab/>
        <w:t xml:space="preserve">Granier, C. </w:t>
      </w:r>
      <w:r w:rsidRPr="00D50CF9">
        <w:rPr>
          <w:i/>
          <w:iCs/>
          <w:szCs w:val="24"/>
        </w:rPr>
        <w:t>et al.</w:t>
      </w:r>
      <w:r w:rsidRPr="00D50CF9">
        <w:rPr>
          <w:szCs w:val="24"/>
        </w:rPr>
        <w:t xml:space="preserve"> Evolution of anthropogenic and biomass burning emissions of air pollutants at global and regional scales during the 1980–2010 period. </w:t>
      </w:r>
      <w:r w:rsidRPr="00D50CF9">
        <w:rPr>
          <w:i/>
          <w:iCs/>
          <w:szCs w:val="24"/>
        </w:rPr>
        <w:t>Climatic Change</w:t>
      </w:r>
      <w:r w:rsidRPr="00D50CF9">
        <w:rPr>
          <w:szCs w:val="24"/>
        </w:rPr>
        <w:t xml:space="preserve"> </w:t>
      </w:r>
      <w:r w:rsidRPr="00D50CF9">
        <w:rPr>
          <w:b/>
          <w:bCs/>
          <w:szCs w:val="24"/>
        </w:rPr>
        <w:t>109</w:t>
      </w:r>
      <w:r w:rsidRPr="00D50CF9">
        <w:rPr>
          <w:szCs w:val="24"/>
        </w:rPr>
        <w:t>, 163 (2011).</w:t>
      </w:r>
    </w:p>
    <w:p w:rsidR="003232C6" w:rsidRPr="00D50CF9" w:rsidRDefault="003232C6" w:rsidP="00F51C8D">
      <w:pPr>
        <w:pStyle w:val="a9"/>
        <w:spacing w:line="240" w:lineRule="auto"/>
        <w:jc w:val="both"/>
        <w:rPr>
          <w:szCs w:val="24"/>
        </w:rPr>
      </w:pPr>
      <w:r w:rsidRPr="00D50CF9">
        <w:rPr>
          <w:szCs w:val="24"/>
        </w:rPr>
        <w:t>25.</w:t>
      </w:r>
      <w:r w:rsidRPr="00D50CF9">
        <w:rPr>
          <w:szCs w:val="24"/>
        </w:rPr>
        <w:tab/>
        <w:t xml:space="preserve">Sindelarova, K. </w:t>
      </w:r>
      <w:r w:rsidRPr="00D50CF9">
        <w:rPr>
          <w:i/>
          <w:iCs/>
          <w:szCs w:val="24"/>
        </w:rPr>
        <w:t>et al.</w:t>
      </w:r>
      <w:r w:rsidRPr="00D50CF9">
        <w:rPr>
          <w:szCs w:val="24"/>
        </w:rPr>
        <w:t xml:space="preserve"> Global data set of biogenic VOC emissions calculated by the MEGAN model over the last 30 years. </w:t>
      </w:r>
      <w:r w:rsidRPr="00D50CF9">
        <w:rPr>
          <w:i/>
          <w:iCs/>
          <w:szCs w:val="24"/>
        </w:rPr>
        <w:t>Atmospheric Chemistry and Physics</w:t>
      </w:r>
      <w:r w:rsidRPr="00D50CF9">
        <w:rPr>
          <w:szCs w:val="24"/>
        </w:rPr>
        <w:t xml:space="preserve"> </w:t>
      </w:r>
      <w:r w:rsidRPr="00D50CF9">
        <w:rPr>
          <w:b/>
          <w:bCs/>
          <w:szCs w:val="24"/>
        </w:rPr>
        <w:t>14</w:t>
      </w:r>
      <w:r w:rsidRPr="00D50CF9">
        <w:rPr>
          <w:szCs w:val="24"/>
        </w:rPr>
        <w:t>, 9317–9341 (2014).</w:t>
      </w:r>
    </w:p>
    <w:p w:rsidR="003232C6" w:rsidRPr="00D50CF9" w:rsidRDefault="003232C6" w:rsidP="00F51C8D">
      <w:pPr>
        <w:pStyle w:val="a9"/>
        <w:spacing w:line="240" w:lineRule="auto"/>
        <w:jc w:val="both"/>
        <w:rPr>
          <w:szCs w:val="24"/>
        </w:rPr>
      </w:pPr>
      <w:r w:rsidRPr="00D50CF9">
        <w:rPr>
          <w:szCs w:val="24"/>
        </w:rPr>
        <w:t>26.</w:t>
      </w:r>
      <w:r w:rsidRPr="00D50CF9">
        <w:rPr>
          <w:szCs w:val="24"/>
        </w:rPr>
        <w:tab/>
        <w:t xml:space="preserve">Oliver, J. </w:t>
      </w:r>
      <w:r w:rsidRPr="00D50CF9">
        <w:rPr>
          <w:i/>
          <w:iCs/>
          <w:szCs w:val="24"/>
        </w:rPr>
        <w:t>et al.</w:t>
      </w:r>
      <w:r w:rsidRPr="00D50CF9">
        <w:rPr>
          <w:szCs w:val="24"/>
        </w:rPr>
        <w:t xml:space="preserve"> Present and future surface emissions of atmospheric compounds. </w:t>
      </w:r>
      <w:r w:rsidRPr="00D50CF9">
        <w:rPr>
          <w:i/>
          <w:iCs/>
          <w:szCs w:val="24"/>
        </w:rPr>
        <w:t>POET Report #2</w:t>
      </w:r>
      <w:r w:rsidRPr="00D50CF9">
        <w:rPr>
          <w:szCs w:val="24"/>
        </w:rPr>
        <w:t xml:space="preserve"> </w:t>
      </w:r>
      <w:r w:rsidRPr="00D50CF9">
        <w:rPr>
          <w:b/>
          <w:bCs/>
          <w:szCs w:val="24"/>
        </w:rPr>
        <w:t>EU project EVK2-1999-00011</w:t>
      </w:r>
      <w:r w:rsidRPr="00D50CF9">
        <w:rPr>
          <w:szCs w:val="24"/>
        </w:rPr>
        <w:t>, (2003).</w:t>
      </w:r>
    </w:p>
    <w:p w:rsidR="003232C6" w:rsidRPr="00D50CF9" w:rsidRDefault="003232C6" w:rsidP="00F51C8D">
      <w:pPr>
        <w:pStyle w:val="a9"/>
        <w:spacing w:line="240" w:lineRule="auto"/>
        <w:jc w:val="both"/>
        <w:rPr>
          <w:szCs w:val="24"/>
        </w:rPr>
      </w:pPr>
      <w:r w:rsidRPr="00D50CF9">
        <w:rPr>
          <w:szCs w:val="24"/>
        </w:rPr>
        <w:t>27.</w:t>
      </w:r>
      <w:r w:rsidRPr="00D50CF9">
        <w:rPr>
          <w:szCs w:val="24"/>
        </w:rPr>
        <w:tab/>
        <w:t xml:space="preserve">Kaiser, J. W. </w:t>
      </w:r>
      <w:r w:rsidRPr="00D50CF9">
        <w:rPr>
          <w:i/>
          <w:iCs/>
          <w:szCs w:val="24"/>
        </w:rPr>
        <w:t>et al.</w:t>
      </w:r>
      <w:r w:rsidRPr="00D50CF9">
        <w:rPr>
          <w:szCs w:val="24"/>
        </w:rPr>
        <w:t xml:space="preserve"> Biomass burning emissions estimated with a global fire assimilation system based on observed fire radiative power. </w:t>
      </w:r>
      <w:r w:rsidRPr="00D50CF9">
        <w:rPr>
          <w:i/>
          <w:iCs/>
          <w:szCs w:val="24"/>
        </w:rPr>
        <w:t>Biogeosciences</w:t>
      </w:r>
      <w:r w:rsidRPr="00D50CF9">
        <w:rPr>
          <w:szCs w:val="24"/>
        </w:rPr>
        <w:t xml:space="preserve"> </w:t>
      </w:r>
      <w:r w:rsidRPr="00D50CF9">
        <w:rPr>
          <w:b/>
          <w:bCs/>
          <w:szCs w:val="24"/>
        </w:rPr>
        <w:t>9</w:t>
      </w:r>
      <w:r w:rsidRPr="00D50CF9">
        <w:rPr>
          <w:szCs w:val="24"/>
        </w:rPr>
        <w:t>, 527–554 (2012).</w:t>
      </w:r>
    </w:p>
    <w:p w:rsidR="003232C6" w:rsidRPr="00D50CF9" w:rsidRDefault="003232C6" w:rsidP="00F51C8D">
      <w:pPr>
        <w:pStyle w:val="a9"/>
        <w:spacing w:line="240" w:lineRule="auto"/>
        <w:jc w:val="both"/>
        <w:rPr>
          <w:szCs w:val="24"/>
        </w:rPr>
      </w:pPr>
      <w:r w:rsidRPr="00D50CF9">
        <w:rPr>
          <w:szCs w:val="24"/>
        </w:rPr>
        <w:t>28.</w:t>
      </w:r>
      <w:r w:rsidRPr="00D50CF9">
        <w:rPr>
          <w:szCs w:val="24"/>
        </w:rPr>
        <w:tab/>
        <w:t xml:space="preserve">Volkamer, R. </w:t>
      </w:r>
      <w:r w:rsidRPr="00D50CF9">
        <w:rPr>
          <w:i/>
          <w:iCs/>
          <w:szCs w:val="24"/>
        </w:rPr>
        <w:t>et al.</w:t>
      </w:r>
      <w:r w:rsidRPr="00D50CF9">
        <w:rPr>
          <w:szCs w:val="24"/>
        </w:rPr>
        <w:t xml:space="preserve"> Secondary organic aerosol formation from anthropogenic air pollution: Rapid and higher than expected. </w:t>
      </w:r>
      <w:r w:rsidRPr="00D50CF9">
        <w:rPr>
          <w:i/>
          <w:iCs/>
          <w:szCs w:val="24"/>
        </w:rPr>
        <w:t>Geophysical Research Letters</w:t>
      </w:r>
      <w:r w:rsidRPr="00D50CF9">
        <w:rPr>
          <w:szCs w:val="24"/>
        </w:rPr>
        <w:t xml:space="preserve"> </w:t>
      </w:r>
      <w:r w:rsidRPr="00D50CF9">
        <w:rPr>
          <w:b/>
          <w:bCs/>
          <w:szCs w:val="24"/>
        </w:rPr>
        <w:t>33</w:t>
      </w:r>
      <w:r w:rsidRPr="00D50CF9">
        <w:rPr>
          <w:szCs w:val="24"/>
        </w:rPr>
        <w:t>, (2006).</w:t>
      </w:r>
    </w:p>
    <w:p w:rsidR="003232C6" w:rsidRPr="00D50CF9" w:rsidRDefault="003232C6" w:rsidP="00F51C8D">
      <w:pPr>
        <w:pStyle w:val="a9"/>
        <w:spacing w:line="240" w:lineRule="auto"/>
        <w:jc w:val="both"/>
        <w:rPr>
          <w:szCs w:val="24"/>
        </w:rPr>
      </w:pPr>
      <w:r w:rsidRPr="00D50CF9">
        <w:rPr>
          <w:szCs w:val="24"/>
        </w:rPr>
        <w:t>29.</w:t>
      </w:r>
      <w:r w:rsidRPr="00D50CF9">
        <w:rPr>
          <w:szCs w:val="24"/>
        </w:rPr>
        <w:tab/>
        <w:t xml:space="preserve">Gupta, P. </w:t>
      </w:r>
      <w:r w:rsidRPr="00D50CF9">
        <w:rPr>
          <w:i/>
          <w:iCs/>
          <w:szCs w:val="24"/>
        </w:rPr>
        <w:t>et al.</w:t>
      </w:r>
      <w:r w:rsidRPr="00D50CF9">
        <w:rPr>
          <w:szCs w:val="24"/>
        </w:rPr>
        <w:t xml:space="preserve"> Satellite remote sensing of particulate matter and air quality assessment over global cities. </w:t>
      </w:r>
      <w:r w:rsidRPr="00D50CF9">
        <w:rPr>
          <w:i/>
          <w:iCs/>
          <w:szCs w:val="24"/>
        </w:rPr>
        <w:t>Atmospheric Environment</w:t>
      </w:r>
      <w:r w:rsidRPr="00D50CF9">
        <w:rPr>
          <w:szCs w:val="24"/>
        </w:rPr>
        <w:t xml:space="preserve"> </w:t>
      </w:r>
      <w:r w:rsidRPr="00D50CF9">
        <w:rPr>
          <w:b/>
          <w:bCs/>
          <w:szCs w:val="24"/>
        </w:rPr>
        <w:t>40</w:t>
      </w:r>
      <w:r w:rsidRPr="00D50CF9">
        <w:rPr>
          <w:szCs w:val="24"/>
        </w:rPr>
        <w:t>, 5880–5892 (2006).</w:t>
      </w:r>
    </w:p>
    <w:p w:rsidR="003232C6" w:rsidRPr="00D50CF9" w:rsidRDefault="003232C6" w:rsidP="00F51C8D">
      <w:pPr>
        <w:pStyle w:val="a9"/>
        <w:spacing w:line="240" w:lineRule="auto"/>
        <w:jc w:val="both"/>
        <w:rPr>
          <w:szCs w:val="24"/>
        </w:rPr>
      </w:pPr>
      <w:r w:rsidRPr="00D50CF9">
        <w:rPr>
          <w:szCs w:val="24"/>
        </w:rPr>
        <w:t>30.</w:t>
      </w:r>
      <w:r w:rsidRPr="00D50CF9">
        <w:rPr>
          <w:szCs w:val="24"/>
        </w:rPr>
        <w:tab/>
        <w:t>Wang, J. &amp; Christopher, S. A. Intercomparison between satellite-derived aerosol optical thickness and PM</w:t>
      </w:r>
      <w:r w:rsidRPr="00D00F32">
        <w:rPr>
          <w:szCs w:val="24"/>
          <w:vertAlign w:val="subscript"/>
        </w:rPr>
        <w:t>2.5</w:t>
      </w:r>
      <w:r w:rsidRPr="00D50CF9">
        <w:rPr>
          <w:szCs w:val="24"/>
        </w:rPr>
        <w:t xml:space="preserve"> mass: Implications for air quality studies. </w:t>
      </w:r>
      <w:r w:rsidRPr="00D50CF9">
        <w:rPr>
          <w:i/>
          <w:iCs/>
          <w:szCs w:val="24"/>
        </w:rPr>
        <w:t>Geophysical Research Letters</w:t>
      </w:r>
      <w:r w:rsidRPr="00D50CF9">
        <w:rPr>
          <w:szCs w:val="24"/>
        </w:rPr>
        <w:t xml:space="preserve"> </w:t>
      </w:r>
      <w:r w:rsidRPr="00D50CF9">
        <w:rPr>
          <w:b/>
          <w:bCs/>
          <w:szCs w:val="24"/>
        </w:rPr>
        <w:t>30</w:t>
      </w:r>
      <w:r w:rsidRPr="00D50CF9">
        <w:rPr>
          <w:szCs w:val="24"/>
        </w:rPr>
        <w:t>, (2003).</w:t>
      </w:r>
    </w:p>
    <w:p w:rsidR="003232C6" w:rsidRPr="00D50CF9" w:rsidRDefault="003232C6" w:rsidP="00F51C8D">
      <w:pPr>
        <w:pStyle w:val="a9"/>
        <w:spacing w:line="240" w:lineRule="auto"/>
        <w:jc w:val="both"/>
        <w:rPr>
          <w:szCs w:val="24"/>
        </w:rPr>
      </w:pPr>
      <w:r w:rsidRPr="00D50CF9">
        <w:rPr>
          <w:szCs w:val="24"/>
        </w:rPr>
        <w:t>31.</w:t>
      </w:r>
      <w:r w:rsidRPr="00D50CF9">
        <w:rPr>
          <w:szCs w:val="24"/>
        </w:rPr>
        <w:tab/>
        <w:t>Liu, Y., Sarnat, J. A., Kilaru, V., Jacob, D. J. &amp; Koutrakis, P. Estimating Ground-Level PM</w:t>
      </w:r>
      <w:r w:rsidRPr="00D00F32">
        <w:rPr>
          <w:szCs w:val="24"/>
          <w:vertAlign w:val="subscript"/>
        </w:rPr>
        <w:t>2.5</w:t>
      </w:r>
      <w:r w:rsidRPr="00D50CF9">
        <w:rPr>
          <w:szCs w:val="24"/>
        </w:rPr>
        <w:t xml:space="preserve"> in the Eastern United States Using Satellite Remote Sensing. </w:t>
      </w:r>
      <w:r w:rsidRPr="00D50CF9">
        <w:rPr>
          <w:i/>
          <w:iCs/>
          <w:szCs w:val="24"/>
        </w:rPr>
        <w:t>Environ. Sci. Technol.</w:t>
      </w:r>
      <w:r w:rsidRPr="00D50CF9">
        <w:rPr>
          <w:szCs w:val="24"/>
        </w:rPr>
        <w:t xml:space="preserve"> </w:t>
      </w:r>
      <w:r w:rsidRPr="00D50CF9">
        <w:rPr>
          <w:b/>
          <w:bCs/>
          <w:szCs w:val="24"/>
        </w:rPr>
        <w:t>39</w:t>
      </w:r>
      <w:r w:rsidRPr="00D50CF9">
        <w:rPr>
          <w:szCs w:val="24"/>
        </w:rPr>
        <w:t>, 3269–3278 (2005).</w:t>
      </w:r>
    </w:p>
    <w:p w:rsidR="003232C6" w:rsidRPr="00D50CF9" w:rsidRDefault="003232C6" w:rsidP="00F51C8D">
      <w:pPr>
        <w:pStyle w:val="a9"/>
        <w:spacing w:line="240" w:lineRule="auto"/>
        <w:jc w:val="both"/>
        <w:rPr>
          <w:szCs w:val="24"/>
        </w:rPr>
      </w:pPr>
      <w:r w:rsidRPr="00D50CF9">
        <w:rPr>
          <w:szCs w:val="24"/>
        </w:rPr>
        <w:t>32.</w:t>
      </w:r>
      <w:r w:rsidRPr="00D50CF9">
        <w:rPr>
          <w:szCs w:val="24"/>
        </w:rPr>
        <w:tab/>
        <w:t xml:space="preserve">Chen, G. </w:t>
      </w:r>
      <w:r w:rsidRPr="00D50CF9">
        <w:rPr>
          <w:i/>
          <w:iCs/>
          <w:szCs w:val="24"/>
        </w:rPr>
        <w:t>et al.</w:t>
      </w:r>
      <w:r w:rsidRPr="00D50CF9">
        <w:rPr>
          <w:szCs w:val="24"/>
        </w:rPr>
        <w:t xml:space="preserve"> A machine learning method to estimate PM</w:t>
      </w:r>
      <w:r w:rsidRPr="00D00F32">
        <w:rPr>
          <w:szCs w:val="24"/>
          <w:vertAlign w:val="subscript"/>
        </w:rPr>
        <w:t>2.5</w:t>
      </w:r>
      <w:r w:rsidRPr="00D50CF9">
        <w:rPr>
          <w:szCs w:val="24"/>
        </w:rPr>
        <w:t xml:space="preserve"> concentrations across China with remote sensing, meteorological and land use information. </w:t>
      </w:r>
      <w:r w:rsidRPr="00D50CF9">
        <w:rPr>
          <w:i/>
          <w:iCs/>
          <w:szCs w:val="24"/>
        </w:rPr>
        <w:t>Sci Total Environ</w:t>
      </w:r>
      <w:r w:rsidRPr="00D50CF9">
        <w:rPr>
          <w:szCs w:val="24"/>
        </w:rPr>
        <w:t xml:space="preserve"> </w:t>
      </w:r>
      <w:r w:rsidRPr="00D50CF9">
        <w:rPr>
          <w:b/>
          <w:bCs/>
          <w:szCs w:val="24"/>
        </w:rPr>
        <w:t>636</w:t>
      </w:r>
      <w:r w:rsidRPr="00D50CF9">
        <w:rPr>
          <w:szCs w:val="24"/>
        </w:rPr>
        <w:t>, 52–60 (2018).</w:t>
      </w:r>
    </w:p>
    <w:p w:rsidR="003232C6" w:rsidRPr="00D50CF9" w:rsidRDefault="003232C6" w:rsidP="00F51C8D">
      <w:pPr>
        <w:pStyle w:val="a9"/>
        <w:spacing w:line="240" w:lineRule="auto"/>
        <w:jc w:val="both"/>
        <w:rPr>
          <w:szCs w:val="24"/>
        </w:rPr>
      </w:pPr>
      <w:r w:rsidRPr="00D50CF9">
        <w:rPr>
          <w:szCs w:val="24"/>
        </w:rPr>
        <w:lastRenderedPageBreak/>
        <w:t>33.</w:t>
      </w:r>
      <w:r w:rsidRPr="00D50CF9">
        <w:rPr>
          <w:szCs w:val="24"/>
        </w:rPr>
        <w:tab/>
        <w:t xml:space="preserve">Hu, X. </w:t>
      </w:r>
      <w:r w:rsidRPr="00D50CF9">
        <w:rPr>
          <w:i/>
          <w:iCs/>
          <w:szCs w:val="24"/>
        </w:rPr>
        <w:t>et al.</w:t>
      </w:r>
      <w:r w:rsidRPr="00D50CF9">
        <w:rPr>
          <w:szCs w:val="24"/>
        </w:rPr>
        <w:t xml:space="preserve"> Estimating PM</w:t>
      </w:r>
      <w:r w:rsidRPr="00D00F32">
        <w:rPr>
          <w:szCs w:val="24"/>
          <w:vertAlign w:val="subscript"/>
        </w:rPr>
        <w:t>2.5</w:t>
      </w:r>
      <w:r w:rsidRPr="00D50CF9">
        <w:rPr>
          <w:szCs w:val="24"/>
        </w:rPr>
        <w:t xml:space="preserve"> Concentrations in the Conterminous United States Using the Random Forest Approach. </w:t>
      </w:r>
      <w:r w:rsidRPr="00D50CF9">
        <w:rPr>
          <w:i/>
          <w:iCs/>
          <w:szCs w:val="24"/>
        </w:rPr>
        <w:t>Environ. Sci. Technol.</w:t>
      </w:r>
      <w:r w:rsidRPr="00D50CF9">
        <w:rPr>
          <w:szCs w:val="24"/>
        </w:rPr>
        <w:t xml:space="preserve"> </w:t>
      </w:r>
      <w:r w:rsidRPr="00D50CF9">
        <w:rPr>
          <w:b/>
          <w:bCs/>
          <w:szCs w:val="24"/>
        </w:rPr>
        <w:t>51</w:t>
      </w:r>
      <w:r w:rsidRPr="00D50CF9">
        <w:rPr>
          <w:szCs w:val="24"/>
        </w:rPr>
        <w:t>, 6936–6944 (2017).</w:t>
      </w:r>
    </w:p>
    <w:p w:rsidR="003232C6" w:rsidRPr="00D50CF9" w:rsidRDefault="003232C6" w:rsidP="00F51C8D">
      <w:pPr>
        <w:pStyle w:val="a9"/>
        <w:spacing w:line="240" w:lineRule="auto"/>
        <w:jc w:val="both"/>
        <w:rPr>
          <w:szCs w:val="24"/>
        </w:rPr>
      </w:pPr>
      <w:r w:rsidRPr="00D50CF9">
        <w:rPr>
          <w:szCs w:val="24"/>
        </w:rPr>
        <w:t>34.</w:t>
      </w:r>
      <w:r w:rsidRPr="00D50CF9">
        <w:rPr>
          <w:szCs w:val="24"/>
        </w:rPr>
        <w:tab/>
        <w:t xml:space="preserve">Breiman, L. Random Forests. </w:t>
      </w:r>
      <w:r w:rsidRPr="00D50CF9">
        <w:rPr>
          <w:i/>
          <w:iCs/>
          <w:szCs w:val="24"/>
        </w:rPr>
        <w:t>Machine Learning</w:t>
      </w:r>
      <w:r w:rsidRPr="00D50CF9">
        <w:rPr>
          <w:szCs w:val="24"/>
        </w:rPr>
        <w:t xml:space="preserve"> </w:t>
      </w:r>
      <w:r w:rsidRPr="00D50CF9">
        <w:rPr>
          <w:b/>
          <w:bCs/>
          <w:szCs w:val="24"/>
        </w:rPr>
        <w:t>45</w:t>
      </w:r>
      <w:r w:rsidRPr="00D50CF9">
        <w:rPr>
          <w:szCs w:val="24"/>
        </w:rPr>
        <w:t>, 5–32 (2001).</w:t>
      </w:r>
    </w:p>
    <w:p w:rsidR="003232C6" w:rsidRPr="00D50CF9" w:rsidRDefault="003232C6" w:rsidP="00F51C8D">
      <w:pPr>
        <w:pStyle w:val="a9"/>
        <w:spacing w:line="240" w:lineRule="auto"/>
        <w:jc w:val="both"/>
        <w:rPr>
          <w:szCs w:val="24"/>
        </w:rPr>
      </w:pPr>
      <w:r w:rsidRPr="00D50CF9">
        <w:rPr>
          <w:szCs w:val="24"/>
        </w:rPr>
        <w:t>35.</w:t>
      </w:r>
      <w:r w:rsidRPr="00D50CF9">
        <w:rPr>
          <w:szCs w:val="24"/>
        </w:rPr>
        <w:tab/>
        <w:t xml:space="preserve">Choi, M. </w:t>
      </w:r>
      <w:r w:rsidRPr="00D50CF9">
        <w:rPr>
          <w:i/>
          <w:iCs/>
          <w:szCs w:val="24"/>
        </w:rPr>
        <w:t>et al.</w:t>
      </w:r>
      <w:r w:rsidRPr="00D50CF9">
        <w:rPr>
          <w:szCs w:val="24"/>
        </w:rPr>
        <w:t xml:space="preserve"> GOCI Yonsei aerosol retrieval version 2 products: an improved algorithm and error analysis with uncertainty estimation from 5-year validation over East Asia. </w:t>
      </w:r>
      <w:r w:rsidRPr="00D50CF9">
        <w:rPr>
          <w:i/>
          <w:iCs/>
          <w:szCs w:val="24"/>
        </w:rPr>
        <w:t>Atmospheric Measurement Techniques</w:t>
      </w:r>
      <w:r w:rsidRPr="00D50CF9">
        <w:rPr>
          <w:szCs w:val="24"/>
        </w:rPr>
        <w:t xml:space="preserve"> </w:t>
      </w:r>
      <w:r w:rsidRPr="00D50CF9">
        <w:rPr>
          <w:b/>
          <w:bCs/>
          <w:szCs w:val="24"/>
        </w:rPr>
        <w:t>11</w:t>
      </w:r>
      <w:r w:rsidRPr="00D50CF9">
        <w:rPr>
          <w:szCs w:val="24"/>
        </w:rPr>
        <w:t>, 385–408 (2018).</w:t>
      </w:r>
    </w:p>
    <w:p w:rsidR="003232C6" w:rsidRPr="00D50CF9" w:rsidRDefault="003232C6" w:rsidP="00F51C8D">
      <w:pPr>
        <w:pStyle w:val="a9"/>
        <w:spacing w:line="240" w:lineRule="auto"/>
        <w:jc w:val="both"/>
        <w:rPr>
          <w:szCs w:val="24"/>
        </w:rPr>
      </w:pPr>
      <w:r w:rsidRPr="00D50CF9">
        <w:rPr>
          <w:szCs w:val="24"/>
        </w:rPr>
        <w:t>36.</w:t>
      </w:r>
      <w:r w:rsidRPr="00D50CF9">
        <w:rPr>
          <w:szCs w:val="24"/>
        </w:rPr>
        <w:tab/>
        <w:t xml:space="preserve">Park, S. </w:t>
      </w:r>
      <w:r w:rsidRPr="00D50CF9">
        <w:rPr>
          <w:i/>
          <w:iCs/>
          <w:szCs w:val="24"/>
        </w:rPr>
        <w:t>et al.</w:t>
      </w:r>
      <w:r w:rsidRPr="00D50CF9">
        <w:rPr>
          <w:szCs w:val="24"/>
        </w:rPr>
        <w:t xml:space="preserve"> Estimation of ground-level particulate matter concentrations through the synergistic use of satellite observations and process-based models over South Korea. </w:t>
      </w:r>
      <w:r w:rsidRPr="00D50CF9">
        <w:rPr>
          <w:i/>
          <w:iCs/>
          <w:szCs w:val="24"/>
        </w:rPr>
        <w:t>Atmospheric Chemistry and Physics</w:t>
      </w:r>
      <w:r w:rsidRPr="00D50CF9">
        <w:rPr>
          <w:szCs w:val="24"/>
        </w:rPr>
        <w:t xml:space="preserve"> </w:t>
      </w:r>
      <w:r w:rsidRPr="00D50CF9">
        <w:rPr>
          <w:b/>
          <w:bCs/>
          <w:szCs w:val="24"/>
        </w:rPr>
        <w:t>19</w:t>
      </w:r>
      <w:r w:rsidRPr="00D50CF9">
        <w:rPr>
          <w:szCs w:val="24"/>
        </w:rPr>
        <w:t>, 1097–1113 (2019).</w:t>
      </w:r>
    </w:p>
    <w:p w:rsidR="003232C6" w:rsidRPr="00D50CF9" w:rsidRDefault="003232C6" w:rsidP="00F51C8D">
      <w:pPr>
        <w:pStyle w:val="a9"/>
        <w:spacing w:line="240" w:lineRule="auto"/>
        <w:jc w:val="both"/>
        <w:rPr>
          <w:szCs w:val="24"/>
        </w:rPr>
      </w:pPr>
      <w:r w:rsidRPr="00D50CF9">
        <w:rPr>
          <w:szCs w:val="24"/>
        </w:rPr>
        <w:t>37.</w:t>
      </w:r>
      <w:r w:rsidRPr="00D50CF9">
        <w:rPr>
          <w:szCs w:val="24"/>
        </w:rPr>
        <w:tab/>
        <w:t xml:space="preserve">Elbern, H., Strunk, A., Schmidt, H. &amp; Talagrand, O. Emission rate and chemical state estimation by 4-dimensional variational inversion. </w:t>
      </w:r>
      <w:r w:rsidRPr="00D50CF9">
        <w:rPr>
          <w:i/>
          <w:iCs/>
          <w:szCs w:val="24"/>
        </w:rPr>
        <w:t>Atmospheric Chemistry and Physics</w:t>
      </w:r>
      <w:r w:rsidRPr="00D50CF9">
        <w:rPr>
          <w:szCs w:val="24"/>
        </w:rPr>
        <w:t xml:space="preserve"> </w:t>
      </w:r>
      <w:r w:rsidRPr="00D50CF9">
        <w:rPr>
          <w:b/>
          <w:bCs/>
          <w:szCs w:val="24"/>
        </w:rPr>
        <w:t>7</w:t>
      </w:r>
      <w:r w:rsidRPr="00D50CF9">
        <w:rPr>
          <w:szCs w:val="24"/>
        </w:rPr>
        <w:t>, 3749–3769 (2007).</w:t>
      </w:r>
    </w:p>
    <w:p w:rsidR="00B42624" w:rsidRPr="00D50CF9" w:rsidRDefault="003232C6" w:rsidP="00B42624">
      <w:pPr>
        <w:pStyle w:val="a9"/>
        <w:spacing w:line="240" w:lineRule="auto"/>
        <w:jc w:val="both"/>
        <w:rPr>
          <w:szCs w:val="24"/>
        </w:rPr>
      </w:pPr>
      <w:r w:rsidRPr="00D50CF9">
        <w:rPr>
          <w:szCs w:val="24"/>
        </w:rPr>
        <w:t>38.</w:t>
      </w:r>
      <w:r w:rsidRPr="00D50CF9">
        <w:rPr>
          <w:szCs w:val="24"/>
        </w:rPr>
        <w:tab/>
        <w:t xml:space="preserve">Remer, L. A. </w:t>
      </w:r>
      <w:r w:rsidRPr="00D50CF9">
        <w:rPr>
          <w:i/>
          <w:iCs/>
          <w:szCs w:val="24"/>
        </w:rPr>
        <w:t>et al.</w:t>
      </w:r>
      <w:r w:rsidRPr="00D50CF9">
        <w:rPr>
          <w:szCs w:val="24"/>
        </w:rPr>
        <w:t xml:space="preserve"> The MODIS Aerosol Algorithm, Products, and Validation. </w:t>
      </w:r>
      <w:r w:rsidRPr="00D50CF9">
        <w:rPr>
          <w:i/>
          <w:iCs/>
          <w:szCs w:val="24"/>
        </w:rPr>
        <w:t>Journal of the Atmospheric Sciences</w:t>
      </w:r>
      <w:r w:rsidRPr="00D50CF9">
        <w:rPr>
          <w:szCs w:val="24"/>
        </w:rPr>
        <w:t xml:space="preserve"> </w:t>
      </w:r>
      <w:r w:rsidRPr="00D50CF9">
        <w:rPr>
          <w:b/>
          <w:bCs/>
          <w:szCs w:val="24"/>
        </w:rPr>
        <w:t>62</w:t>
      </w:r>
      <w:r w:rsidRPr="00D50CF9">
        <w:rPr>
          <w:szCs w:val="24"/>
        </w:rPr>
        <w:t>, 947–973 (2005).</w:t>
      </w:r>
    </w:p>
    <w:p w:rsidR="00B42624" w:rsidRPr="00D50CF9" w:rsidRDefault="00B42624" w:rsidP="00B42624">
      <w:pPr>
        <w:pStyle w:val="a9"/>
        <w:spacing w:line="240" w:lineRule="auto"/>
        <w:ind w:left="360" w:hangingChars="150" w:hanging="360"/>
        <w:jc w:val="both"/>
        <w:rPr>
          <w:szCs w:val="24"/>
        </w:rPr>
      </w:pPr>
      <w:r w:rsidRPr="00D50CF9">
        <w:rPr>
          <w:szCs w:val="24"/>
          <w:lang w:eastAsia="ko-KR"/>
        </w:rPr>
        <w:t>39</w:t>
      </w:r>
      <w:r w:rsidRPr="00D50CF9">
        <w:rPr>
          <w:szCs w:val="24"/>
        </w:rPr>
        <w:t xml:space="preserve">. </w:t>
      </w:r>
      <w:r w:rsidR="0030141A" w:rsidRPr="00D50CF9">
        <w:rPr>
          <w:szCs w:val="24"/>
        </w:rPr>
        <w:t xml:space="preserve">Chen, </w:t>
      </w:r>
      <w:r w:rsidRPr="00D50CF9">
        <w:rPr>
          <w:szCs w:val="24"/>
        </w:rPr>
        <w:t xml:space="preserve">L., </w:t>
      </w:r>
      <w:r w:rsidRPr="00D50CF9">
        <w:rPr>
          <w:i/>
          <w:iCs/>
          <w:szCs w:val="24"/>
        </w:rPr>
        <w:t>et al.</w:t>
      </w:r>
      <w:r w:rsidRPr="00D50CF9">
        <w:rPr>
          <w:szCs w:val="24"/>
        </w:rPr>
        <w:t xml:space="preserve"> MICS-Asia III: multi-model comparison and evaluation of aerosol over East Asia. </w:t>
      </w:r>
      <w:r w:rsidRPr="00D50CF9">
        <w:rPr>
          <w:i/>
          <w:iCs/>
          <w:szCs w:val="24"/>
        </w:rPr>
        <w:t>Atmospheric Chemistry and Physics</w:t>
      </w:r>
      <w:r w:rsidRPr="00D50CF9">
        <w:rPr>
          <w:szCs w:val="24"/>
        </w:rPr>
        <w:t xml:space="preserve"> </w:t>
      </w:r>
      <w:r w:rsidRPr="00D50CF9">
        <w:rPr>
          <w:b/>
          <w:bCs/>
          <w:szCs w:val="24"/>
        </w:rPr>
        <w:t>19</w:t>
      </w:r>
      <w:r w:rsidRPr="00D50CF9">
        <w:rPr>
          <w:szCs w:val="24"/>
        </w:rPr>
        <w:t>, 11911–11937 (2019).</w:t>
      </w:r>
    </w:p>
    <w:p w:rsidR="00B42624" w:rsidRPr="00D50CF9" w:rsidRDefault="00B42624" w:rsidP="00B42624">
      <w:pPr>
        <w:pStyle w:val="a9"/>
        <w:spacing w:line="240" w:lineRule="auto"/>
        <w:ind w:left="360" w:hangingChars="150" w:hanging="360"/>
        <w:jc w:val="both"/>
        <w:rPr>
          <w:szCs w:val="24"/>
        </w:rPr>
      </w:pPr>
      <w:r w:rsidRPr="00D50CF9">
        <w:rPr>
          <w:szCs w:val="24"/>
          <w:lang w:eastAsia="ko-KR"/>
        </w:rPr>
        <w:t>40</w:t>
      </w:r>
      <w:r w:rsidRPr="00D50CF9">
        <w:rPr>
          <w:szCs w:val="24"/>
        </w:rPr>
        <w:t xml:space="preserve">. </w:t>
      </w:r>
      <w:r w:rsidR="0030141A" w:rsidRPr="00D50CF9">
        <w:rPr>
          <w:szCs w:val="24"/>
        </w:rPr>
        <w:t xml:space="preserve">Chen, </w:t>
      </w:r>
      <w:r w:rsidRPr="00D50CF9">
        <w:rPr>
          <w:szCs w:val="24"/>
        </w:rPr>
        <w:t>T.</w:t>
      </w:r>
      <w:r w:rsidR="00A8592C" w:rsidRPr="00D50CF9">
        <w:rPr>
          <w:szCs w:val="24"/>
        </w:rPr>
        <w:t xml:space="preserve"> &amp;</w:t>
      </w:r>
      <w:r w:rsidRPr="00D50CF9">
        <w:rPr>
          <w:szCs w:val="24"/>
        </w:rPr>
        <w:t xml:space="preserve"> </w:t>
      </w:r>
      <w:r w:rsidR="0030141A" w:rsidRPr="00D50CF9">
        <w:rPr>
          <w:szCs w:val="24"/>
        </w:rPr>
        <w:t xml:space="preserve">Guestrin, </w:t>
      </w:r>
      <w:r w:rsidRPr="00D50CF9">
        <w:rPr>
          <w:szCs w:val="24"/>
        </w:rPr>
        <w:t xml:space="preserve">C. XGBoost: A Scalable Tree Boosting System in </w:t>
      </w:r>
      <w:r w:rsidRPr="00D50CF9">
        <w:rPr>
          <w:i/>
          <w:iCs/>
          <w:szCs w:val="24"/>
        </w:rPr>
        <w:t>Proceedings of the 22nd ACM SIGKDD International Conference on Knowledge Discovery and Data Mining</w:t>
      </w:r>
      <w:r w:rsidRPr="00D50CF9">
        <w:rPr>
          <w:szCs w:val="24"/>
        </w:rPr>
        <w:t>, KDD ’16., (Association for Computing Machinery, 2016), pp. 785–794.</w:t>
      </w:r>
    </w:p>
    <w:p w:rsidR="00B42624" w:rsidRPr="00D50CF9" w:rsidRDefault="00B42624" w:rsidP="00B42624">
      <w:pPr>
        <w:pStyle w:val="a9"/>
        <w:spacing w:line="240" w:lineRule="auto"/>
        <w:ind w:left="360" w:hangingChars="150" w:hanging="360"/>
        <w:jc w:val="both"/>
        <w:rPr>
          <w:szCs w:val="24"/>
        </w:rPr>
      </w:pPr>
      <w:r w:rsidRPr="00D50CF9">
        <w:rPr>
          <w:szCs w:val="24"/>
          <w:lang w:eastAsia="ko-KR"/>
        </w:rPr>
        <w:t>41</w:t>
      </w:r>
      <w:r w:rsidRPr="00D50CF9">
        <w:rPr>
          <w:szCs w:val="24"/>
        </w:rPr>
        <w:t xml:space="preserve">. </w:t>
      </w:r>
      <w:r w:rsidR="00A8592C" w:rsidRPr="00D50CF9">
        <w:rPr>
          <w:szCs w:val="24"/>
        </w:rPr>
        <w:t xml:space="preserve">Breiman, </w:t>
      </w:r>
      <w:r w:rsidRPr="00D50CF9">
        <w:rPr>
          <w:szCs w:val="24"/>
        </w:rPr>
        <w:t xml:space="preserve">L. Bagging predictors. </w:t>
      </w:r>
      <w:r w:rsidRPr="00D50CF9">
        <w:rPr>
          <w:i/>
          <w:iCs/>
          <w:szCs w:val="24"/>
        </w:rPr>
        <w:t>Mach Learn</w:t>
      </w:r>
      <w:r w:rsidRPr="00D50CF9">
        <w:rPr>
          <w:szCs w:val="24"/>
        </w:rPr>
        <w:t xml:space="preserve"> </w:t>
      </w:r>
      <w:r w:rsidRPr="00D50CF9">
        <w:rPr>
          <w:b/>
          <w:bCs/>
          <w:szCs w:val="24"/>
        </w:rPr>
        <w:t>24</w:t>
      </w:r>
      <w:r w:rsidRPr="00D50CF9">
        <w:rPr>
          <w:szCs w:val="24"/>
        </w:rPr>
        <w:t>, 123–140 (1996).</w:t>
      </w:r>
    </w:p>
    <w:p w:rsidR="00B42624" w:rsidRPr="00D50CF9" w:rsidRDefault="00B42624" w:rsidP="00B42624">
      <w:pPr>
        <w:pStyle w:val="a9"/>
        <w:spacing w:line="240" w:lineRule="auto"/>
        <w:ind w:left="360" w:hangingChars="150" w:hanging="360"/>
        <w:jc w:val="both"/>
        <w:rPr>
          <w:szCs w:val="24"/>
        </w:rPr>
      </w:pPr>
      <w:r w:rsidRPr="00D50CF9">
        <w:rPr>
          <w:szCs w:val="24"/>
        </w:rPr>
        <w:t>4</w:t>
      </w:r>
      <w:r w:rsidRPr="00D50CF9">
        <w:rPr>
          <w:szCs w:val="24"/>
          <w:lang w:eastAsia="ko-KR"/>
        </w:rPr>
        <w:t>2</w:t>
      </w:r>
      <w:r w:rsidRPr="00D50CF9">
        <w:rPr>
          <w:szCs w:val="24"/>
        </w:rPr>
        <w:t xml:space="preserve">. </w:t>
      </w:r>
      <w:r w:rsidR="009B6631" w:rsidRPr="00D50CF9">
        <w:rPr>
          <w:szCs w:val="24"/>
        </w:rPr>
        <w:t xml:space="preserve">Friedman, </w:t>
      </w:r>
      <w:r w:rsidRPr="00D50CF9">
        <w:rPr>
          <w:szCs w:val="24"/>
        </w:rPr>
        <w:t xml:space="preserve">J. H. Greedy function approximation: A gradient boosting machine. </w:t>
      </w:r>
      <w:r w:rsidRPr="00D50CF9">
        <w:rPr>
          <w:i/>
          <w:iCs/>
          <w:szCs w:val="24"/>
        </w:rPr>
        <w:t>The Annals of Statistics</w:t>
      </w:r>
      <w:r w:rsidRPr="00D50CF9">
        <w:rPr>
          <w:szCs w:val="24"/>
        </w:rPr>
        <w:t xml:space="preserve"> </w:t>
      </w:r>
      <w:r w:rsidRPr="00D50CF9">
        <w:rPr>
          <w:b/>
          <w:bCs/>
          <w:szCs w:val="24"/>
        </w:rPr>
        <w:t>29</w:t>
      </w:r>
      <w:r w:rsidRPr="00D50CF9">
        <w:rPr>
          <w:szCs w:val="24"/>
        </w:rPr>
        <w:t>, 1189–1232 (2001).</w:t>
      </w:r>
    </w:p>
    <w:p w:rsidR="00B42624" w:rsidRPr="00D50CF9" w:rsidRDefault="00B42624" w:rsidP="00B42624">
      <w:pPr>
        <w:pStyle w:val="a9"/>
        <w:spacing w:line="240" w:lineRule="auto"/>
        <w:ind w:left="360" w:hangingChars="150" w:hanging="360"/>
        <w:jc w:val="both"/>
        <w:rPr>
          <w:szCs w:val="24"/>
        </w:rPr>
      </w:pPr>
      <w:r w:rsidRPr="00D50CF9">
        <w:rPr>
          <w:szCs w:val="24"/>
        </w:rPr>
        <w:t>4</w:t>
      </w:r>
      <w:r w:rsidRPr="00D50CF9">
        <w:rPr>
          <w:szCs w:val="24"/>
          <w:lang w:eastAsia="ko-KR"/>
        </w:rPr>
        <w:t>3</w:t>
      </w:r>
      <w:r w:rsidRPr="00D50CF9">
        <w:rPr>
          <w:szCs w:val="24"/>
        </w:rPr>
        <w:t xml:space="preserve">. </w:t>
      </w:r>
      <w:r w:rsidR="007014A1" w:rsidRPr="00D50CF9">
        <w:rPr>
          <w:szCs w:val="24"/>
        </w:rPr>
        <w:t xml:space="preserve">Snoek, </w:t>
      </w:r>
      <w:r w:rsidRPr="00D50CF9">
        <w:rPr>
          <w:szCs w:val="24"/>
        </w:rPr>
        <w:t xml:space="preserve">J., </w:t>
      </w:r>
      <w:r w:rsidR="007014A1" w:rsidRPr="00D50CF9">
        <w:rPr>
          <w:szCs w:val="24"/>
        </w:rPr>
        <w:t xml:space="preserve">Larochelle, </w:t>
      </w:r>
      <w:r w:rsidRPr="00D50CF9">
        <w:rPr>
          <w:szCs w:val="24"/>
        </w:rPr>
        <w:t>H.</w:t>
      </w:r>
      <w:r w:rsidR="007014A1" w:rsidRPr="00D50CF9">
        <w:rPr>
          <w:szCs w:val="24"/>
        </w:rPr>
        <w:t xml:space="preserve"> &amp;</w:t>
      </w:r>
      <w:r w:rsidRPr="00D50CF9">
        <w:rPr>
          <w:szCs w:val="24"/>
        </w:rPr>
        <w:t xml:space="preserve"> </w:t>
      </w:r>
      <w:r w:rsidR="007014A1" w:rsidRPr="00D50CF9">
        <w:rPr>
          <w:szCs w:val="24"/>
        </w:rPr>
        <w:t xml:space="preserve">Adams, </w:t>
      </w:r>
      <w:r w:rsidRPr="00D50CF9">
        <w:rPr>
          <w:szCs w:val="24"/>
        </w:rPr>
        <w:t xml:space="preserve">R. P. Practical Bayesian Optimization of Machine Learning Algorithms in </w:t>
      </w:r>
      <w:r w:rsidRPr="00D50CF9">
        <w:rPr>
          <w:i/>
          <w:iCs/>
          <w:szCs w:val="24"/>
        </w:rPr>
        <w:t>Advances in Neural Information Processing Systems</w:t>
      </w:r>
      <w:r w:rsidRPr="00D50CF9">
        <w:rPr>
          <w:szCs w:val="24"/>
        </w:rPr>
        <w:t>, (Curran Associates, Inc., 2012).</w:t>
      </w:r>
    </w:p>
    <w:p w:rsidR="00B42624" w:rsidRPr="00D50CF9" w:rsidRDefault="00B42624" w:rsidP="00B42624">
      <w:pPr>
        <w:pStyle w:val="a9"/>
        <w:spacing w:line="240" w:lineRule="auto"/>
        <w:ind w:left="360" w:hangingChars="150" w:hanging="360"/>
        <w:jc w:val="both"/>
        <w:rPr>
          <w:szCs w:val="24"/>
        </w:rPr>
      </w:pPr>
      <w:r w:rsidRPr="00D50CF9">
        <w:rPr>
          <w:szCs w:val="24"/>
        </w:rPr>
        <w:t>4</w:t>
      </w:r>
      <w:r w:rsidRPr="00D50CF9">
        <w:rPr>
          <w:szCs w:val="24"/>
          <w:lang w:eastAsia="ko-KR"/>
        </w:rPr>
        <w:t>4</w:t>
      </w:r>
      <w:r w:rsidRPr="00D50CF9">
        <w:rPr>
          <w:szCs w:val="24"/>
        </w:rPr>
        <w:t xml:space="preserve">. </w:t>
      </w:r>
      <w:r w:rsidR="00E54E0B" w:rsidRPr="00D50CF9">
        <w:rPr>
          <w:szCs w:val="24"/>
        </w:rPr>
        <w:t xml:space="preserve">Zeng </w:t>
      </w:r>
      <w:r w:rsidRPr="00D50CF9">
        <w:rPr>
          <w:szCs w:val="24"/>
        </w:rPr>
        <w:t>X.</w:t>
      </w:r>
      <w:r w:rsidR="00E54E0B" w:rsidRPr="00D50CF9">
        <w:rPr>
          <w:szCs w:val="24"/>
        </w:rPr>
        <w:t xml:space="preserve"> &amp;</w:t>
      </w:r>
      <w:r w:rsidRPr="00D50CF9">
        <w:rPr>
          <w:szCs w:val="24"/>
        </w:rPr>
        <w:t xml:space="preserve"> </w:t>
      </w:r>
      <w:r w:rsidR="00E54E0B" w:rsidRPr="00D50CF9">
        <w:rPr>
          <w:szCs w:val="24"/>
        </w:rPr>
        <w:t xml:space="preserve">Luo, </w:t>
      </w:r>
      <w:r w:rsidRPr="00D50CF9">
        <w:rPr>
          <w:szCs w:val="24"/>
        </w:rPr>
        <w:t xml:space="preserve">G. Progressive sampling-based Bayesian optimization for efficient and automatic machine learning model selection. </w:t>
      </w:r>
      <w:r w:rsidRPr="00D50CF9">
        <w:rPr>
          <w:i/>
          <w:iCs/>
          <w:szCs w:val="24"/>
        </w:rPr>
        <w:t>Health Inf Sci Syst</w:t>
      </w:r>
      <w:r w:rsidRPr="00D50CF9">
        <w:rPr>
          <w:szCs w:val="24"/>
        </w:rPr>
        <w:t xml:space="preserve"> </w:t>
      </w:r>
      <w:r w:rsidRPr="00D50CF9">
        <w:rPr>
          <w:b/>
          <w:bCs/>
          <w:szCs w:val="24"/>
        </w:rPr>
        <w:t>5</w:t>
      </w:r>
      <w:r w:rsidRPr="00D50CF9">
        <w:rPr>
          <w:szCs w:val="24"/>
        </w:rPr>
        <w:t>, 2 (2017).</w:t>
      </w:r>
    </w:p>
    <w:p w:rsidR="00B42624" w:rsidRPr="00D50CF9" w:rsidRDefault="00B42624" w:rsidP="00B42624">
      <w:pPr>
        <w:pStyle w:val="a9"/>
        <w:spacing w:line="240" w:lineRule="auto"/>
        <w:ind w:left="360" w:hangingChars="150" w:hanging="360"/>
        <w:jc w:val="both"/>
        <w:rPr>
          <w:szCs w:val="24"/>
        </w:rPr>
      </w:pPr>
      <w:r w:rsidRPr="00D50CF9">
        <w:rPr>
          <w:szCs w:val="24"/>
        </w:rPr>
        <w:t>4</w:t>
      </w:r>
      <w:r w:rsidRPr="00D50CF9">
        <w:rPr>
          <w:szCs w:val="24"/>
          <w:lang w:eastAsia="ko-KR"/>
        </w:rPr>
        <w:t>5</w:t>
      </w:r>
      <w:r w:rsidRPr="00D50CF9">
        <w:rPr>
          <w:szCs w:val="24"/>
        </w:rPr>
        <w:t xml:space="preserve">. </w:t>
      </w:r>
      <w:r w:rsidR="00DD1997" w:rsidRPr="00D50CF9">
        <w:rPr>
          <w:szCs w:val="24"/>
        </w:rPr>
        <w:t xml:space="preserve">Cheng, </w:t>
      </w:r>
      <w:r w:rsidRPr="00D50CF9">
        <w:rPr>
          <w:szCs w:val="24"/>
        </w:rPr>
        <w:t xml:space="preserve">H., </w:t>
      </w:r>
      <w:r w:rsidR="00DD1997" w:rsidRPr="00D50CF9">
        <w:rPr>
          <w:szCs w:val="24"/>
        </w:rPr>
        <w:t xml:space="preserve">Ding, </w:t>
      </w:r>
      <w:r w:rsidRPr="00D50CF9">
        <w:rPr>
          <w:szCs w:val="24"/>
        </w:rPr>
        <w:t xml:space="preserve">X., </w:t>
      </w:r>
      <w:r w:rsidR="00DD1997" w:rsidRPr="00D50CF9">
        <w:rPr>
          <w:szCs w:val="24"/>
        </w:rPr>
        <w:t xml:space="preserve">Zhou, </w:t>
      </w:r>
      <w:r w:rsidRPr="00D50CF9">
        <w:rPr>
          <w:szCs w:val="24"/>
        </w:rPr>
        <w:t>W.</w:t>
      </w:r>
      <w:r w:rsidR="00DD1997" w:rsidRPr="00D50CF9">
        <w:rPr>
          <w:szCs w:val="24"/>
        </w:rPr>
        <w:t xml:space="preserve"> &amp;</w:t>
      </w:r>
      <w:r w:rsidRPr="00D50CF9">
        <w:rPr>
          <w:szCs w:val="24"/>
        </w:rPr>
        <w:t xml:space="preserve"> </w:t>
      </w:r>
      <w:r w:rsidR="00DD1997" w:rsidRPr="00D50CF9">
        <w:rPr>
          <w:szCs w:val="24"/>
        </w:rPr>
        <w:t xml:space="preserve">Ding, </w:t>
      </w:r>
      <w:r w:rsidRPr="00D50CF9">
        <w:rPr>
          <w:szCs w:val="24"/>
        </w:rPr>
        <w:t xml:space="preserve">R. A hybrid electricity price forecasting model with Bayesian optimization for German energy exchange. </w:t>
      </w:r>
      <w:r w:rsidRPr="00D50CF9">
        <w:rPr>
          <w:i/>
          <w:iCs/>
          <w:szCs w:val="24"/>
        </w:rPr>
        <w:t>International Journal of Electrical Power &amp; Energy Systems</w:t>
      </w:r>
      <w:r w:rsidRPr="00D50CF9">
        <w:rPr>
          <w:szCs w:val="24"/>
        </w:rPr>
        <w:t xml:space="preserve"> </w:t>
      </w:r>
      <w:r w:rsidRPr="00D50CF9">
        <w:rPr>
          <w:b/>
          <w:bCs/>
          <w:szCs w:val="24"/>
        </w:rPr>
        <w:t>110</w:t>
      </w:r>
      <w:r w:rsidRPr="00D50CF9">
        <w:rPr>
          <w:szCs w:val="24"/>
        </w:rPr>
        <w:t>, 653–666 (2019).</w:t>
      </w:r>
    </w:p>
    <w:p w:rsidR="00B42624" w:rsidRPr="00D50CF9" w:rsidRDefault="00B42624" w:rsidP="00B42624">
      <w:pPr>
        <w:pStyle w:val="a9"/>
        <w:spacing w:line="240" w:lineRule="auto"/>
        <w:ind w:left="360" w:hangingChars="150" w:hanging="360"/>
        <w:jc w:val="both"/>
        <w:rPr>
          <w:szCs w:val="24"/>
        </w:rPr>
      </w:pPr>
      <w:r w:rsidRPr="00D50CF9">
        <w:rPr>
          <w:szCs w:val="24"/>
        </w:rPr>
        <w:t>4</w:t>
      </w:r>
      <w:r w:rsidRPr="00D50CF9">
        <w:rPr>
          <w:szCs w:val="24"/>
          <w:lang w:eastAsia="ko-KR"/>
        </w:rPr>
        <w:t>6</w:t>
      </w:r>
      <w:r w:rsidRPr="00D50CF9">
        <w:rPr>
          <w:szCs w:val="24"/>
        </w:rPr>
        <w:t xml:space="preserve">. </w:t>
      </w:r>
      <w:r w:rsidR="00F575BF" w:rsidRPr="00D50CF9">
        <w:rPr>
          <w:szCs w:val="24"/>
        </w:rPr>
        <w:t xml:space="preserve">Ma, </w:t>
      </w:r>
      <w:r w:rsidRPr="00D50CF9">
        <w:rPr>
          <w:szCs w:val="24"/>
        </w:rPr>
        <w:t xml:space="preserve">J., </w:t>
      </w:r>
      <w:r w:rsidRPr="00D50CF9">
        <w:rPr>
          <w:i/>
          <w:iCs/>
          <w:szCs w:val="24"/>
        </w:rPr>
        <w:t>et al.</w:t>
      </w:r>
      <w:r w:rsidRPr="00D50CF9">
        <w:rPr>
          <w:szCs w:val="24"/>
        </w:rPr>
        <w:t xml:space="preserve"> A Lag-FLSTM deep learning network based on Bayesian Optimization for multi-sequential-variant PM</w:t>
      </w:r>
      <w:r w:rsidRPr="00D50CF9">
        <w:rPr>
          <w:szCs w:val="24"/>
          <w:vertAlign w:val="subscript"/>
        </w:rPr>
        <w:t>2.5</w:t>
      </w:r>
      <w:r w:rsidRPr="00D50CF9">
        <w:rPr>
          <w:szCs w:val="24"/>
        </w:rPr>
        <w:t xml:space="preserve"> prediction. </w:t>
      </w:r>
      <w:r w:rsidRPr="00D50CF9">
        <w:rPr>
          <w:i/>
          <w:iCs/>
          <w:szCs w:val="24"/>
        </w:rPr>
        <w:t>Sustainable Cities and Society</w:t>
      </w:r>
      <w:r w:rsidRPr="00D50CF9">
        <w:rPr>
          <w:szCs w:val="24"/>
        </w:rPr>
        <w:t xml:space="preserve"> </w:t>
      </w:r>
      <w:r w:rsidRPr="00D50CF9">
        <w:rPr>
          <w:b/>
          <w:bCs/>
          <w:szCs w:val="24"/>
        </w:rPr>
        <w:t>60</w:t>
      </w:r>
      <w:r w:rsidRPr="00D50CF9">
        <w:rPr>
          <w:szCs w:val="24"/>
        </w:rPr>
        <w:t>, 102237 (2020).</w:t>
      </w:r>
    </w:p>
    <w:p w:rsidR="00B42624" w:rsidRPr="00D50CF9" w:rsidRDefault="00B42624" w:rsidP="00B42624">
      <w:pPr>
        <w:pStyle w:val="a9"/>
        <w:spacing w:line="240" w:lineRule="auto"/>
        <w:ind w:left="360" w:hangingChars="150" w:hanging="360"/>
        <w:jc w:val="both"/>
        <w:rPr>
          <w:szCs w:val="24"/>
        </w:rPr>
      </w:pPr>
      <w:r w:rsidRPr="00D50CF9">
        <w:rPr>
          <w:szCs w:val="24"/>
        </w:rPr>
        <w:t>4</w:t>
      </w:r>
      <w:r w:rsidRPr="00D50CF9">
        <w:rPr>
          <w:szCs w:val="24"/>
          <w:lang w:eastAsia="ko-KR"/>
        </w:rPr>
        <w:t>7</w:t>
      </w:r>
      <w:r w:rsidRPr="00D50CF9">
        <w:rPr>
          <w:szCs w:val="24"/>
        </w:rPr>
        <w:t xml:space="preserve">. </w:t>
      </w:r>
      <w:r w:rsidR="00F357F6" w:rsidRPr="00D50CF9">
        <w:rPr>
          <w:szCs w:val="24"/>
        </w:rPr>
        <w:t xml:space="preserve">Chawla, </w:t>
      </w:r>
      <w:r w:rsidRPr="00D50CF9">
        <w:rPr>
          <w:szCs w:val="24"/>
        </w:rPr>
        <w:t xml:space="preserve">N. V., </w:t>
      </w:r>
      <w:r w:rsidR="00F357F6" w:rsidRPr="00D50CF9">
        <w:rPr>
          <w:szCs w:val="24"/>
        </w:rPr>
        <w:t xml:space="preserve">Bowyer, </w:t>
      </w:r>
      <w:r w:rsidRPr="00D50CF9">
        <w:rPr>
          <w:szCs w:val="24"/>
        </w:rPr>
        <w:t xml:space="preserve">K. W., </w:t>
      </w:r>
      <w:r w:rsidR="00F357F6" w:rsidRPr="00D50CF9">
        <w:rPr>
          <w:szCs w:val="24"/>
        </w:rPr>
        <w:t xml:space="preserve">Hall, </w:t>
      </w:r>
      <w:r w:rsidRPr="00D50CF9">
        <w:rPr>
          <w:szCs w:val="24"/>
        </w:rPr>
        <w:t>L. O.</w:t>
      </w:r>
      <w:r w:rsidR="00F357F6" w:rsidRPr="00D50CF9">
        <w:rPr>
          <w:szCs w:val="24"/>
        </w:rPr>
        <w:t xml:space="preserve"> &amp;</w:t>
      </w:r>
      <w:r w:rsidRPr="00D50CF9">
        <w:rPr>
          <w:szCs w:val="24"/>
        </w:rPr>
        <w:t xml:space="preserve"> </w:t>
      </w:r>
      <w:r w:rsidR="00F357F6" w:rsidRPr="00D50CF9">
        <w:rPr>
          <w:szCs w:val="24"/>
        </w:rPr>
        <w:t xml:space="preserve">Kegelmeyer, </w:t>
      </w:r>
      <w:r w:rsidRPr="00D50CF9">
        <w:rPr>
          <w:szCs w:val="24"/>
        </w:rPr>
        <w:t xml:space="preserve">W. P. SMOTE: Synthetic Minority Over-sampling Technique. </w:t>
      </w:r>
      <w:r w:rsidRPr="00D50CF9">
        <w:rPr>
          <w:i/>
          <w:iCs/>
          <w:szCs w:val="24"/>
        </w:rPr>
        <w:t>Journal of Artificial Intelligence Research</w:t>
      </w:r>
      <w:r w:rsidRPr="00D50CF9">
        <w:rPr>
          <w:szCs w:val="24"/>
        </w:rPr>
        <w:t xml:space="preserve"> </w:t>
      </w:r>
      <w:r w:rsidRPr="00D50CF9">
        <w:rPr>
          <w:b/>
          <w:bCs/>
          <w:szCs w:val="24"/>
        </w:rPr>
        <w:t>16</w:t>
      </w:r>
      <w:r w:rsidRPr="00D50CF9">
        <w:rPr>
          <w:szCs w:val="24"/>
        </w:rPr>
        <w:t>, 321–357 (2002).</w:t>
      </w:r>
    </w:p>
    <w:p w:rsidR="00B42624" w:rsidRPr="00D50CF9" w:rsidRDefault="00B42624" w:rsidP="00B42624">
      <w:pPr>
        <w:pStyle w:val="a9"/>
        <w:spacing w:line="240" w:lineRule="auto"/>
        <w:ind w:left="360" w:hangingChars="150" w:hanging="360"/>
        <w:jc w:val="both"/>
        <w:rPr>
          <w:szCs w:val="24"/>
        </w:rPr>
      </w:pPr>
      <w:r w:rsidRPr="00D50CF9">
        <w:rPr>
          <w:szCs w:val="24"/>
        </w:rPr>
        <w:t>4</w:t>
      </w:r>
      <w:r w:rsidRPr="00D50CF9">
        <w:rPr>
          <w:szCs w:val="24"/>
          <w:lang w:eastAsia="ko-KR"/>
        </w:rPr>
        <w:t>8</w:t>
      </w:r>
      <w:r w:rsidRPr="00D50CF9">
        <w:rPr>
          <w:szCs w:val="24"/>
        </w:rPr>
        <w:t xml:space="preserve">. </w:t>
      </w:r>
      <w:r w:rsidR="005F6C94" w:rsidRPr="00D50CF9">
        <w:rPr>
          <w:szCs w:val="24"/>
        </w:rPr>
        <w:t xml:space="preserve">Luengo, </w:t>
      </w:r>
      <w:r w:rsidRPr="00D50CF9">
        <w:rPr>
          <w:szCs w:val="24"/>
        </w:rPr>
        <w:t xml:space="preserve">J., </w:t>
      </w:r>
      <w:r w:rsidR="005F6C94" w:rsidRPr="00D50CF9">
        <w:rPr>
          <w:szCs w:val="24"/>
        </w:rPr>
        <w:t xml:space="preserve">Fernández, </w:t>
      </w:r>
      <w:r w:rsidRPr="00D50CF9">
        <w:rPr>
          <w:szCs w:val="24"/>
        </w:rPr>
        <w:t xml:space="preserve">A., </w:t>
      </w:r>
      <w:r w:rsidR="005F6C94" w:rsidRPr="00D50CF9">
        <w:rPr>
          <w:szCs w:val="24"/>
        </w:rPr>
        <w:t xml:space="preserve">García, </w:t>
      </w:r>
      <w:r w:rsidRPr="00D50CF9">
        <w:rPr>
          <w:szCs w:val="24"/>
        </w:rPr>
        <w:t>S.</w:t>
      </w:r>
      <w:r w:rsidR="005F6C94" w:rsidRPr="00D50CF9">
        <w:rPr>
          <w:szCs w:val="24"/>
        </w:rPr>
        <w:t xml:space="preserve"> &amp;</w:t>
      </w:r>
      <w:r w:rsidRPr="00D50CF9">
        <w:rPr>
          <w:szCs w:val="24"/>
        </w:rPr>
        <w:t xml:space="preserve"> </w:t>
      </w:r>
      <w:r w:rsidR="005F6C94" w:rsidRPr="00D50CF9">
        <w:rPr>
          <w:szCs w:val="24"/>
        </w:rPr>
        <w:t xml:space="preserve">Herrera, </w:t>
      </w:r>
      <w:r w:rsidRPr="00D50CF9">
        <w:rPr>
          <w:szCs w:val="24"/>
        </w:rPr>
        <w:t xml:space="preserve">F. Addressing data complexity for imbalanced data sets: analysis of SMOTE-based oversampling and evolutionary undersampling. </w:t>
      </w:r>
      <w:r w:rsidRPr="00D50CF9">
        <w:rPr>
          <w:i/>
          <w:iCs/>
          <w:szCs w:val="24"/>
        </w:rPr>
        <w:t>Soft Comput</w:t>
      </w:r>
      <w:r w:rsidRPr="00D50CF9">
        <w:rPr>
          <w:szCs w:val="24"/>
        </w:rPr>
        <w:t xml:space="preserve"> </w:t>
      </w:r>
      <w:r w:rsidRPr="00D50CF9">
        <w:rPr>
          <w:b/>
          <w:bCs/>
          <w:szCs w:val="24"/>
        </w:rPr>
        <w:t>15</w:t>
      </w:r>
      <w:r w:rsidRPr="00D50CF9">
        <w:rPr>
          <w:szCs w:val="24"/>
        </w:rPr>
        <w:t>, 1909–1936 (2011).</w:t>
      </w:r>
    </w:p>
    <w:p w:rsidR="00B42624" w:rsidRPr="00D50CF9" w:rsidRDefault="00B42624" w:rsidP="00B42624">
      <w:pPr>
        <w:pStyle w:val="a9"/>
        <w:spacing w:line="240" w:lineRule="auto"/>
        <w:ind w:left="360" w:hangingChars="150" w:hanging="360"/>
        <w:jc w:val="both"/>
        <w:rPr>
          <w:szCs w:val="24"/>
        </w:rPr>
      </w:pPr>
      <w:r w:rsidRPr="00D50CF9">
        <w:rPr>
          <w:szCs w:val="24"/>
        </w:rPr>
        <w:t>4</w:t>
      </w:r>
      <w:r w:rsidRPr="00D50CF9">
        <w:rPr>
          <w:szCs w:val="24"/>
          <w:lang w:eastAsia="ko-KR"/>
        </w:rPr>
        <w:t>9</w:t>
      </w:r>
      <w:r w:rsidRPr="00D50CF9">
        <w:rPr>
          <w:szCs w:val="24"/>
        </w:rPr>
        <w:t xml:space="preserve">. </w:t>
      </w:r>
      <w:r w:rsidR="00994DFC" w:rsidRPr="00D50CF9">
        <w:rPr>
          <w:szCs w:val="24"/>
        </w:rPr>
        <w:t xml:space="preserve">Parrish, </w:t>
      </w:r>
      <w:r w:rsidRPr="00D50CF9">
        <w:rPr>
          <w:szCs w:val="24"/>
        </w:rPr>
        <w:t>D. F.</w:t>
      </w:r>
      <w:r w:rsidR="00994DFC" w:rsidRPr="00D50CF9">
        <w:rPr>
          <w:szCs w:val="24"/>
        </w:rPr>
        <w:t xml:space="preserve"> &amp;</w:t>
      </w:r>
      <w:r w:rsidRPr="00D50CF9">
        <w:rPr>
          <w:szCs w:val="24"/>
        </w:rPr>
        <w:t xml:space="preserve"> </w:t>
      </w:r>
      <w:r w:rsidR="00994DFC" w:rsidRPr="00D50CF9">
        <w:rPr>
          <w:szCs w:val="24"/>
        </w:rPr>
        <w:t xml:space="preserve">Derber, </w:t>
      </w:r>
      <w:r w:rsidRPr="00D50CF9">
        <w:rPr>
          <w:szCs w:val="24"/>
        </w:rPr>
        <w:t xml:space="preserve">J. C. The National Meteorological Center’s Spectral Statistical-Interpolation Analysis System. </w:t>
      </w:r>
      <w:r w:rsidRPr="00D50CF9">
        <w:rPr>
          <w:i/>
          <w:iCs/>
          <w:szCs w:val="24"/>
        </w:rPr>
        <w:t>Mon. Wea. Rev.</w:t>
      </w:r>
      <w:r w:rsidRPr="00D50CF9">
        <w:rPr>
          <w:szCs w:val="24"/>
        </w:rPr>
        <w:t xml:space="preserve"> </w:t>
      </w:r>
      <w:r w:rsidRPr="00D50CF9">
        <w:rPr>
          <w:b/>
          <w:bCs/>
          <w:szCs w:val="24"/>
        </w:rPr>
        <w:t>120</w:t>
      </w:r>
      <w:r w:rsidRPr="00D50CF9">
        <w:rPr>
          <w:szCs w:val="24"/>
        </w:rPr>
        <w:t>, 1747–1763 (1992).</w:t>
      </w:r>
    </w:p>
    <w:p w:rsidR="00B42624" w:rsidRPr="00D50CF9" w:rsidRDefault="00B42624" w:rsidP="00B42624"/>
    <w:p w:rsidR="00792DCE" w:rsidRPr="00D50CF9" w:rsidRDefault="00792DCE" w:rsidP="00F51C8D">
      <w:pPr>
        <w:ind w:firstLine="800"/>
        <w:jc w:val="both"/>
        <w:rPr>
          <w:szCs w:val="24"/>
        </w:rPr>
      </w:pPr>
      <w:r w:rsidRPr="00D50CF9">
        <w:rPr>
          <w:szCs w:val="24"/>
        </w:rPr>
        <w:fldChar w:fldCharType="end"/>
      </w:r>
    </w:p>
    <w:p w:rsidR="00792DCE" w:rsidRPr="00D50CF9" w:rsidRDefault="00792DCE" w:rsidP="00792DCE">
      <w:pPr>
        <w:rPr>
          <w:sz w:val="20"/>
          <w:szCs w:val="24"/>
        </w:rPr>
      </w:pPr>
      <w:r w:rsidRPr="00D50CF9">
        <w:rPr>
          <w:sz w:val="20"/>
          <w:szCs w:val="24"/>
        </w:rPr>
        <w:br w:type="page"/>
      </w:r>
      <w:r w:rsidRPr="00D50CF9">
        <w:rPr>
          <w:noProof/>
          <w:sz w:val="20"/>
          <w:lang w:eastAsia="ko-KR"/>
        </w:rPr>
        <w:lastRenderedPageBreak/>
        <w:drawing>
          <wp:inline distT="0" distB="0" distL="0" distR="0" wp14:anchorId="371FFEB7" wp14:editId="617B8FFD">
            <wp:extent cx="5486400" cy="4184284"/>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S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4184284"/>
                    </a:xfrm>
                    <a:prstGeom prst="rect">
                      <a:avLst/>
                    </a:prstGeom>
                  </pic:spPr>
                </pic:pic>
              </a:graphicData>
            </a:graphic>
          </wp:inline>
        </w:drawing>
      </w:r>
    </w:p>
    <w:p w:rsidR="00792DCE" w:rsidRPr="00D50CF9" w:rsidRDefault="00763D2C" w:rsidP="00792DCE">
      <w:pPr>
        <w:pStyle w:val="SMHeading"/>
        <w:jc w:val="both"/>
      </w:pPr>
      <w:r w:rsidRPr="00D50CF9">
        <w:t xml:space="preserve">Supplementary </w:t>
      </w:r>
      <w:r w:rsidR="00792DCE" w:rsidRPr="00D50CF9">
        <w:t>Fig. 1</w:t>
      </w:r>
      <w:r w:rsidR="00FB3BD7" w:rsidRPr="00D50CF9">
        <w:t xml:space="preserve"> </w:t>
      </w:r>
      <w:r w:rsidR="00FB3BD7" w:rsidRPr="00D50CF9">
        <w:rPr>
          <w:color w:val="000000"/>
        </w:rPr>
        <w:t>|</w:t>
      </w:r>
      <w:r w:rsidR="00792DCE" w:rsidRPr="00D50CF9">
        <w:t xml:space="preserve"> </w:t>
      </w:r>
      <w:r w:rsidR="00792DCE" w:rsidRPr="00D50CF9">
        <w:rPr>
          <w:b w:val="0"/>
        </w:rPr>
        <w:t>The same as Fig. 2, except for hourly variations of ground-observed and predicted PM</w:t>
      </w:r>
      <w:r w:rsidR="00792DCE" w:rsidRPr="00D50CF9">
        <w:rPr>
          <w:b w:val="0"/>
          <w:vertAlign w:val="subscript"/>
        </w:rPr>
        <w:t>2.5</w:t>
      </w:r>
      <w:r w:rsidR="00792DCE" w:rsidRPr="00D50CF9">
        <w:rPr>
          <w:b w:val="0"/>
        </w:rPr>
        <w:t xml:space="preserve"> in South Korea.</w:t>
      </w:r>
      <w:r w:rsidR="00792DCE" w:rsidRPr="00D50CF9">
        <w:t xml:space="preserve"> </w:t>
      </w:r>
    </w:p>
    <w:p w:rsidR="00792DCE" w:rsidRPr="00D50CF9" w:rsidRDefault="00792DCE" w:rsidP="00792DCE">
      <w:pPr>
        <w:rPr>
          <w:b/>
          <w:bCs/>
          <w:kern w:val="32"/>
          <w:sz w:val="20"/>
        </w:rPr>
      </w:pPr>
      <w:r w:rsidRPr="00D50CF9">
        <w:rPr>
          <w:sz w:val="20"/>
        </w:rPr>
        <w:br w:type="page"/>
      </w:r>
      <w:r w:rsidRPr="00D50CF9">
        <w:rPr>
          <w:b/>
          <w:noProof/>
          <w:sz w:val="20"/>
          <w:lang w:eastAsia="ko-KR"/>
        </w:rPr>
        <w:lastRenderedPageBreak/>
        <w:drawing>
          <wp:inline distT="0" distB="0" distL="0" distR="0" wp14:anchorId="5C4FD11F" wp14:editId="7D1687E5">
            <wp:extent cx="5486400" cy="4228298"/>
            <wp:effectExtent l="0" t="0" r="0"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_S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4228298"/>
                    </a:xfrm>
                    <a:prstGeom prst="rect">
                      <a:avLst/>
                    </a:prstGeom>
                  </pic:spPr>
                </pic:pic>
              </a:graphicData>
            </a:graphic>
          </wp:inline>
        </w:drawing>
      </w:r>
    </w:p>
    <w:p w:rsidR="00792DCE" w:rsidRPr="00D50CF9" w:rsidRDefault="00763D2C" w:rsidP="00792DCE">
      <w:pPr>
        <w:pStyle w:val="SMHeading"/>
        <w:jc w:val="both"/>
        <w:rPr>
          <w:b w:val="0"/>
        </w:rPr>
      </w:pPr>
      <w:r w:rsidRPr="00D50CF9">
        <w:t xml:space="preserve">Supplementary </w:t>
      </w:r>
      <w:r w:rsidR="00792DCE" w:rsidRPr="00D50CF9">
        <w:t>Fig. 2</w:t>
      </w:r>
      <w:r w:rsidR="00FB3BD7" w:rsidRPr="00D50CF9">
        <w:t xml:space="preserve"> </w:t>
      </w:r>
      <w:r w:rsidR="00FB3BD7" w:rsidRPr="00D50CF9">
        <w:rPr>
          <w:color w:val="000000"/>
        </w:rPr>
        <w:t>|</w:t>
      </w:r>
      <w:r w:rsidR="00792DCE" w:rsidRPr="00D50CF9">
        <w:t xml:space="preserve"> </w:t>
      </w:r>
      <w:r w:rsidR="00792DCE" w:rsidRPr="00D50CF9">
        <w:rPr>
          <w:b w:val="0"/>
        </w:rPr>
        <w:t>The same as Fig. 2, except for hourly variations of ground-observed and predicted PM</w:t>
      </w:r>
      <w:r w:rsidR="00792DCE" w:rsidRPr="00D50CF9">
        <w:rPr>
          <w:b w:val="0"/>
          <w:vertAlign w:val="subscript"/>
        </w:rPr>
        <w:t>10</w:t>
      </w:r>
      <w:r w:rsidR="00792DCE" w:rsidRPr="00D50CF9">
        <w:rPr>
          <w:b w:val="0"/>
        </w:rPr>
        <w:t xml:space="preserve"> in South Korea.</w:t>
      </w:r>
    </w:p>
    <w:p w:rsidR="00792DCE" w:rsidRPr="00D50CF9" w:rsidRDefault="00792DCE" w:rsidP="00792DCE">
      <w:pPr>
        <w:rPr>
          <w:bCs/>
          <w:kern w:val="32"/>
          <w:sz w:val="20"/>
        </w:rPr>
      </w:pPr>
      <w:r w:rsidRPr="00D50CF9">
        <w:rPr>
          <w:b/>
          <w:sz w:val="20"/>
        </w:rPr>
        <w:br w:type="page"/>
      </w:r>
      <w:r w:rsidRPr="00D50CF9">
        <w:rPr>
          <w:b/>
          <w:noProof/>
          <w:sz w:val="20"/>
          <w:lang w:eastAsia="ko-KR"/>
        </w:rPr>
        <w:lastRenderedPageBreak/>
        <w:drawing>
          <wp:inline distT="0" distB="0" distL="0" distR="0" wp14:anchorId="64686323" wp14:editId="13B014CD">
            <wp:extent cx="5481087" cy="4988514"/>
            <wp:effectExtent l="0" t="0" r="5715" b="3175"/>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_S3.png"/>
                    <pic:cNvPicPr/>
                  </pic:nvPicPr>
                  <pic:blipFill>
                    <a:blip r:embed="rId9">
                      <a:extLst>
                        <a:ext uri="{28A0092B-C50C-407E-A947-70E740481C1C}">
                          <a14:useLocalDpi xmlns:a14="http://schemas.microsoft.com/office/drawing/2010/main" val="0"/>
                        </a:ext>
                      </a:extLst>
                    </a:blip>
                    <a:stretch>
                      <a:fillRect/>
                    </a:stretch>
                  </pic:blipFill>
                  <pic:spPr>
                    <a:xfrm>
                      <a:off x="0" y="0"/>
                      <a:ext cx="5481087" cy="4988514"/>
                    </a:xfrm>
                    <a:prstGeom prst="rect">
                      <a:avLst/>
                    </a:prstGeom>
                  </pic:spPr>
                </pic:pic>
              </a:graphicData>
            </a:graphic>
          </wp:inline>
        </w:drawing>
      </w:r>
    </w:p>
    <w:p w:rsidR="00792DCE" w:rsidRPr="00D50CF9" w:rsidRDefault="00763D2C" w:rsidP="00792DCE">
      <w:pPr>
        <w:pStyle w:val="SMHeading"/>
      </w:pPr>
      <w:r w:rsidRPr="00D50CF9">
        <w:t xml:space="preserve">Supplementary </w:t>
      </w:r>
      <w:r w:rsidR="00792DCE" w:rsidRPr="00D50CF9">
        <w:t xml:space="preserve">Fig. </w:t>
      </w:r>
      <w:r w:rsidR="00792DCE" w:rsidRPr="00D50CF9">
        <w:rPr>
          <w:lang w:eastAsia="ko-KR"/>
        </w:rPr>
        <w:t>3</w:t>
      </w:r>
      <w:r w:rsidR="00FB3BD7" w:rsidRPr="00D50CF9">
        <w:rPr>
          <w:lang w:eastAsia="ko-KR"/>
        </w:rPr>
        <w:t xml:space="preserve"> </w:t>
      </w:r>
      <w:r w:rsidR="00FB3BD7" w:rsidRPr="00D50CF9">
        <w:rPr>
          <w:color w:val="000000"/>
        </w:rPr>
        <w:t>|</w:t>
      </w:r>
      <w:r w:rsidR="00792DCE" w:rsidRPr="00D50CF9">
        <w:t xml:space="preserve"> </w:t>
      </w:r>
      <w:r w:rsidR="00792DCE" w:rsidRPr="00D50CF9">
        <w:rPr>
          <w:b w:val="0"/>
        </w:rPr>
        <w:t>Observed PM</w:t>
      </w:r>
      <w:r w:rsidR="00792DCE" w:rsidRPr="00D50CF9">
        <w:rPr>
          <w:b w:val="0"/>
          <w:vertAlign w:val="subscript"/>
        </w:rPr>
        <w:t>2.5</w:t>
      </w:r>
      <w:r w:rsidR="00792DCE" w:rsidRPr="00D50CF9">
        <w:rPr>
          <w:b w:val="0"/>
        </w:rPr>
        <w:t xml:space="preserve"> vs. predicted PM</w:t>
      </w:r>
      <w:r w:rsidR="00792DCE" w:rsidRPr="00D50CF9">
        <w:rPr>
          <w:b w:val="0"/>
          <w:vertAlign w:val="subscript"/>
        </w:rPr>
        <w:t>2.5</w:t>
      </w:r>
      <w:r w:rsidR="00792DCE" w:rsidRPr="00D50CF9">
        <w:rPr>
          <w:b w:val="0"/>
        </w:rPr>
        <w:t xml:space="preserve"> at AIR KOREA stations in South Korea. Statistical metrics for the </w:t>
      </w:r>
      <w:r w:rsidR="00792DCE" w:rsidRPr="00D50CF9">
        <w:rPr>
          <w:b w:val="0"/>
          <w:lang w:eastAsia="ko-KR"/>
        </w:rPr>
        <w:t>eight</w:t>
      </w:r>
      <w:r w:rsidR="00792DCE" w:rsidRPr="00D50CF9">
        <w:rPr>
          <w:b w:val="0"/>
        </w:rPr>
        <w:t xml:space="preserve"> cases are shown inside the plots.</w:t>
      </w:r>
    </w:p>
    <w:p w:rsidR="00792DCE" w:rsidRPr="00D50CF9" w:rsidRDefault="00792DCE" w:rsidP="00792DCE">
      <w:pPr>
        <w:rPr>
          <w:bCs/>
          <w:kern w:val="32"/>
          <w:sz w:val="20"/>
        </w:rPr>
      </w:pPr>
      <w:r w:rsidRPr="00D50CF9">
        <w:rPr>
          <w:b/>
          <w:sz w:val="20"/>
        </w:rPr>
        <w:br w:type="page"/>
      </w:r>
      <w:r w:rsidRPr="00D50CF9">
        <w:rPr>
          <w:b/>
          <w:noProof/>
          <w:sz w:val="20"/>
          <w:lang w:eastAsia="ko-KR"/>
        </w:rPr>
        <w:lastRenderedPageBreak/>
        <w:drawing>
          <wp:inline distT="0" distB="0" distL="0" distR="0" wp14:anchorId="651AC334" wp14:editId="4EBF8DB6">
            <wp:extent cx="5485638" cy="4571364"/>
            <wp:effectExtent l="0" t="0" r="1270" b="127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_S4.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5638" cy="4571364"/>
                    </a:xfrm>
                    <a:prstGeom prst="rect">
                      <a:avLst/>
                    </a:prstGeom>
                  </pic:spPr>
                </pic:pic>
              </a:graphicData>
            </a:graphic>
          </wp:inline>
        </w:drawing>
      </w:r>
    </w:p>
    <w:p w:rsidR="00792DCE" w:rsidRPr="00D50CF9" w:rsidRDefault="001D0A5C" w:rsidP="00792DCE">
      <w:pPr>
        <w:pStyle w:val="SMHeading"/>
        <w:jc w:val="both"/>
        <w:rPr>
          <w:bCs w:val="0"/>
          <w:sz w:val="20"/>
        </w:rPr>
      </w:pPr>
      <w:r w:rsidRPr="00D50CF9">
        <w:t xml:space="preserve">Supplementary </w:t>
      </w:r>
      <w:r w:rsidR="00792DCE" w:rsidRPr="00D50CF9">
        <w:t xml:space="preserve">Fig. </w:t>
      </w:r>
      <w:r w:rsidR="00792DCE" w:rsidRPr="00D50CF9">
        <w:rPr>
          <w:lang w:eastAsia="ko-KR"/>
        </w:rPr>
        <w:t>4</w:t>
      </w:r>
      <w:r w:rsidR="00FB3BD7" w:rsidRPr="00D50CF9">
        <w:rPr>
          <w:lang w:eastAsia="ko-KR"/>
        </w:rPr>
        <w:t xml:space="preserve"> </w:t>
      </w:r>
      <w:r w:rsidR="00FB3BD7" w:rsidRPr="00D50CF9">
        <w:rPr>
          <w:color w:val="000000"/>
        </w:rPr>
        <w:t>|</w:t>
      </w:r>
      <w:r w:rsidR="00792DCE" w:rsidRPr="00D50CF9">
        <w:t xml:space="preserve"> </w:t>
      </w:r>
      <w:r w:rsidR="00792DCE" w:rsidRPr="00D50CF9">
        <w:rPr>
          <w:b w:val="0"/>
        </w:rPr>
        <w:t>Comparison between observed and predicted compositions of PM</w:t>
      </w:r>
      <w:r w:rsidR="00792DCE" w:rsidRPr="00D50CF9">
        <w:rPr>
          <w:b w:val="0"/>
          <w:vertAlign w:val="subscript"/>
        </w:rPr>
        <w:t>2.5</w:t>
      </w:r>
      <w:r w:rsidR="00792DCE" w:rsidRPr="00D50CF9">
        <w:rPr>
          <w:b w:val="0"/>
        </w:rPr>
        <w:t xml:space="preserve"> at six intensive measurement stations in South Korea. Solid and dashed lines represent concentrations predicted from the K_ACheMS and CAMS_nrt, respectively. Observed concentrations of OA (organic aerosol) were estimated via multiplying [OC] by 1.6.</w:t>
      </w:r>
      <w:r w:rsidR="00792DCE" w:rsidRPr="00D50CF9">
        <w:rPr>
          <w:sz w:val="20"/>
        </w:rPr>
        <w:t xml:space="preserve"> </w:t>
      </w:r>
      <w:r w:rsidR="00792DCE" w:rsidRPr="00D50CF9">
        <w:rPr>
          <w:b w:val="0"/>
          <w:sz w:val="20"/>
        </w:rPr>
        <w:br w:type="page"/>
      </w:r>
      <w:r w:rsidR="00792DCE" w:rsidRPr="00D50CF9">
        <w:rPr>
          <w:b w:val="0"/>
          <w:noProof/>
          <w:sz w:val="20"/>
          <w:lang w:eastAsia="ko-KR"/>
        </w:rPr>
        <w:lastRenderedPageBreak/>
        <w:drawing>
          <wp:inline distT="0" distB="0" distL="0" distR="0" wp14:anchorId="25AC6792" wp14:editId="620E0775">
            <wp:extent cx="5486254" cy="5149214"/>
            <wp:effectExtent l="0" t="0" r="635"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_S5.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254" cy="5149214"/>
                    </a:xfrm>
                    <a:prstGeom prst="rect">
                      <a:avLst/>
                    </a:prstGeom>
                  </pic:spPr>
                </pic:pic>
              </a:graphicData>
            </a:graphic>
          </wp:inline>
        </w:drawing>
      </w:r>
    </w:p>
    <w:p w:rsidR="00792DCE" w:rsidRPr="00D50CF9" w:rsidRDefault="001D0A5C" w:rsidP="00792DCE">
      <w:pPr>
        <w:pStyle w:val="SMHeading"/>
        <w:jc w:val="both"/>
      </w:pPr>
      <w:r w:rsidRPr="00D50CF9">
        <w:t xml:space="preserve">Supplementary </w:t>
      </w:r>
      <w:r w:rsidR="00792DCE" w:rsidRPr="00D50CF9">
        <w:t xml:space="preserve">Fig. </w:t>
      </w:r>
      <w:r w:rsidR="00792DCE" w:rsidRPr="00D50CF9">
        <w:rPr>
          <w:lang w:eastAsia="ko-KR"/>
        </w:rPr>
        <w:t>5</w:t>
      </w:r>
      <w:r w:rsidR="00FB3BD7" w:rsidRPr="00D50CF9">
        <w:rPr>
          <w:lang w:eastAsia="ko-KR"/>
        </w:rPr>
        <w:t xml:space="preserve"> </w:t>
      </w:r>
      <w:r w:rsidR="00FB3BD7" w:rsidRPr="00D50CF9">
        <w:rPr>
          <w:color w:val="000000"/>
        </w:rPr>
        <w:t>|</w:t>
      </w:r>
      <w:r w:rsidR="00792DCE" w:rsidRPr="00D50CF9">
        <w:t xml:space="preserve"> </w:t>
      </w:r>
      <w:r w:rsidR="00792DCE" w:rsidRPr="00D50CF9">
        <w:rPr>
          <w:b w:val="0"/>
        </w:rPr>
        <w:t>Comparison of emission fluxes of several important species between MACCity and KORUS v5.0 inventories. Total emission fluxes in East Asia and South Korea are also shown inside the panels.</w:t>
      </w:r>
    </w:p>
    <w:p w:rsidR="00792DCE" w:rsidRPr="00D50CF9" w:rsidRDefault="00792DCE" w:rsidP="00792DCE">
      <w:pPr>
        <w:rPr>
          <w:bCs/>
          <w:kern w:val="32"/>
          <w:sz w:val="20"/>
        </w:rPr>
      </w:pPr>
      <w:r w:rsidRPr="00D50CF9">
        <w:rPr>
          <w:b/>
          <w:sz w:val="20"/>
        </w:rPr>
        <w:br w:type="page"/>
      </w:r>
      <w:r w:rsidRPr="00D50CF9">
        <w:rPr>
          <w:b/>
          <w:noProof/>
          <w:sz w:val="20"/>
          <w:lang w:eastAsia="ko-KR"/>
        </w:rPr>
        <w:lastRenderedPageBreak/>
        <w:drawing>
          <wp:inline distT="0" distB="0" distL="0" distR="0" wp14:anchorId="4F40EEEA" wp14:editId="091A77EE">
            <wp:extent cx="5486389" cy="6316344"/>
            <wp:effectExtent l="0" t="0" r="635" b="889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_S6.png"/>
                    <pic:cNvPicPr/>
                  </pic:nvPicPr>
                  <pic:blipFill>
                    <a:blip r:embed="rId12">
                      <a:extLst>
                        <a:ext uri="{28A0092B-C50C-407E-A947-70E740481C1C}">
                          <a14:useLocalDpi xmlns:a14="http://schemas.microsoft.com/office/drawing/2010/main" val="0"/>
                        </a:ext>
                      </a:extLst>
                    </a:blip>
                    <a:stretch>
                      <a:fillRect/>
                    </a:stretch>
                  </pic:blipFill>
                  <pic:spPr>
                    <a:xfrm>
                      <a:off x="0" y="0"/>
                      <a:ext cx="5486389" cy="6316344"/>
                    </a:xfrm>
                    <a:prstGeom prst="rect">
                      <a:avLst/>
                    </a:prstGeom>
                  </pic:spPr>
                </pic:pic>
              </a:graphicData>
            </a:graphic>
          </wp:inline>
        </w:drawing>
      </w:r>
    </w:p>
    <w:p w:rsidR="00792DCE" w:rsidRPr="00D50CF9" w:rsidRDefault="001D0A5C" w:rsidP="00792DCE">
      <w:pPr>
        <w:pStyle w:val="SMHeading"/>
      </w:pPr>
      <w:r w:rsidRPr="00D50CF9">
        <w:t xml:space="preserve">Supplementary </w:t>
      </w:r>
      <w:r w:rsidR="00792DCE" w:rsidRPr="00D50CF9">
        <w:t xml:space="preserve">Fig. </w:t>
      </w:r>
      <w:r w:rsidR="00792DCE" w:rsidRPr="00D50CF9">
        <w:rPr>
          <w:lang w:eastAsia="ko-KR"/>
        </w:rPr>
        <w:t>6</w:t>
      </w:r>
      <w:r w:rsidR="00FB3BD7" w:rsidRPr="00D50CF9">
        <w:rPr>
          <w:lang w:eastAsia="ko-KR"/>
        </w:rPr>
        <w:t xml:space="preserve"> </w:t>
      </w:r>
      <w:r w:rsidR="00FB3BD7" w:rsidRPr="00D50CF9">
        <w:rPr>
          <w:color w:val="000000"/>
        </w:rPr>
        <w:t>|</w:t>
      </w:r>
      <w:r w:rsidR="00792DCE" w:rsidRPr="00D50CF9">
        <w:rPr>
          <w:b w:val="0"/>
        </w:rPr>
        <w:t xml:space="preserve"> </w:t>
      </w:r>
      <w:r w:rsidR="00746764">
        <w:rPr>
          <w:b w:val="0"/>
        </w:rPr>
        <w:t xml:space="preserve">The </w:t>
      </w:r>
      <w:r w:rsidR="00792DCE" w:rsidRPr="00D50CF9">
        <w:rPr>
          <w:b w:val="0"/>
        </w:rPr>
        <w:t xml:space="preserve">same as </w:t>
      </w:r>
      <w:r w:rsidR="00B81134">
        <w:rPr>
          <w:b w:val="0"/>
        </w:rPr>
        <w:t xml:space="preserve">Supplementary </w:t>
      </w:r>
      <w:r w:rsidR="00792DCE" w:rsidRPr="00D50CF9">
        <w:rPr>
          <w:b w:val="0"/>
        </w:rPr>
        <w:t>Fig</w:t>
      </w:r>
      <w:r w:rsidR="00792DCE" w:rsidRPr="00D50CF9">
        <w:rPr>
          <w:b w:val="0"/>
          <w:lang w:eastAsia="ko-KR"/>
        </w:rPr>
        <w:t>.</w:t>
      </w:r>
      <w:r w:rsidR="00792DCE" w:rsidRPr="00D50CF9">
        <w:rPr>
          <w:b w:val="0"/>
        </w:rPr>
        <w:t xml:space="preserve"> 5, except for over South Korea.</w:t>
      </w:r>
    </w:p>
    <w:p w:rsidR="00792DCE" w:rsidRPr="00D50CF9" w:rsidRDefault="00792DCE" w:rsidP="00792DCE">
      <w:pPr>
        <w:rPr>
          <w:bCs/>
          <w:kern w:val="32"/>
          <w:sz w:val="20"/>
        </w:rPr>
      </w:pPr>
      <w:r w:rsidRPr="00D50CF9">
        <w:rPr>
          <w:b/>
          <w:sz w:val="20"/>
        </w:rPr>
        <w:br w:type="page"/>
      </w:r>
      <w:r w:rsidRPr="00D50CF9">
        <w:rPr>
          <w:b/>
          <w:noProof/>
          <w:sz w:val="20"/>
          <w:lang w:eastAsia="ko-KR"/>
        </w:rPr>
        <w:lastRenderedPageBreak/>
        <w:drawing>
          <wp:inline distT="0" distB="0" distL="0" distR="0" wp14:anchorId="57778EAC" wp14:editId="20A93294">
            <wp:extent cx="5485858" cy="2329815"/>
            <wp:effectExtent l="0" t="0" r="635"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_S7.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5858" cy="2329815"/>
                    </a:xfrm>
                    <a:prstGeom prst="rect">
                      <a:avLst/>
                    </a:prstGeom>
                  </pic:spPr>
                </pic:pic>
              </a:graphicData>
            </a:graphic>
          </wp:inline>
        </w:drawing>
      </w:r>
    </w:p>
    <w:p w:rsidR="00792DCE" w:rsidRPr="00D50CF9" w:rsidRDefault="001D0A5C" w:rsidP="00792DCE">
      <w:pPr>
        <w:pStyle w:val="SMHeading"/>
        <w:jc w:val="both"/>
        <w:rPr>
          <w:b w:val="0"/>
        </w:rPr>
      </w:pPr>
      <w:r w:rsidRPr="00D50CF9">
        <w:t xml:space="preserve">Supplementary </w:t>
      </w:r>
      <w:r w:rsidR="00792DCE" w:rsidRPr="00D50CF9">
        <w:t xml:space="preserve">Fig. </w:t>
      </w:r>
      <w:r w:rsidR="00792DCE" w:rsidRPr="00D50CF9">
        <w:rPr>
          <w:lang w:eastAsia="ko-KR"/>
        </w:rPr>
        <w:t>7</w:t>
      </w:r>
      <w:r w:rsidR="00FB3BD7" w:rsidRPr="00D50CF9">
        <w:rPr>
          <w:lang w:eastAsia="ko-KR"/>
        </w:rPr>
        <w:t xml:space="preserve"> </w:t>
      </w:r>
      <w:r w:rsidR="00FB3BD7" w:rsidRPr="00D50CF9">
        <w:rPr>
          <w:color w:val="000000"/>
        </w:rPr>
        <w:t>|</w:t>
      </w:r>
      <w:r w:rsidR="00792DCE" w:rsidRPr="00D50CF9">
        <w:t xml:space="preserve"> </w:t>
      </w:r>
      <w:r w:rsidR="00063FF2" w:rsidRPr="00D50CF9">
        <w:rPr>
          <w:lang w:eastAsia="ko-KR"/>
        </w:rPr>
        <w:t>a</w:t>
      </w:r>
      <w:r w:rsidR="00792DCE" w:rsidRPr="00D50CF9">
        <w:rPr>
          <w:b w:val="0"/>
        </w:rPr>
        <w:t xml:space="preserve"> MODIS AOD and </w:t>
      </w:r>
      <w:r w:rsidR="00063FF2" w:rsidRPr="00D50CF9">
        <w:rPr>
          <w:lang w:eastAsia="ko-KR"/>
        </w:rPr>
        <w:t>b</w:t>
      </w:r>
      <w:r w:rsidR="00792DCE" w:rsidRPr="00D50CF9">
        <w:rPr>
          <w:b w:val="0"/>
        </w:rPr>
        <w:t xml:space="preserve"> GOCI AOD. Spatial distributions of two AOD products are presented over the domain of the GOCI sensor. As shown, no MODIS or GOCI AOD is available over North Korea, Manchuria in China, Eastern edge of Russia, or Hokkai Island in Japan due to the presence of clouds. In panel </w:t>
      </w:r>
      <w:r w:rsidR="002C1A90">
        <w:rPr>
          <w:b w:val="0"/>
        </w:rPr>
        <w:t>a</w:t>
      </w:r>
      <w:r w:rsidR="00792DCE" w:rsidRPr="00D50CF9">
        <w:rPr>
          <w:b w:val="0"/>
        </w:rPr>
        <w:t>, MODIS data are not available over south ocean areas of Jeju and Kyushu Island due to sun-glint effect. These two snapshots were obtained at 02 UTC on 4 May, 2016.</w:t>
      </w:r>
    </w:p>
    <w:p w:rsidR="00792DCE" w:rsidRPr="00D50CF9" w:rsidRDefault="00792DCE" w:rsidP="00792DCE">
      <w:pPr>
        <w:rPr>
          <w:bCs/>
          <w:kern w:val="32"/>
          <w:sz w:val="20"/>
        </w:rPr>
      </w:pPr>
      <w:r w:rsidRPr="00D50CF9">
        <w:rPr>
          <w:sz w:val="20"/>
        </w:rPr>
        <w:br w:type="page"/>
      </w:r>
      <w:r w:rsidRPr="00D50CF9">
        <w:rPr>
          <w:b/>
          <w:noProof/>
          <w:sz w:val="20"/>
          <w:lang w:eastAsia="ko-KR"/>
        </w:rPr>
        <w:lastRenderedPageBreak/>
        <w:drawing>
          <wp:inline distT="0" distB="0" distL="0" distR="0" wp14:anchorId="1606264B" wp14:editId="04F7CC83">
            <wp:extent cx="5486400" cy="2894965"/>
            <wp:effectExtent l="0" t="0" r="0" b="635"/>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_S8.png"/>
                    <pic:cNvPicPr/>
                  </pic:nvPicPr>
                  <pic:blipFill>
                    <a:blip r:embed="rId14">
                      <a:extLst>
                        <a:ext uri="{28A0092B-C50C-407E-A947-70E740481C1C}">
                          <a14:useLocalDpi xmlns:a14="http://schemas.microsoft.com/office/drawing/2010/main" val="0"/>
                        </a:ext>
                      </a:extLst>
                    </a:blip>
                    <a:stretch>
                      <a:fillRect/>
                    </a:stretch>
                  </pic:blipFill>
                  <pic:spPr>
                    <a:xfrm>
                      <a:off x="0" y="0"/>
                      <a:ext cx="5486400" cy="2894965"/>
                    </a:xfrm>
                    <a:prstGeom prst="rect">
                      <a:avLst/>
                    </a:prstGeom>
                  </pic:spPr>
                </pic:pic>
              </a:graphicData>
            </a:graphic>
          </wp:inline>
        </w:drawing>
      </w:r>
    </w:p>
    <w:p w:rsidR="00792DCE" w:rsidRPr="00D50CF9" w:rsidRDefault="001D0A5C" w:rsidP="00792DCE">
      <w:pPr>
        <w:pStyle w:val="SMHeading"/>
        <w:jc w:val="both"/>
      </w:pPr>
      <w:r w:rsidRPr="00D50CF9">
        <w:t xml:space="preserve">Supplementary </w:t>
      </w:r>
      <w:r w:rsidR="00792DCE" w:rsidRPr="00D50CF9">
        <w:t>Fig</w:t>
      </w:r>
      <w:r w:rsidR="00DC65FA" w:rsidRPr="00D50CF9">
        <w:t>.</w:t>
      </w:r>
      <w:r w:rsidR="00FB3BD7" w:rsidRPr="00D50CF9">
        <w:t xml:space="preserve"> </w:t>
      </w:r>
      <w:r w:rsidR="00792DCE" w:rsidRPr="00D50CF9">
        <w:rPr>
          <w:lang w:eastAsia="ko-KR"/>
        </w:rPr>
        <w:t>8</w:t>
      </w:r>
      <w:r w:rsidR="00DC65FA" w:rsidRPr="00D50CF9">
        <w:rPr>
          <w:lang w:eastAsia="ko-KR"/>
        </w:rPr>
        <w:t xml:space="preserve"> </w:t>
      </w:r>
      <w:r w:rsidR="00DC65FA" w:rsidRPr="00D50CF9">
        <w:rPr>
          <w:color w:val="000000"/>
        </w:rPr>
        <w:t>|</w:t>
      </w:r>
      <w:r w:rsidR="00792DCE" w:rsidRPr="00D50CF9">
        <w:t xml:space="preserve"> </w:t>
      </w:r>
      <w:r w:rsidR="00792DCE" w:rsidRPr="00D50CF9">
        <w:rPr>
          <w:b w:val="0"/>
        </w:rPr>
        <w:t>Relative standard deviations (RSDs) of errors of ground-observed PM</w:t>
      </w:r>
      <w:r w:rsidR="00792DCE" w:rsidRPr="00D50CF9">
        <w:rPr>
          <w:b w:val="0"/>
          <w:vertAlign w:val="subscript"/>
        </w:rPr>
        <w:t>2.5</w:t>
      </w:r>
      <w:r w:rsidR="00792DCE" w:rsidRPr="00D50CF9">
        <w:rPr>
          <w:b w:val="0"/>
        </w:rPr>
        <w:t>, GOCI AOD, PM</w:t>
      </w:r>
      <w:r w:rsidR="00792DCE" w:rsidRPr="00D50CF9">
        <w:rPr>
          <w:b w:val="0"/>
          <w:vertAlign w:val="subscript"/>
        </w:rPr>
        <w:t>2.5</w:t>
      </w:r>
      <w:r w:rsidR="00792DCE" w:rsidRPr="00D50CF9">
        <w:rPr>
          <w:b w:val="0"/>
        </w:rPr>
        <w:t xml:space="preserve"> estimated from RF method, and MODIS AOD products.</w:t>
      </w:r>
    </w:p>
    <w:p w:rsidR="00792DCE" w:rsidRPr="00D50CF9" w:rsidRDefault="00792DCE" w:rsidP="00792DCE">
      <w:pPr>
        <w:rPr>
          <w:bCs/>
          <w:kern w:val="32"/>
          <w:sz w:val="20"/>
        </w:rPr>
      </w:pPr>
      <w:r w:rsidRPr="00D50CF9">
        <w:rPr>
          <w:b/>
          <w:sz w:val="20"/>
        </w:rPr>
        <w:br w:type="page"/>
      </w:r>
      <w:r w:rsidRPr="00D50CF9">
        <w:rPr>
          <w:b/>
          <w:noProof/>
          <w:sz w:val="20"/>
          <w:lang w:eastAsia="ko-KR"/>
        </w:rPr>
        <w:lastRenderedPageBreak/>
        <w:drawing>
          <wp:inline distT="0" distB="0" distL="0" distR="0" wp14:anchorId="316D7916" wp14:editId="4FCAFD02">
            <wp:extent cx="5485968" cy="4769485"/>
            <wp:effectExtent l="0" t="0" r="635"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_S9.png"/>
                    <pic:cNvPicPr/>
                  </pic:nvPicPr>
                  <pic:blipFill>
                    <a:blip r:embed="rId15">
                      <a:extLst>
                        <a:ext uri="{28A0092B-C50C-407E-A947-70E740481C1C}">
                          <a14:useLocalDpi xmlns:a14="http://schemas.microsoft.com/office/drawing/2010/main" val="0"/>
                        </a:ext>
                      </a:extLst>
                    </a:blip>
                    <a:stretch>
                      <a:fillRect/>
                    </a:stretch>
                  </pic:blipFill>
                  <pic:spPr>
                    <a:xfrm>
                      <a:off x="0" y="0"/>
                      <a:ext cx="5485968" cy="4769485"/>
                    </a:xfrm>
                    <a:prstGeom prst="rect">
                      <a:avLst/>
                    </a:prstGeom>
                  </pic:spPr>
                </pic:pic>
              </a:graphicData>
            </a:graphic>
          </wp:inline>
        </w:drawing>
      </w:r>
    </w:p>
    <w:p w:rsidR="00792DCE" w:rsidRPr="00D50CF9" w:rsidRDefault="001D0A5C" w:rsidP="00792DCE">
      <w:pPr>
        <w:pStyle w:val="SMHeading"/>
        <w:jc w:val="both"/>
      </w:pPr>
      <w:r w:rsidRPr="00D50CF9">
        <w:t xml:space="preserve">Supplementary </w:t>
      </w:r>
      <w:r w:rsidR="00792DCE" w:rsidRPr="00D50CF9">
        <w:t xml:space="preserve">Fig. </w:t>
      </w:r>
      <w:r w:rsidR="00792DCE" w:rsidRPr="00D50CF9">
        <w:rPr>
          <w:lang w:eastAsia="ko-KR"/>
        </w:rPr>
        <w:t>9</w:t>
      </w:r>
      <w:r w:rsidR="005D60AA" w:rsidRPr="00D50CF9">
        <w:rPr>
          <w:lang w:eastAsia="ko-KR"/>
        </w:rPr>
        <w:t xml:space="preserve"> </w:t>
      </w:r>
      <w:r w:rsidR="005D60AA" w:rsidRPr="00D50CF9">
        <w:rPr>
          <w:color w:val="000000"/>
        </w:rPr>
        <w:t>|</w:t>
      </w:r>
      <w:r w:rsidR="00792DCE" w:rsidRPr="00D50CF9">
        <w:t xml:space="preserve"> </w:t>
      </w:r>
      <w:r w:rsidR="00792DCE" w:rsidRPr="00D50CF9">
        <w:rPr>
          <w:b w:val="0"/>
        </w:rPr>
        <w:t>The same as Fig</w:t>
      </w:r>
      <w:r w:rsidR="00792DCE" w:rsidRPr="00D50CF9">
        <w:rPr>
          <w:b w:val="0"/>
          <w:lang w:eastAsia="ko-KR"/>
        </w:rPr>
        <w:t>.</w:t>
      </w:r>
      <w:r w:rsidR="00792DCE" w:rsidRPr="00D50CF9">
        <w:rPr>
          <w:b w:val="0"/>
        </w:rPr>
        <w:t xml:space="preserve"> 2, except for experiment period between 1 November, 2016 and 30 April, 2017.</w:t>
      </w:r>
    </w:p>
    <w:p w:rsidR="00792DCE" w:rsidRPr="00D50CF9" w:rsidRDefault="00792DCE" w:rsidP="00792DCE">
      <w:pPr>
        <w:rPr>
          <w:bCs/>
          <w:kern w:val="32"/>
          <w:sz w:val="20"/>
        </w:rPr>
      </w:pPr>
      <w:r w:rsidRPr="00D50CF9">
        <w:rPr>
          <w:b/>
          <w:sz w:val="20"/>
        </w:rPr>
        <w:br w:type="page"/>
      </w:r>
      <w:r w:rsidRPr="00D50CF9">
        <w:rPr>
          <w:b/>
          <w:noProof/>
          <w:sz w:val="20"/>
          <w:lang w:eastAsia="ko-KR"/>
        </w:rPr>
        <w:lastRenderedPageBreak/>
        <w:drawing>
          <wp:inline distT="0" distB="0" distL="0" distR="0" wp14:anchorId="39592286" wp14:editId="2B8E3EA1">
            <wp:extent cx="5486399" cy="3247845"/>
            <wp:effectExtent l="0" t="0" r="635"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_S10.png"/>
                    <pic:cNvPicPr/>
                  </pic:nvPicPr>
                  <pic:blipFill>
                    <a:blip r:embed="rId16">
                      <a:extLst>
                        <a:ext uri="{28A0092B-C50C-407E-A947-70E740481C1C}">
                          <a14:useLocalDpi xmlns:a14="http://schemas.microsoft.com/office/drawing/2010/main" val="0"/>
                        </a:ext>
                      </a:extLst>
                    </a:blip>
                    <a:stretch>
                      <a:fillRect/>
                    </a:stretch>
                  </pic:blipFill>
                  <pic:spPr>
                    <a:xfrm>
                      <a:off x="0" y="0"/>
                      <a:ext cx="5486399" cy="3247845"/>
                    </a:xfrm>
                    <a:prstGeom prst="rect">
                      <a:avLst/>
                    </a:prstGeom>
                  </pic:spPr>
                </pic:pic>
              </a:graphicData>
            </a:graphic>
          </wp:inline>
        </w:drawing>
      </w:r>
    </w:p>
    <w:p w:rsidR="00792DCE" w:rsidRPr="00D50CF9" w:rsidRDefault="001D0A5C" w:rsidP="00792DCE">
      <w:pPr>
        <w:pStyle w:val="SMHeading"/>
        <w:jc w:val="both"/>
      </w:pPr>
      <w:r w:rsidRPr="00D50CF9">
        <w:t xml:space="preserve">Supplementary </w:t>
      </w:r>
      <w:r w:rsidR="00792DCE" w:rsidRPr="00D50CF9">
        <w:t xml:space="preserve">Fig. </w:t>
      </w:r>
      <w:r w:rsidR="00792DCE" w:rsidRPr="00D50CF9">
        <w:rPr>
          <w:lang w:eastAsia="ko-KR"/>
        </w:rPr>
        <w:t>10</w:t>
      </w:r>
      <w:r w:rsidR="00B51DF4" w:rsidRPr="00D50CF9">
        <w:rPr>
          <w:lang w:eastAsia="ko-KR"/>
        </w:rPr>
        <w:t xml:space="preserve"> </w:t>
      </w:r>
      <w:r w:rsidR="00B51DF4" w:rsidRPr="00D50CF9">
        <w:rPr>
          <w:color w:val="000000"/>
        </w:rPr>
        <w:t>|</w:t>
      </w:r>
      <w:r w:rsidR="00792DCE" w:rsidRPr="00D50CF9">
        <w:rPr>
          <w:b w:val="0"/>
          <w:bCs w:val="0"/>
          <w:color w:val="000000" w:themeColor="text1"/>
          <w:kern w:val="24"/>
        </w:rPr>
        <w:t xml:space="preserve"> </w:t>
      </w:r>
      <w:r w:rsidR="00792DCE" w:rsidRPr="00D50CF9">
        <w:rPr>
          <w:b w:val="0"/>
        </w:rPr>
        <w:t>Two representative plots showing how helpful geostationary satellite-derived information can be in order to enhance PM</w:t>
      </w:r>
      <w:r w:rsidR="00792DCE" w:rsidRPr="00D50CF9">
        <w:rPr>
          <w:b w:val="0"/>
          <w:vertAlign w:val="subscript"/>
        </w:rPr>
        <w:t>2.5</w:t>
      </w:r>
      <w:r w:rsidR="00792DCE" w:rsidRPr="00D50CF9">
        <w:rPr>
          <w:b w:val="0"/>
        </w:rPr>
        <w:t xml:space="preserve"> predictability in South Korea. Two events occurred on 8 November, 2016 and 27 March, 2017, respectively, when GOCI AOD data were available over North Korea (Region </w:t>
      </w:r>
      <w:r w:rsidR="00792DCE" w:rsidRPr="00D50CF9">
        <w:rPr>
          <w:b w:val="0"/>
          <w:lang w:eastAsia="ko-KR"/>
        </w:rPr>
        <w:t>II</w:t>
      </w:r>
      <w:r w:rsidR="00792DCE" w:rsidRPr="00D50CF9">
        <w:rPr>
          <w:b w:val="0"/>
        </w:rPr>
        <w:t xml:space="preserve"> in Fig. 1) and the Yellow Sea (Region </w:t>
      </w:r>
      <w:r w:rsidR="00792DCE" w:rsidRPr="00D50CF9">
        <w:rPr>
          <w:b w:val="0"/>
          <w:lang w:eastAsia="ko-KR"/>
        </w:rPr>
        <w:t>I</w:t>
      </w:r>
      <w:r w:rsidR="00792DCE" w:rsidRPr="00D50CF9">
        <w:rPr>
          <w:b w:val="0"/>
        </w:rPr>
        <w:t xml:space="preserve"> in Fig. 1), respectively. In both cases, GOCI AOD data were available over upwind areas of South Korea. Wind vectors shown with arrows were obtained at 850 hPa.</w:t>
      </w:r>
    </w:p>
    <w:p w:rsidR="00792DCE" w:rsidRPr="00D50CF9" w:rsidRDefault="00792DCE" w:rsidP="00792DCE">
      <w:pPr>
        <w:rPr>
          <w:bCs/>
          <w:kern w:val="32"/>
          <w:sz w:val="20"/>
        </w:rPr>
      </w:pPr>
      <w:r w:rsidRPr="00D50CF9">
        <w:rPr>
          <w:b/>
          <w:sz w:val="20"/>
        </w:rPr>
        <w:br w:type="page"/>
      </w:r>
      <w:r w:rsidRPr="00D50CF9">
        <w:rPr>
          <w:b/>
          <w:noProof/>
          <w:sz w:val="20"/>
          <w:lang w:eastAsia="ko-KR"/>
        </w:rPr>
        <w:lastRenderedPageBreak/>
        <w:drawing>
          <wp:inline distT="0" distB="0" distL="0" distR="0" wp14:anchorId="0B057910" wp14:editId="6C0214BB">
            <wp:extent cx="5486400" cy="4483735"/>
            <wp:effectExtent l="0" t="0" r="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_S11.png"/>
                    <pic:cNvPicPr/>
                  </pic:nvPicPr>
                  <pic:blipFill>
                    <a:blip r:embed="rId17">
                      <a:extLst>
                        <a:ext uri="{28A0092B-C50C-407E-A947-70E740481C1C}">
                          <a14:useLocalDpi xmlns:a14="http://schemas.microsoft.com/office/drawing/2010/main" val="0"/>
                        </a:ext>
                      </a:extLst>
                    </a:blip>
                    <a:stretch>
                      <a:fillRect/>
                    </a:stretch>
                  </pic:blipFill>
                  <pic:spPr>
                    <a:xfrm>
                      <a:off x="0" y="0"/>
                      <a:ext cx="5486400" cy="4483735"/>
                    </a:xfrm>
                    <a:prstGeom prst="rect">
                      <a:avLst/>
                    </a:prstGeom>
                  </pic:spPr>
                </pic:pic>
              </a:graphicData>
            </a:graphic>
          </wp:inline>
        </w:drawing>
      </w:r>
    </w:p>
    <w:p w:rsidR="00792DCE" w:rsidRPr="00D50CF9" w:rsidRDefault="001D0A5C" w:rsidP="00792DCE">
      <w:pPr>
        <w:pStyle w:val="SMHeading"/>
        <w:jc w:val="both"/>
      </w:pPr>
      <w:r w:rsidRPr="00D50CF9">
        <w:t xml:space="preserve">Supplementary </w:t>
      </w:r>
      <w:r w:rsidR="00792DCE" w:rsidRPr="00D50CF9">
        <w:t xml:space="preserve">Fig. </w:t>
      </w:r>
      <w:r w:rsidR="00792DCE" w:rsidRPr="00D50CF9">
        <w:rPr>
          <w:lang w:eastAsia="ko-KR"/>
        </w:rPr>
        <w:t>11</w:t>
      </w:r>
      <w:r w:rsidR="00AF78ED" w:rsidRPr="00D50CF9">
        <w:rPr>
          <w:lang w:eastAsia="ko-KR"/>
        </w:rPr>
        <w:t xml:space="preserve"> </w:t>
      </w:r>
      <w:r w:rsidR="00AF78ED" w:rsidRPr="00D50CF9">
        <w:rPr>
          <w:color w:val="000000"/>
        </w:rPr>
        <w:t>|</w:t>
      </w:r>
      <w:r w:rsidR="00792DCE" w:rsidRPr="00D50CF9">
        <w:t xml:space="preserve"> </w:t>
      </w:r>
      <w:r w:rsidR="00792DCE" w:rsidRPr="00D50CF9">
        <w:rPr>
          <w:b w:val="0"/>
        </w:rPr>
        <w:t>Comparison between observed and predicted compositions of PM</w:t>
      </w:r>
      <w:r w:rsidR="00792DCE" w:rsidRPr="00D50CF9">
        <w:rPr>
          <w:b w:val="0"/>
          <w:vertAlign w:val="subscript"/>
        </w:rPr>
        <w:t>2.5</w:t>
      </w:r>
      <w:r w:rsidR="00792DCE" w:rsidRPr="00D50CF9">
        <w:rPr>
          <w:b w:val="0"/>
        </w:rPr>
        <w:t xml:space="preserve"> at six intensive measurement stations in South Korea between 1 November, 2016 and 30 April, 2017.</w:t>
      </w:r>
    </w:p>
    <w:p w:rsidR="00792DCE" w:rsidRPr="00D50CF9" w:rsidRDefault="00792DCE" w:rsidP="00792DCE">
      <w:pPr>
        <w:rPr>
          <w:bCs/>
          <w:kern w:val="32"/>
          <w:sz w:val="20"/>
        </w:rPr>
      </w:pPr>
      <w:r w:rsidRPr="00D50CF9">
        <w:rPr>
          <w:b/>
          <w:sz w:val="20"/>
        </w:rPr>
        <w:br w:type="page"/>
      </w:r>
      <w:r w:rsidRPr="00D50CF9">
        <w:rPr>
          <w:b/>
          <w:noProof/>
          <w:sz w:val="20"/>
          <w:lang w:eastAsia="ko-KR"/>
        </w:rPr>
        <w:lastRenderedPageBreak/>
        <w:drawing>
          <wp:inline distT="0" distB="0" distL="0" distR="0" wp14:anchorId="26E2336F" wp14:editId="4EDBF992">
            <wp:extent cx="5485661" cy="1551305"/>
            <wp:effectExtent l="0" t="0" r="1270"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_S12.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85661" cy="1551305"/>
                    </a:xfrm>
                    <a:prstGeom prst="rect">
                      <a:avLst/>
                    </a:prstGeom>
                  </pic:spPr>
                </pic:pic>
              </a:graphicData>
            </a:graphic>
          </wp:inline>
        </w:drawing>
      </w:r>
    </w:p>
    <w:p w:rsidR="00792DCE" w:rsidRPr="00D50CF9" w:rsidRDefault="001D0A5C" w:rsidP="00792DCE">
      <w:pPr>
        <w:pStyle w:val="SMHeading"/>
      </w:pPr>
      <w:r w:rsidRPr="00D50CF9">
        <w:t xml:space="preserve">Supplementary </w:t>
      </w:r>
      <w:r w:rsidR="00792DCE" w:rsidRPr="00D50CF9">
        <w:t xml:space="preserve">Fig. </w:t>
      </w:r>
      <w:r w:rsidR="00792DCE" w:rsidRPr="00D50CF9">
        <w:rPr>
          <w:lang w:eastAsia="ko-KR"/>
        </w:rPr>
        <w:t>1</w:t>
      </w:r>
      <w:r w:rsidR="00792DCE" w:rsidRPr="00D50CF9">
        <w:t>2</w:t>
      </w:r>
      <w:r w:rsidR="00124062" w:rsidRPr="00D50CF9">
        <w:t xml:space="preserve"> </w:t>
      </w:r>
      <w:r w:rsidR="00124062" w:rsidRPr="00D50CF9">
        <w:rPr>
          <w:color w:val="000000"/>
        </w:rPr>
        <w:t>|</w:t>
      </w:r>
      <w:r w:rsidR="00792DCE" w:rsidRPr="00D50CF9">
        <w:t xml:space="preserve"> </w:t>
      </w:r>
      <w:r w:rsidR="00792DCE" w:rsidRPr="00D50CF9">
        <w:rPr>
          <w:b w:val="0"/>
        </w:rPr>
        <w:t>Comparisons between PM</w:t>
      </w:r>
      <w:r w:rsidR="00792DCE" w:rsidRPr="00D50CF9">
        <w:rPr>
          <w:b w:val="0"/>
          <w:vertAlign w:val="subscript"/>
        </w:rPr>
        <w:t xml:space="preserve">2.5 </w:t>
      </w:r>
      <w:r w:rsidR="00792DCE" w:rsidRPr="00D50CF9">
        <w:rPr>
          <w:b w:val="0"/>
        </w:rPr>
        <w:t>observations (black dashed line) and two PM</w:t>
      </w:r>
      <w:r w:rsidR="00792DCE" w:rsidRPr="00D50CF9">
        <w:rPr>
          <w:b w:val="0"/>
          <w:vertAlign w:val="subscript"/>
        </w:rPr>
        <w:t xml:space="preserve">2.5 </w:t>
      </w:r>
      <w:r w:rsidR="00792DCE" w:rsidRPr="00D50CF9">
        <w:rPr>
          <w:b w:val="0"/>
        </w:rPr>
        <w:t>predictions from K_ACheMS v2.0 (blue solid line) and CAMS (</w:t>
      </w:r>
      <w:r w:rsidR="00792DCE" w:rsidRPr="00D50CF9">
        <w:rPr>
          <w:b w:val="0"/>
          <w:lang w:eastAsia="ko-KR"/>
        </w:rPr>
        <w:t>CY</w:t>
      </w:r>
      <w:r w:rsidR="00792DCE" w:rsidRPr="00D50CF9">
        <w:rPr>
          <w:b w:val="0"/>
        </w:rPr>
        <w:t>47</w:t>
      </w:r>
      <w:r w:rsidR="00792DCE" w:rsidRPr="00D50CF9">
        <w:rPr>
          <w:b w:val="0"/>
          <w:lang w:eastAsia="ko-KR"/>
        </w:rPr>
        <w:t>R</w:t>
      </w:r>
      <w:r w:rsidR="00792DCE" w:rsidRPr="00D50CF9">
        <w:rPr>
          <w:b w:val="0"/>
        </w:rPr>
        <w:t>3) NRT products (yellow solid line). All PM</w:t>
      </w:r>
      <w:r w:rsidR="00792DCE" w:rsidRPr="00D50CF9">
        <w:rPr>
          <w:b w:val="0"/>
          <w:vertAlign w:val="subscript"/>
        </w:rPr>
        <w:t>2.5</w:t>
      </w:r>
      <w:r w:rsidR="00792DCE" w:rsidRPr="00D50CF9">
        <w:rPr>
          <w:b w:val="0"/>
        </w:rPr>
        <w:t xml:space="preserve"> values inside South Korea are aggregated in the plots.</w:t>
      </w:r>
    </w:p>
    <w:p w:rsidR="00792DCE" w:rsidRPr="00D50CF9" w:rsidRDefault="00792DCE" w:rsidP="00792DCE">
      <w:pPr>
        <w:rPr>
          <w:bCs/>
          <w:kern w:val="32"/>
          <w:sz w:val="20"/>
        </w:rPr>
      </w:pPr>
      <w:r w:rsidRPr="00D50CF9">
        <w:rPr>
          <w:b/>
          <w:sz w:val="20"/>
        </w:rPr>
        <w:br w:type="page"/>
      </w:r>
      <w:r w:rsidRPr="00D50CF9">
        <w:rPr>
          <w:b/>
          <w:noProof/>
          <w:sz w:val="20"/>
          <w:lang w:eastAsia="ko-KR"/>
        </w:rPr>
        <w:lastRenderedPageBreak/>
        <w:drawing>
          <wp:inline distT="0" distB="0" distL="0" distR="0" wp14:anchorId="6802447B" wp14:editId="3A0A18D9">
            <wp:extent cx="5486400" cy="3806825"/>
            <wp:effectExtent l="0" t="0" r="0" b="3175"/>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_S13.png"/>
                    <pic:cNvPicPr/>
                  </pic:nvPicPr>
                  <pic:blipFill>
                    <a:blip r:embed="rId19">
                      <a:extLst>
                        <a:ext uri="{28A0092B-C50C-407E-A947-70E740481C1C}">
                          <a14:useLocalDpi xmlns:a14="http://schemas.microsoft.com/office/drawing/2010/main" val="0"/>
                        </a:ext>
                      </a:extLst>
                    </a:blip>
                    <a:stretch>
                      <a:fillRect/>
                    </a:stretch>
                  </pic:blipFill>
                  <pic:spPr>
                    <a:xfrm>
                      <a:off x="0" y="0"/>
                      <a:ext cx="5486400" cy="3806825"/>
                    </a:xfrm>
                    <a:prstGeom prst="rect">
                      <a:avLst/>
                    </a:prstGeom>
                  </pic:spPr>
                </pic:pic>
              </a:graphicData>
            </a:graphic>
          </wp:inline>
        </w:drawing>
      </w:r>
    </w:p>
    <w:p w:rsidR="00792DCE" w:rsidRPr="00D50CF9" w:rsidRDefault="001D0A5C" w:rsidP="00792DCE">
      <w:pPr>
        <w:pStyle w:val="SMHeading"/>
        <w:jc w:val="both"/>
      </w:pPr>
      <w:r w:rsidRPr="00D50CF9">
        <w:t xml:space="preserve">Supplementary </w:t>
      </w:r>
      <w:r w:rsidR="00792DCE" w:rsidRPr="00D50CF9">
        <w:t xml:space="preserve">Fig. </w:t>
      </w:r>
      <w:r w:rsidR="00792DCE" w:rsidRPr="00D50CF9">
        <w:rPr>
          <w:lang w:eastAsia="ko-KR"/>
        </w:rPr>
        <w:t>13</w:t>
      </w:r>
      <w:r w:rsidR="00824AEB" w:rsidRPr="00D50CF9">
        <w:rPr>
          <w:lang w:eastAsia="ko-KR"/>
        </w:rPr>
        <w:t xml:space="preserve"> </w:t>
      </w:r>
      <w:r w:rsidR="00824AEB" w:rsidRPr="00D50CF9">
        <w:rPr>
          <w:color w:val="000000"/>
        </w:rPr>
        <w:t>|</w:t>
      </w:r>
      <w:r w:rsidR="00792DCE" w:rsidRPr="00D50CF9">
        <w:t xml:space="preserve"> </w:t>
      </w:r>
      <w:r w:rsidR="00792DCE" w:rsidRPr="00D50CF9">
        <w:rPr>
          <w:b w:val="0"/>
        </w:rPr>
        <w:t>Distribution of information in the original training dataset.</w:t>
      </w:r>
    </w:p>
    <w:p w:rsidR="00792DCE" w:rsidRPr="00D50CF9" w:rsidRDefault="00792DCE" w:rsidP="00792DCE">
      <w:pPr>
        <w:rPr>
          <w:bCs/>
          <w:kern w:val="32"/>
          <w:sz w:val="20"/>
        </w:rPr>
      </w:pPr>
      <w:r w:rsidRPr="00D50CF9">
        <w:rPr>
          <w:b/>
          <w:sz w:val="20"/>
        </w:rPr>
        <w:br w:type="page"/>
      </w:r>
      <w:r w:rsidRPr="00D50CF9">
        <w:rPr>
          <w:b/>
          <w:noProof/>
          <w:sz w:val="20"/>
          <w:lang w:eastAsia="ko-KR"/>
        </w:rPr>
        <w:lastRenderedPageBreak/>
        <w:drawing>
          <wp:inline distT="0" distB="0" distL="0" distR="0" wp14:anchorId="30680178" wp14:editId="210D1AC2">
            <wp:extent cx="5486400" cy="2313541"/>
            <wp:effectExtent l="0" t="0" r="0" b="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_S13.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86400" cy="2313541"/>
                    </a:xfrm>
                    <a:prstGeom prst="rect">
                      <a:avLst/>
                    </a:prstGeom>
                  </pic:spPr>
                </pic:pic>
              </a:graphicData>
            </a:graphic>
          </wp:inline>
        </w:drawing>
      </w:r>
    </w:p>
    <w:p w:rsidR="00792DCE" w:rsidRPr="00D50CF9" w:rsidRDefault="001D0A5C" w:rsidP="00792DCE">
      <w:pPr>
        <w:pStyle w:val="SMHeading"/>
        <w:jc w:val="both"/>
      </w:pPr>
      <w:r w:rsidRPr="00D50CF9">
        <w:t xml:space="preserve">Supplementary </w:t>
      </w:r>
      <w:r w:rsidR="00792DCE" w:rsidRPr="00D50CF9">
        <w:t xml:space="preserve">Fig. </w:t>
      </w:r>
      <w:r w:rsidR="00792DCE" w:rsidRPr="00D50CF9">
        <w:rPr>
          <w:lang w:eastAsia="ko-KR"/>
        </w:rPr>
        <w:t>14</w:t>
      </w:r>
      <w:r w:rsidR="00B546F9" w:rsidRPr="00D50CF9">
        <w:rPr>
          <w:lang w:eastAsia="ko-KR"/>
        </w:rPr>
        <w:t xml:space="preserve"> </w:t>
      </w:r>
      <w:r w:rsidR="00B546F9" w:rsidRPr="00D50CF9">
        <w:rPr>
          <w:color w:val="000000"/>
        </w:rPr>
        <w:t>|</w:t>
      </w:r>
      <w:r w:rsidR="00792DCE" w:rsidRPr="00D50CF9">
        <w:t xml:space="preserve"> </w:t>
      </w:r>
      <w:r w:rsidR="00792DCE" w:rsidRPr="00D50CF9">
        <w:rPr>
          <w:b w:val="0"/>
        </w:rPr>
        <w:t>Schematic diagram for cycle of data assimilations. To update initial conditions, data assimilations were carried out at every 00z with satellite-borne and/or ground observations.</w:t>
      </w:r>
    </w:p>
    <w:p w:rsidR="00792DCE" w:rsidRPr="00D50CF9" w:rsidRDefault="00792DCE" w:rsidP="00792DCE">
      <w:pPr>
        <w:rPr>
          <w:b/>
          <w:bCs/>
          <w:kern w:val="32"/>
          <w:sz w:val="20"/>
        </w:rPr>
      </w:pPr>
      <w:r w:rsidRPr="00D50CF9">
        <w:rPr>
          <w:sz w:val="20"/>
        </w:rPr>
        <w:br w:type="page"/>
      </w:r>
      <w:r w:rsidRPr="00D50CF9">
        <w:rPr>
          <w:b/>
          <w:noProof/>
          <w:sz w:val="20"/>
          <w:lang w:eastAsia="ko-KR"/>
        </w:rPr>
        <w:lastRenderedPageBreak/>
        <w:drawing>
          <wp:inline distT="0" distB="0" distL="0" distR="0" wp14:anchorId="0EC846DE" wp14:editId="34536394">
            <wp:extent cx="5389331" cy="5011346"/>
            <wp:effectExtent l="0" t="0" r="1905" b="0"/>
            <wp:docPr id="19"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_S15.png"/>
                    <pic:cNvPicPr/>
                  </pic:nvPicPr>
                  <pic:blipFill>
                    <a:blip r:embed="rId21">
                      <a:extLst>
                        <a:ext uri="{28A0092B-C50C-407E-A947-70E740481C1C}">
                          <a14:useLocalDpi xmlns:a14="http://schemas.microsoft.com/office/drawing/2010/main" val="0"/>
                        </a:ext>
                      </a:extLst>
                    </a:blip>
                    <a:stretch>
                      <a:fillRect/>
                    </a:stretch>
                  </pic:blipFill>
                  <pic:spPr>
                    <a:xfrm>
                      <a:off x="0" y="0"/>
                      <a:ext cx="5389331" cy="5011346"/>
                    </a:xfrm>
                    <a:prstGeom prst="rect">
                      <a:avLst/>
                    </a:prstGeom>
                  </pic:spPr>
                </pic:pic>
              </a:graphicData>
            </a:graphic>
          </wp:inline>
        </w:drawing>
      </w:r>
    </w:p>
    <w:p w:rsidR="00792DCE" w:rsidRPr="00D50CF9" w:rsidRDefault="001D0A5C" w:rsidP="00792DCE">
      <w:pPr>
        <w:pStyle w:val="SMHeading"/>
        <w:jc w:val="both"/>
        <w:rPr>
          <w:b w:val="0"/>
        </w:rPr>
      </w:pPr>
      <w:r w:rsidRPr="00D50CF9">
        <w:t xml:space="preserve">Supplementary </w:t>
      </w:r>
      <w:r w:rsidR="00792DCE" w:rsidRPr="00D50CF9">
        <w:t xml:space="preserve">Fig. </w:t>
      </w:r>
      <w:r w:rsidR="00792DCE" w:rsidRPr="00D50CF9">
        <w:rPr>
          <w:lang w:eastAsia="ko-KR"/>
        </w:rPr>
        <w:t>15</w:t>
      </w:r>
      <w:r w:rsidR="00193ED7" w:rsidRPr="00D50CF9">
        <w:rPr>
          <w:lang w:eastAsia="ko-KR"/>
        </w:rPr>
        <w:t xml:space="preserve"> </w:t>
      </w:r>
      <w:r w:rsidR="00193ED7" w:rsidRPr="00D50CF9">
        <w:rPr>
          <w:color w:val="000000"/>
        </w:rPr>
        <w:t>|</w:t>
      </w:r>
      <w:r w:rsidR="00792DCE" w:rsidRPr="00D50CF9">
        <w:t xml:space="preserve"> </w:t>
      </w:r>
      <w:r w:rsidR="00792DCE" w:rsidRPr="00D50CF9">
        <w:rPr>
          <w:b w:val="0"/>
        </w:rPr>
        <w:t>Schematic diagram for procedures of 24-hr predictions using K_ACheMS v2.0.</w:t>
      </w:r>
    </w:p>
    <w:p w:rsidR="00792DCE" w:rsidRPr="00D50CF9" w:rsidRDefault="00792DCE" w:rsidP="00792DCE">
      <w:pPr>
        <w:rPr>
          <w:sz w:val="20"/>
        </w:rPr>
      </w:pPr>
      <w:r w:rsidRPr="00D50CF9">
        <w:rPr>
          <w:sz w:val="20"/>
        </w:rPr>
        <w:br w:type="page"/>
      </w:r>
    </w:p>
    <w:p w:rsidR="00792DCE" w:rsidRPr="00D50CF9" w:rsidRDefault="001D0A5C" w:rsidP="00792DCE">
      <w:pPr>
        <w:pStyle w:val="SMHeading"/>
        <w:jc w:val="both"/>
      </w:pPr>
      <w:r w:rsidRPr="00D50CF9">
        <w:lastRenderedPageBreak/>
        <w:t xml:space="preserve">Supplementary </w:t>
      </w:r>
      <w:r w:rsidR="00792DCE" w:rsidRPr="00D50CF9">
        <w:t>Table 1</w:t>
      </w:r>
      <w:r w:rsidRPr="00D50CF9">
        <w:t xml:space="preserve"> |</w:t>
      </w:r>
      <w:r w:rsidR="00792DCE" w:rsidRPr="00D50CF9">
        <w:t xml:space="preserve"> </w:t>
      </w:r>
      <w:r w:rsidR="00792DCE" w:rsidRPr="00D50CF9">
        <w:rPr>
          <w:b w:val="0"/>
        </w:rPr>
        <w:t>Global and regional operational air quality prediction systems</w:t>
      </w:r>
      <w:r w:rsidR="00792DCE" w:rsidRPr="00D50CF9">
        <w:rPr>
          <w:b w:val="0"/>
          <w:lang w:eastAsia="ko-KR"/>
        </w:rPr>
        <w:t>.</w:t>
      </w:r>
    </w:p>
    <w:tbl>
      <w:tblPr>
        <w:tblStyle w:val="afff1"/>
        <w:tblW w:w="0" w:type="auto"/>
        <w:tblInd w:w="0" w:type="dxa"/>
        <w:tblLook w:val="04A0" w:firstRow="1" w:lastRow="0" w:firstColumn="1" w:lastColumn="0" w:noHBand="0" w:noVBand="1"/>
      </w:tblPr>
      <w:tblGrid>
        <w:gridCol w:w="1411"/>
        <w:gridCol w:w="1845"/>
        <w:gridCol w:w="2359"/>
        <w:gridCol w:w="1605"/>
        <w:gridCol w:w="1410"/>
      </w:tblGrid>
      <w:tr w:rsidR="00792DCE" w:rsidRPr="00D50CF9" w:rsidTr="00FF6C9B">
        <w:trPr>
          <w:trHeight w:val="227"/>
        </w:trPr>
        <w:tc>
          <w:tcPr>
            <w:tcW w:w="1411" w:type="dxa"/>
            <w:vAlign w:val="center"/>
          </w:tcPr>
          <w:p w:rsidR="00792DCE" w:rsidRPr="00D50CF9" w:rsidRDefault="00792DCE" w:rsidP="00FF6C9B">
            <w:pPr>
              <w:jc w:val="center"/>
              <w:rPr>
                <w:b/>
                <w:sz w:val="20"/>
              </w:rPr>
            </w:pPr>
            <w:r w:rsidRPr="00D50CF9">
              <w:rPr>
                <w:b/>
                <w:sz w:val="20"/>
              </w:rPr>
              <w:t>Model name</w:t>
            </w:r>
          </w:p>
        </w:tc>
        <w:tc>
          <w:tcPr>
            <w:tcW w:w="1845" w:type="dxa"/>
            <w:vAlign w:val="center"/>
          </w:tcPr>
          <w:p w:rsidR="00792DCE" w:rsidRPr="00D50CF9" w:rsidRDefault="00792DCE" w:rsidP="00FF6C9B">
            <w:pPr>
              <w:jc w:val="center"/>
              <w:rPr>
                <w:b/>
                <w:sz w:val="20"/>
              </w:rPr>
            </w:pPr>
            <w:r w:rsidRPr="00D50CF9">
              <w:rPr>
                <w:b/>
                <w:sz w:val="20"/>
              </w:rPr>
              <w:t>Organization</w:t>
            </w:r>
          </w:p>
          <w:p w:rsidR="00792DCE" w:rsidRPr="00D50CF9" w:rsidRDefault="00792DCE" w:rsidP="00FF6C9B">
            <w:pPr>
              <w:jc w:val="center"/>
              <w:rPr>
                <w:b/>
                <w:sz w:val="20"/>
              </w:rPr>
            </w:pPr>
            <w:r w:rsidRPr="00D50CF9">
              <w:rPr>
                <w:b/>
                <w:sz w:val="20"/>
              </w:rPr>
              <w:t>(Country)</w:t>
            </w:r>
          </w:p>
        </w:tc>
        <w:tc>
          <w:tcPr>
            <w:tcW w:w="2359" w:type="dxa"/>
            <w:vAlign w:val="center"/>
          </w:tcPr>
          <w:p w:rsidR="00792DCE" w:rsidRPr="00D50CF9" w:rsidRDefault="00792DCE" w:rsidP="00FF6C9B">
            <w:pPr>
              <w:jc w:val="center"/>
              <w:rPr>
                <w:b/>
                <w:sz w:val="20"/>
              </w:rPr>
            </w:pPr>
            <w:r w:rsidRPr="00D50CF9">
              <w:rPr>
                <w:b/>
                <w:sz w:val="20"/>
              </w:rPr>
              <w:t>Species for prediction</w:t>
            </w:r>
          </w:p>
        </w:tc>
        <w:tc>
          <w:tcPr>
            <w:tcW w:w="1605" w:type="dxa"/>
            <w:vAlign w:val="center"/>
          </w:tcPr>
          <w:p w:rsidR="00792DCE" w:rsidRPr="00D50CF9" w:rsidRDefault="00792DCE" w:rsidP="00FF6C9B">
            <w:pPr>
              <w:jc w:val="center"/>
              <w:rPr>
                <w:b/>
                <w:sz w:val="20"/>
              </w:rPr>
            </w:pPr>
            <w:r w:rsidRPr="00D50CF9">
              <w:rPr>
                <w:b/>
                <w:sz w:val="20"/>
              </w:rPr>
              <w:t>Resolution</w:t>
            </w:r>
          </w:p>
        </w:tc>
        <w:tc>
          <w:tcPr>
            <w:tcW w:w="1410" w:type="dxa"/>
            <w:vAlign w:val="center"/>
          </w:tcPr>
          <w:p w:rsidR="00792DCE" w:rsidRPr="00D50CF9" w:rsidRDefault="00792DCE" w:rsidP="00FF6C9B">
            <w:pPr>
              <w:jc w:val="center"/>
              <w:rPr>
                <w:b/>
                <w:sz w:val="20"/>
              </w:rPr>
            </w:pPr>
            <w:r w:rsidRPr="00D50CF9">
              <w:rPr>
                <w:b/>
                <w:sz w:val="20"/>
              </w:rPr>
              <w:t>Data assimilation</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C-IFS</w:t>
            </w:r>
            <w:r w:rsidRPr="00D50CF9">
              <w:rPr>
                <w:sz w:val="20"/>
                <w:vertAlign w:val="superscript"/>
              </w:rPr>
              <w:t>a,†</w:t>
            </w:r>
          </w:p>
        </w:tc>
        <w:tc>
          <w:tcPr>
            <w:tcW w:w="1845" w:type="dxa"/>
            <w:vAlign w:val="center"/>
          </w:tcPr>
          <w:p w:rsidR="00792DCE" w:rsidRPr="00D50CF9" w:rsidRDefault="00792DCE" w:rsidP="00FF6C9B">
            <w:pPr>
              <w:jc w:val="center"/>
              <w:rPr>
                <w:sz w:val="20"/>
              </w:rPr>
            </w:pPr>
            <w:r w:rsidRPr="00D50CF9">
              <w:rPr>
                <w:sz w:val="20"/>
              </w:rPr>
              <w:t>ECMWF, CAMS</w:t>
            </w:r>
            <w:r w:rsidRPr="00D50CF9">
              <w:rPr>
                <w:sz w:val="20"/>
                <w:vertAlign w:val="superscript"/>
              </w:rPr>
              <w:t>n</w:t>
            </w:r>
            <w:r w:rsidRPr="00D50CF9">
              <w:rPr>
                <w:sz w:val="20"/>
              </w:rPr>
              <w:t xml:space="preserve"> (EU)</w:t>
            </w:r>
          </w:p>
        </w:tc>
        <w:tc>
          <w:tcPr>
            <w:tcW w:w="2359" w:type="dxa"/>
            <w:vAlign w:val="center"/>
          </w:tcPr>
          <w:p w:rsidR="00792DCE" w:rsidRPr="00D50CF9" w:rsidRDefault="00792DCE" w:rsidP="00614735">
            <w:pPr>
              <w:jc w:val="center"/>
              <w:rPr>
                <w:sz w:val="20"/>
              </w:rPr>
            </w:pPr>
            <w:r w:rsidRPr="00D50CF9">
              <w:rPr>
                <w:sz w:val="20"/>
              </w:rPr>
              <w:t>PM</w:t>
            </w:r>
            <w:r w:rsidRPr="00D50CF9">
              <w:rPr>
                <w:sz w:val="20"/>
                <w:vertAlign w:val="subscript"/>
              </w:rPr>
              <w:t xml:space="preserve">2.5, </w:t>
            </w:r>
            <w:r w:rsidRPr="00D50CF9">
              <w:rPr>
                <w:sz w:val="20"/>
                <w:shd w:val="clear" w:color="auto" w:fill="FFFFFF"/>
              </w:rPr>
              <w:t>AOD, CO, O</w:t>
            </w:r>
            <w:r w:rsidRPr="00D50CF9">
              <w:rPr>
                <w:sz w:val="20"/>
                <w:shd w:val="clear" w:color="auto" w:fill="FFFFFF"/>
                <w:vertAlign w:val="subscript"/>
              </w:rPr>
              <w:t>3</w:t>
            </w:r>
            <w:r w:rsidRPr="00D50CF9">
              <w:rPr>
                <w:sz w:val="20"/>
                <w:shd w:val="clear" w:color="auto" w:fill="FFFFFF"/>
              </w:rPr>
              <w:t>, NO, NO</w:t>
            </w:r>
            <w:r w:rsidRPr="00D50CF9">
              <w:rPr>
                <w:sz w:val="20"/>
                <w:shd w:val="clear" w:color="auto" w:fill="FFFFFF"/>
                <w:vertAlign w:val="subscript"/>
              </w:rPr>
              <w:t>2</w:t>
            </w:r>
            <w:r w:rsidRPr="00D50CF9">
              <w:rPr>
                <w:sz w:val="20"/>
                <w:shd w:val="clear" w:color="auto" w:fill="FFFFFF"/>
              </w:rPr>
              <w:t>, SO</w:t>
            </w:r>
            <w:r w:rsidRPr="00D50CF9">
              <w:rPr>
                <w:sz w:val="20"/>
                <w:shd w:val="clear" w:color="auto" w:fill="FFFFFF"/>
                <w:vertAlign w:val="subscript"/>
              </w:rPr>
              <w:t>2</w:t>
            </w:r>
            <w:r w:rsidRPr="00D50CF9">
              <w:rPr>
                <w:sz w:val="20"/>
                <w:shd w:val="clear" w:color="auto" w:fill="FFFFFF"/>
              </w:rPr>
              <w:t>, desert dust, sea-salt, organic matter, BC, SO</w:t>
            </w:r>
            <w:r w:rsidRPr="00D50CF9">
              <w:rPr>
                <w:sz w:val="20"/>
                <w:shd w:val="clear" w:color="auto" w:fill="FFFFFF"/>
                <w:vertAlign w:val="subscript"/>
              </w:rPr>
              <w:t>4</w:t>
            </w:r>
            <w:r w:rsidRPr="00D50CF9">
              <w:rPr>
                <w:sz w:val="20"/>
                <w:shd w:val="clear" w:color="auto" w:fill="FFFFFF"/>
                <w:vertAlign w:val="superscript"/>
              </w:rPr>
              <w:t>2</w:t>
            </w:r>
            <w:r w:rsidR="00614735" w:rsidRPr="00EC7545">
              <w:rPr>
                <w:rFonts w:eastAsia="맑은 고딕"/>
                <w:szCs w:val="24"/>
                <w:vertAlign w:val="superscript"/>
              </w:rPr>
              <w:t>–</w:t>
            </w:r>
            <w:r w:rsidRPr="00D50CF9">
              <w:rPr>
                <w:sz w:val="20"/>
                <w:shd w:val="clear" w:color="auto" w:fill="FFFFFF"/>
              </w:rPr>
              <w:t>, NH</w:t>
            </w:r>
            <w:r w:rsidRPr="00D50CF9">
              <w:rPr>
                <w:sz w:val="20"/>
                <w:shd w:val="clear" w:color="auto" w:fill="FFFFFF"/>
                <w:vertAlign w:val="subscript"/>
              </w:rPr>
              <w:t>4</w:t>
            </w:r>
            <w:r w:rsidRPr="00D50CF9">
              <w:rPr>
                <w:sz w:val="20"/>
                <w:shd w:val="clear" w:color="auto" w:fill="FFFFFF"/>
                <w:vertAlign w:val="superscript"/>
              </w:rPr>
              <w:t>+</w:t>
            </w:r>
            <w:r w:rsidRPr="00D50CF9">
              <w:rPr>
                <w:sz w:val="20"/>
                <w:shd w:val="clear" w:color="auto" w:fill="FFFFFF"/>
              </w:rPr>
              <w:t>, NO</w:t>
            </w:r>
            <w:r w:rsidRPr="00D50CF9">
              <w:rPr>
                <w:sz w:val="20"/>
                <w:shd w:val="clear" w:color="auto" w:fill="FFFFFF"/>
                <w:vertAlign w:val="subscript"/>
              </w:rPr>
              <w:t>3</w:t>
            </w:r>
            <w:r w:rsidR="00614735" w:rsidRPr="00EC7545">
              <w:rPr>
                <w:rFonts w:eastAsia="맑은 고딕"/>
                <w:szCs w:val="24"/>
                <w:vertAlign w:val="superscript"/>
              </w:rPr>
              <w:t>–</w:t>
            </w:r>
            <w:r w:rsidRPr="00D50CF9">
              <w:rPr>
                <w:sz w:val="20"/>
                <w:shd w:val="clear" w:color="auto" w:fill="FFFFFF"/>
                <w:vertAlign w:val="subscript"/>
              </w:rPr>
              <w:t xml:space="preserve">, </w:t>
            </w:r>
            <w:r w:rsidRPr="00D50CF9">
              <w:rPr>
                <w:sz w:val="20"/>
                <w:shd w:val="clear" w:color="auto" w:fill="FFFFFF"/>
              </w:rPr>
              <w:t>and etc.</w:t>
            </w:r>
            <w:r w:rsidRPr="00D50CF9">
              <w:rPr>
                <w:sz w:val="20"/>
                <w:vertAlign w:val="subscript"/>
              </w:rPr>
              <w:t xml:space="preserve"> </w:t>
            </w:r>
          </w:p>
        </w:tc>
        <w:tc>
          <w:tcPr>
            <w:tcW w:w="1605" w:type="dxa"/>
            <w:vAlign w:val="center"/>
          </w:tcPr>
          <w:p w:rsidR="00792DCE" w:rsidRPr="00D50CF9" w:rsidRDefault="00792DCE" w:rsidP="00FF6C9B">
            <w:pPr>
              <w:jc w:val="center"/>
              <w:rPr>
                <w:sz w:val="20"/>
              </w:rPr>
            </w:pPr>
            <w:r w:rsidRPr="00D50CF9">
              <w:rPr>
                <w:sz w:val="20"/>
              </w:rPr>
              <w:t>0.4</w:t>
            </w:r>
            <w:r w:rsidRPr="00D50CF9">
              <w:rPr>
                <w:rFonts w:eastAsia="맑은 고딕"/>
                <w:sz w:val="20"/>
              </w:rPr>
              <w:t>°</w:t>
            </w:r>
            <w:r w:rsidRPr="00D50CF9">
              <w:rPr>
                <w:sz w:val="20"/>
              </w:rPr>
              <w:t>×0.4</w:t>
            </w:r>
            <w:r w:rsidRPr="00D50CF9">
              <w:rPr>
                <w:rFonts w:eastAsia="맑은 고딕"/>
                <w:sz w:val="20"/>
              </w:rPr>
              <w:t>°</w:t>
            </w:r>
          </w:p>
        </w:tc>
        <w:tc>
          <w:tcPr>
            <w:tcW w:w="1410" w:type="dxa"/>
            <w:vAlign w:val="center"/>
          </w:tcPr>
          <w:p w:rsidR="00792DCE" w:rsidRPr="00D50CF9" w:rsidRDefault="00792DCE" w:rsidP="00FF6C9B">
            <w:pPr>
              <w:jc w:val="center"/>
              <w:rPr>
                <w:sz w:val="20"/>
              </w:rPr>
            </w:pPr>
            <w:r w:rsidRPr="00D50CF9">
              <w:rPr>
                <w:sz w:val="20"/>
              </w:rPr>
              <w:t>4-D VAR</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GEOS-Chem</w:t>
            </w:r>
            <w:r w:rsidRPr="00D50CF9">
              <w:rPr>
                <w:sz w:val="20"/>
                <w:vertAlign w:val="superscript"/>
              </w:rPr>
              <w:t>b,†</w:t>
            </w:r>
          </w:p>
        </w:tc>
        <w:tc>
          <w:tcPr>
            <w:tcW w:w="1845" w:type="dxa"/>
            <w:vAlign w:val="center"/>
          </w:tcPr>
          <w:p w:rsidR="00792DCE" w:rsidRPr="00D50CF9" w:rsidRDefault="00792DCE" w:rsidP="00FF6C9B">
            <w:pPr>
              <w:jc w:val="center"/>
              <w:rPr>
                <w:sz w:val="20"/>
              </w:rPr>
            </w:pPr>
            <w:r w:rsidRPr="00D50CF9">
              <w:rPr>
                <w:sz w:val="20"/>
              </w:rPr>
              <w:t>NASA, GMAO</w:t>
            </w:r>
            <w:r w:rsidRPr="00D50CF9">
              <w:rPr>
                <w:sz w:val="20"/>
                <w:vertAlign w:val="superscript"/>
              </w:rPr>
              <w:t>o</w:t>
            </w:r>
          </w:p>
          <w:p w:rsidR="00792DCE" w:rsidRPr="00D50CF9" w:rsidRDefault="00792DCE" w:rsidP="00FF6C9B">
            <w:pPr>
              <w:jc w:val="center"/>
              <w:rPr>
                <w:sz w:val="20"/>
              </w:rPr>
            </w:pPr>
            <w:r w:rsidRPr="00D50CF9">
              <w:rPr>
                <w:sz w:val="20"/>
              </w:rPr>
              <w:t>(USA)</w:t>
            </w:r>
          </w:p>
        </w:tc>
        <w:tc>
          <w:tcPr>
            <w:tcW w:w="2359" w:type="dxa"/>
            <w:vAlign w:val="center"/>
          </w:tcPr>
          <w:p w:rsidR="00792DCE" w:rsidRPr="00D50CF9" w:rsidRDefault="00792DCE" w:rsidP="00FF6C9B">
            <w:pPr>
              <w:jc w:val="center"/>
              <w:rPr>
                <w:sz w:val="20"/>
              </w:rPr>
            </w:pPr>
            <w:r w:rsidRPr="00D50CF9">
              <w:rPr>
                <w:sz w:val="20"/>
              </w:rPr>
              <w:t>CO, NO</w:t>
            </w:r>
            <w:r w:rsidRPr="00D50CF9">
              <w:rPr>
                <w:sz w:val="20"/>
                <w:vertAlign w:val="subscript"/>
              </w:rPr>
              <w:t>2</w:t>
            </w:r>
            <w:r w:rsidRPr="00D50CF9">
              <w:rPr>
                <w:sz w:val="20"/>
              </w:rPr>
              <w:t>, O</w:t>
            </w:r>
            <w:r w:rsidRPr="00D50CF9">
              <w:rPr>
                <w:sz w:val="20"/>
                <w:vertAlign w:val="subscript"/>
              </w:rPr>
              <w:t>3</w:t>
            </w:r>
            <w:r w:rsidRPr="00D50CF9">
              <w:rPr>
                <w:sz w:val="20"/>
              </w:rPr>
              <w:softHyphen/>
              <w:t>, PM</w:t>
            </w:r>
            <w:r w:rsidRPr="00D50CF9">
              <w:rPr>
                <w:sz w:val="20"/>
                <w:vertAlign w:val="subscript"/>
              </w:rPr>
              <w:t>2.5</w:t>
            </w:r>
            <w:r w:rsidRPr="00D50CF9">
              <w:rPr>
                <w:sz w:val="20"/>
              </w:rPr>
              <w:t>, and SO</w:t>
            </w:r>
            <w:r w:rsidRPr="00D50CF9">
              <w:rPr>
                <w:sz w:val="20"/>
              </w:rPr>
              <w:softHyphen/>
            </w:r>
            <w:r w:rsidRPr="00D50CF9">
              <w:rPr>
                <w:sz w:val="20"/>
                <w:vertAlign w:val="subscript"/>
              </w:rPr>
              <w:t>2</w:t>
            </w:r>
          </w:p>
        </w:tc>
        <w:tc>
          <w:tcPr>
            <w:tcW w:w="1605" w:type="dxa"/>
            <w:vAlign w:val="center"/>
          </w:tcPr>
          <w:p w:rsidR="00792DCE" w:rsidRPr="00D50CF9" w:rsidRDefault="00792DCE" w:rsidP="00FF6C9B">
            <w:pPr>
              <w:jc w:val="center"/>
              <w:rPr>
                <w:sz w:val="20"/>
              </w:rPr>
            </w:pPr>
            <w:r w:rsidRPr="00D50CF9">
              <w:rPr>
                <w:sz w:val="20"/>
              </w:rPr>
              <w:t>0.25</w:t>
            </w:r>
            <w:r w:rsidRPr="00D50CF9">
              <w:rPr>
                <w:rFonts w:eastAsia="맑은 고딕"/>
                <w:sz w:val="20"/>
              </w:rPr>
              <w:t>°</w:t>
            </w:r>
            <w:r w:rsidR="00596C05">
              <w:rPr>
                <w:sz w:val="20"/>
              </w:rPr>
              <w:t>×0.</w:t>
            </w:r>
            <w:r w:rsidRPr="00D50CF9">
              <w:rPr>
                <w:sz w:val="20"/>
              </w:rPr>
              <w:t>25</w:t>
            </w:r>
            <w:r w:rsidRPr="00D50CF9">
              <w:rPr>
                <w:rFonts w:eastAsia="맑은 고딕"/>
                <w:sz w:val="20"/>
              </w:rPr>
              <w:t>°</w:t>
            </w:r>
          </w:p>
        </w:tc>
        <w:tc>
          <w:tcPr>
            <w:tcW w:w="1410" w:type="dxa"/>
            <w:vAlign w:val="center"/>
          </w:tcPr>
          <w:p w:rsidR="00792DCE" w:rsidRPr="00D50CF9" w:rsidRDefault="00792DCE" w:rsidP="00FF6C9B">
            <w:pPr>
              <w:jc w:val="center"/>
              <w:rPr>
                <w:sz w:val="20"/>
              </w:rPr>
            </w:pPr>
            <w:r w:rsidRPr="00D50CF9">
              <w:rPr>
                <w:sz w:val="20"/>
              </w:rPr>
              <w:t>-</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CHIMERE</w:t>
            </w:r>
            <w:r w:rsidRPr="00D50CF9">
              <w:rPr>
                <w:sz w:val="20"/>
                <w:vertAlign w:val="superscript"/>
              </w:rPr>
              <w:t>c,‡</w:t>
            </w:r>
          </w:p>
        </w:tc>
        <w:tc>
          <w:tcPr>
            <w:tcW w:w="1845" w:type="dxa"/>
            <w:vAlign w:val="center"/>
          </w:tcPr>
          <w:p w:rsidR="00792DCE" w:rsidRPr="00D50CF9" w:rsidRDefault="00792DCE" w:rsidP="00FF6C9B">
            <w:pPr>
              <w:jc w:val="center"/>
              <w:rPr>
                <w:sz w:val="20"/>
              </w:rPr>
            </w:pPr>
            <w:r w:rsidRPr="00D50CF9">
              <w:rPr>
                <w:sz w:val="20"/>
              </w:rPr>
              <w:t>INERIS, CNRS</w:t>
            </w:r>
            <w:r w:rsidRPr="00D50CF9">
              <w:rPr>
                <w:sz w:val="20"/>
                <w:vertAlign w:val="superscript"/>
              </w:rPr>
              <w:t>p</w:t>
            </w:r>
            <w:r w:rsidRPr="00D50CF9">
              <w:rPr>
                <w:sz w:val="20"/>
              </w:rPr>
              <w:t xml:space="preserve"> (France)</w:t>
            </w:r>
          </w:p>
        </w:tc>
        <w:tc>
          <w:tcPr>
            <w:tcW w:w="2359" w:type="dxa"/>
            <w:vAlign w:val="center"/>
          </w:tcPr>
          <w:p w:rsidR="00792DCE" w:rsidRPr="00D50CF9" w:rsidRDefault="00792DCE" w:rsidP="00FF6C9B">
            <w:pPr>
              <w:jc w:val="center"/>
              <w:rPr>
                <w:sz w:val="20"/>
              </w:rPr>
            </w:pPr>
            <w:r w:rsidRPr="00D50CF9">
              <w:rPr>
                <w:sz w:val="20"/>
              </w:rPr>
              <w:t>CO, NMVOCs, PM</w:t>
            </w:r>
            <w:r w:rsidRPr="00D50CF9">
              <w:rPr>
                <w:sz w:val="20"/>
                <w:vertAlign w:val="subscript"/>
              </w:rPr>
              <w:t>2.5</w:t>
            </w:r>
            <w:r w:rsidRPr="00D50CF9">
              <w:rPr>
                <w:sz w:val="20"/>
              </w:rPr>
              <w:t>, PANs, NH</w:t>
            </w:r>
            <w:r w:rsidRPr="00D50CF9">
              <w:rPr>
                <w:sz w:val="20"/>
                <w:vertAlign w:val="subscript"/>
              </w:rPr>
              <w:t>3</w:t>
            </w:r>
            <w:r w:rsidRPr="00D50CF9">
              <w:rPr>
                <w:sz w:val="20"/>
              </w:rPr>
              <w:t>, NO</w:t>
            </w:r>
            <w:r w:rsidRPr="00D50CF9">
              <w:rPr>
                <w:sz w:val="20"/>
                <w:vertAlign w:val="subscript"/>
              </w:rPr>
              <w:t>2</w:t>
            </w:r>
            <w:r w:rsidRPr="00D50CF9">
              <w:rPr>
                <w:sz w:val="20"/>
              </w:rPr>
              <w:t>, PM</w:t>
            </w:r>
            <w:r w:rsidRPr="00D50CF9">
              <w:rPr>
                <w:sz w:val="20"/>
                <w:vertAlign w:val="subscript"/>
              </w:rPr>
              <w:t>10</w:t>
            </w:r>
            <w:r w:rsidRPr="00D50CF9">
              <w:rPr>
                <w:sz w:val="20"/>
              </w:rPr>
              <w:t>, SO</w:t>
            </w:r>
            <w:r w:rsidRPr="00D50CF9">
              <w:rPr>
                <w:sz w:val="20"/>
                <w:vertAlign w:val="subscript"/>
              </w:rPr>
              <w:t>2</w:t>
            </w:r>
            <w:r w:rsidRPr="00D50CF9">
              <w:rPr>
                <w:sz w:val="20"/>
              </w:rPr>
              <w:t>, NO, O</w:t>
            </w:r>
            <w:r w:rsidRPr="00D50CF9">
              <w:rPr>
                <w:sz w:val="20"/>
                <w:vertAlign w:val="subscript"/>
              </w:rPr>
              <w:t>3</w:t>
            </w:r>
            <w:r w:rsidRPr="00D50CF9">
              <w:rPr>
                <w:sz w:val="20"/>
              </w:rPr>
              <w:t>, and EC</w:t>
            </w:r>
          </w:p>
        </w:tc>
        <w:tc>
          <w:tcPr>
            <w:tcW w:w="1605" w:type="dxa"/>
            <w:vAlign w:val="center"/>
          </w:tcPr>
          <w:p w:rsidR="00792DCE" w:rsidRPr="00D50CF9" w:rsidRDefault="00792DCE" w:rsidP="00FF6C9B">
            <w:pPr>
              <w:jc w:val="center"/>
              <w:rPr>
                <w:sz w:val="20"/>
              </w:rPr>
            </w:pPr>
            <w:r w:rsidRPr="00D50CF9">
              <w:rPr>
                <w:sz w:val="20"/>
              </w:rPr>
              <w:t>0.1</w:t>
            </w:r>
            <w:r w:rsidRPr="00D50CF9">
              <w:rPr>
                <w:rFonts w:eastAsia="맑은 고딕"/>
                <w:sz w:val="20"/>
              </w:rPr>
              <w:t>°</w:t>
            </w:r>
            <w:r w:rsidRPr="00D50CF9">
              <w:rPr>
                <w:sz w:val="20"/>
              </w:rPr>
              <w:t>×0.1</w:t>
            </w:r>
            <w:r w:rsidRPr="00D50CF9">
              <w:rPr>
                <w:rFonts w:eastAsia="맑은 고딕"/>
                <w:sz w:val="20"/>
              </w:rPr>
              <w:t>°</w:t>
            </w:r>
          </w:p>
        </w:tc>
        <w:tc>
          <w:tcPr>
            <w:tcW w:w="1410" w:type="dxa"/>
            <w:vAlign w:val="center"/>
          </w:tcPr>
          <w:p w:rsidR="00792DCE" w:rsidRPr="00D50CF9" w:rsidRDefault="00792DCE" w:rsidP="00FF6C9B">
            <w:pPr>
              <w:jc w:val="center"/>
              <w:rPr>
                <w:sz w:val="20"/>
              </w:rPr>
            </w:pPr>
            <w:r w:rsidRPr="00D50CF9">
              <w:rPr>
                <w:sz w:val="20"/>
              </w:rPr>
              <w:t>Kriging-based analysis</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EMEP</w:t>
            </w:r>
            <w:r w:rsidRPr="00D50CF9">
              <w:rPr>
                <w:sz w:val="20"/>
                <w:vertAlign w:val="superscript"/>
              </w:rPr>
              <w:t>d,‡</w:t>
            </w:r>
          </w:p>
        </w:tc>
        <w:tc>
          <w:tcPr>
            <w:tcW w:w="1845" w:type="dxa"/>
            <w:vAlign w:val="center"/>
          </w:tcPr>
          <w:p w:rsidR="00792DCE" w:rsidRPr="00D50CF9" w:rsidRDefault="00792DCE" w:rsidP="00FF6C9B">
            <w:pPr>
              <w:jc w:val="center"/>
              <w:rPr>
                <w:sz w:val="20"/>
              </w:rPr>
            </w:pPr>
            <w:r w:rsidRPr="00D50CF9">
              <w:rPr>
                <w:sz w:val="20"/>
              </w:rPr>
              <w:t>MET Norway</w:t>
            </w:r>
            <w:r w:rsidRPr="00D50CF9">
              <w:rPr>
                <w:sz w:val="20"/>
                <w:vertAlign w:val="superscript"/>
              </w:rPr>
              <w:t>q</w:t>
            </w:r>
          </w:p>
          <w:p w:rsidR="00792DCE" w:rsidRPr="00D50CF9" w:rsidRDefault="00792DCE" w:rsidP="00FF6C9B">
            <w:pPr>
              <w:jc w:val="center"/>
              <w:rPr>
                <w:sz w:val="20"/>
              </w:rPr>
            </w:pPr>
            <w:r w:rsidRPr="00D50CF9">
              <w:rPr>
                <w:sz w:val="20"/>
              </w:rPr>
              <w:t>(Norway)</w:t>
            </w:r>
          </w:p>
        </w:tc>
        <w:tc>
          <w:tcPr>
            <w:tcW w:w="2359" w:type="dxa"/>
            <w:vAlign w:val="center"/>
          </w:tcPr>
          <w:p w:rsidR="00792DCE" w:rsidRPr="00D50CF9" w:rsidRDefault="00792DCE" w:rsidP="00FF6C9B">
            <w:pPr>
              <w:jc w:val="center"/>
              <w:rPr>
                <w:sz w:val="20"/>
              </w:rPr>
            </w:pPr>
            <w:r w:rsidRPr="00D50CF9">
              <w:rPr>
                <w:sz w:val="20"/>
              </w:rPr>
              <w:t>CO, NMVOCs, PM</w:t>
            </w:r>
            <w:r w:rsidRPr="00D50CF9">
              <w:rPr>
                <w:sz w:val="20"/>
                <w:vertAlign w:val="subscript"/>
              </w:rPr>
              <w:t>2.5</w:t>
            </w:r>
            <w:r w:rsidRPr="00D50CF9">
              <w:rPr>
                <w:sz w:val="20"/>
              </w:rPr>
              <w:t>, PANs, NH</w:t>
            </w:r>
            <w:r w:rsidRPr="00D50CF9">
              <w:rPr>
                <w:sz w:val="20"/>
                <w:vertAlign w:val="subscript"/>
              </w:rPr>
              <w:t>3</w:t>
            </w:r>
            <w:r w:rsidRPr="00D50CF9">
              <w:rPr>
                <w:sz w:val="20"/>
              </w:rPr>
              <w:t>, NO</w:t>
            </w:r>
            <w:r w:rsidRPr="00D50CF9">
              <w:rPr>
                <w:sz w:val="20"/>
                <w:vertAlign w:val="subscript"/>
              </w:rPr>
              <w:t>2</w:t>
            </w:r>
            <w:r w:rsidRPr="00D50CF9">
              <w:rPr>
                <w:sz w:val="20"/>
              </w:rPr>
              <w:t>, PM</w:t>
            </w:r>
            <w:r w:rsidRPr="00D50CF9">
              <w:rPr>
                <w:sz w:val="20"/>
                <w:vertAlign w:val="subscript"/>
              </w:rPr>
              <w:t>10</w:t>
            </w:r>
            <w:r w:rsidRPr="00D50CF9">
              <w:rPr>
                <w:sz w:val="20"/>
              </w:rPr>
              <w:t>, SO</w:t>
            </w:r>
            <w:r w:rsidRPr="00D50CF9">
              <w:rPr>
                <w:sz w:val="20"/>
                <w:vertAlign w:val="subscript"/>
              </w:rPr>
              <w:t>2</w:t>
            </w:r>
            <w:r w:rsidRPr="00D50CF9">
              <w:rPr>
                <w:sz w:val="20"/>
              </w:rPr>
              <w:t>, NO, O</w:t>
            </w:r>
            <w:r w:rsidRPr="00D50CF9">
              <w:rPr>
                <w:sz w:val="20"/>
                <w:vertAlign w:val="subscript"/>
              </w:rPr>
              <w:t>3</w:t>
            </w:r>
            <w:r w:rsidRPr="00D50CF9">
              <w:rPr>
                <w:sz w:val="20"/>
              </w:rPr>
              <w:t>, and EC</w:t>
            </w:r>
          </w:p>
        </w:tc>
        <w:tc>
          <w:tcPr>
            <w:tcW w:w="1605" w:type="dxa"/>
            <w:vAlign w:val="center"/>
          </w:tcPr>
          <w:p w:rsidR="00792DCE" w:rsidRPr="00D50CF9" w:rsidRDefault="00792DCE" w:rsidP="00FF6C9B">
            <w:pPr>
              <w:jc w:val="center"/>
              <w:rPr>
                <w:sz w:val="20"/>
              </w:rPr>
            </w:pPr>
            <w:r w:rsidRPr="00D50CF9">
              <w:rPr>
                <w:sz w:val="20"/>
              </w:rPr>
              <w:t>0.125</w:t>
            </w:r>
            <w:r w:rsidRPr="00D50CF9">
              <w:rPr>
                <w:rFonts w:eastAsia="맑은 고딕"/>
                <w:sz w:val="20"/>
              </w:rPr>
              <w:t>°</w:t>
            </w:r>
            <w:r w:rsidRPr="00D50CF9">
              <w:rPr>
                <w:sz w:val="20"/>
              </w:rPr>
              <w:t>×0.0625</w:t>
            </w:r>
            <w:r w:rsidRPr="00D50CF9">
              <w:rPr>
                <w:rFonts w:eastAsia="맑은 고딕"/>
                <w:sz w:val="20"/>
              </w:rPr>
              <w:t>°</w:t>
            </w:r>
          </w:p>
        </w:tc>
        <w:tc>
          <w:tcPr>
            <w:tcW w:w="1410" w:type="dxa"/>
            <w:vAlign w:val="center"/>
          </w:tcPr>
          <w:p w:rsidR="00792DCE" w:rsidRPr="00D50CF9" w:rsidRDefault="00792DCE" w:rsidP="00FF6C9B">
            <w:pPr>
              <w:jc w:val="center"/>
              <w:rPr>
                <w:sz w:val="20"/>
              </w:rPr>
            </w:pPr>
            <w:r w:rsidRPr="00D50CF9">
              <w:rPr>
                <w:sz w:val="20"/>
              </w:rPr>
              <w:t>3-D VAR</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EURAD-IM</w:t>
            </w:r>
            <w:r w:rsidRPr="00D50CF9">
              <w:rPr>
                <w:sz w:val="20"/>
                <w:vertAlign w:val="superscript"/>
              </w:rPr>
              <w:t>e,‡</w:t>
            </w:r>
          </w:p>
        </w:tc>
        <w:tc>
          <w:tcPr>
            <w:tcW w:w="1845" w:type="dxa"/>
            <w:vAlign w:val="center"/>
          </w:tcPr>
          <w:p w:rsidR="00792DCE" w:rsidRPr="00D50CF9" w:rsidRDefault="00792DCE" w:rsidP="00FF6C9B">
            <w:pPr>
              <w:jc w:val="center"/>
              <w:rPr>
                <w:sz w:val="20"/>
              </w:rPr>
            </w:pPr>
            <w:r w:rsidRPr="00D50CF9">
              <w:rPr>
                <w:sz w:val="20"/>
              </w:rPr>
              <w:t>FZJ-IEK8</w:t>
            </w:r>
            <w:r w:rsidRPr="00D50CF9">
              <w:rPr>
                <w:sz w:val="20"/>
                <w:vertAlign w:val="superscript"/>
              </w:rPr>
              <w:t>r</w:t>
            </w:r>
          </w:p>
          <w:p w:rsidR="00792DCE" w:rsidRPr="00D50CF9" w:rsidRDefault="00792DCE" w:rsidP="00FF6C9B">
            <w:pPr>
              <w:jc w:val="center"/>
              <w:rPr>
                <w:sz w:val="20"/>
              </w:rPr>
            </w:pPr>
            <w:r w:rsidRPr="00D50CF9">
              <w:rPr>
                <w:sz w:val="20"/>
              </w:rPr>
              <w:t>(Germany)</w:t>
            </w:r>
          </w:p>
        </w:tc>
        <w:tc>
          <w:tcPr>
            <w:tcW w:w="2359" w:type="dxa"/>
            <w:vAlign w:val="center"/>
          </w:tcPr>
          <w:p w:rsidR="00792DCE" w:rsidRPr="00D50CF9" w:rsidRDefault="00792DCE" w:rsidP="00FF6C9B">
            <w:pPr>
              <w:jc w:val="center"/>
              <w:rPr>
                <w:sz w:val="20"/>
              </w:rPr>
            </w:pPr>
            <w:r w:rsidRPr="00D50CF9">
              <w:rPr>
                <w:sz w:val="20"/>
              </w:rPr>
              <w:t>CO, NMVOCs, PM</w:t>
            </w:r>
            <w:r w:rsidRPr="00D50CF9">
              <w:rPr>
                <w:sz w:val="20"/>
                <w:vertAlign w:val="subscript"/>
              </w:rPr>
              <w:t>2.5</w:t>
            </w:r>
            <w:r w:rsidRPr="00D50CF9">
              <w:rPr>
                <w:sz w:val="20"/>
              </w:rPr>
              <w:t>, PANs, NH</w:t>
            </w:r>
            <w:r w:rsidRPr="00D50CF9">
              <w:rPr>
                <w:sz w:val="20"/>
                <w:vertAlign w:val="subscript"/>
              </w:rPr>
              <w:t>3</w:t>
            </w:r>
            <w:r w:rsidRPr="00D50CF9">
              <w:rPr>
                <w:sz w:val="20"/>
              </w:rPr>
              <w:t>, NO</w:t>
            </w:r>
            <w:r w:rsidRPr="00D50CF9">
              <w:rPr>
                <w:sz w:val="20"/>
                <w:vertAlign w:val="subscript"/>
              </w:rPr>
              <w:t>2</w:t>
            </w:r>
            <w:r w:rsidRPr="00D50CF9">
              <w:rPr>
                <w:sz w:val="20"/>
              </w:rPr>
              <w:t>, PM</w:t>
            </w:r>
            <w:r w:rsidRPr="00D50CF9">
              <w:rPr>
                <w:sz w:val="20"/>
                <w:vertAlign w:val="subscript"/>
              </w:rPr>
              <w:t>10</w:t>
            </w:r>
            <w:r w:rsidRPr="00D50CF9">
              <w:rPr>
                <w:sz w:val="20"/>
              </w:rPr>
              <w:t>, SO</w:t>
            </w:r>
            <w:r w:rsidRPr="00D50CF9">
              <w:rPr>
                <w:sz w:val="20"/>
                <w:vertAlign w:val="subscript"/>
              </w:rPr>
              <w:t>2</w:t>
            </w:r>
            <w:r w:rsidRPr="00D50CF9">
              <w:rPr>
                <w:sz w:val="20"/>
              </w:rPr>
              <w:t>, NO, O</w:t>
            </w:r>
            <w:r w:rsidRPr="00D50CF9">
              <w:rPr>
                <w:sz w:val="20"/>
                <w:vertAlign w:val="subscript"/>
              </w:rPr>
              <w:t>3</w:t>
            </w:r>
            <w:r w:rsidRPr="00D50CF9">
              <w:rPr>
                <w:sz w:val="20"/>
              </w:rPr>
              <w:t>, and EC</w:t>
            </w:r>
          </w:p>
        </w:tc>
        <w:tc>
          <w:tcPr>
            <w:tcW w:w="1605" w:type="dxa"/>
            <w:vAlign w:val="center"/>
          </w:tcPr>
          <w:p w:rsidR="00792DCE" w:rsidRPr="00D50CF9" w:rsidRDefault="00792DCE" w:rsidP="00FF6C9B">
            <w:pPr>
              <w:jc w:val="center"/>
              <w:rPr>
                <w:sz w:val="20"/>
              </w:rPr>
            </w:pPr>
            <w:r w:rsidRPr="00D50CF9">
              <w:rPr>
                <w:sz w:val="20"/>
              </w:rPr>
              <w:t>9×9 km</w:t>
            </w:r>
            <w:r w:rsidRPr="00D50CF9">
              <w:rPr>
                <w:sz w:val="20"/>
                <w:vertAlign w:val="superscript"/>
              </w:rPr>
              <w:t>2</w:t>
            </w:r>
          </w:p>
        </w:tc>
        <w:tc>
          <w:tcPr>
            <w:tcW w:w="1410" w:type="dxa"/>
            <w:vAlign w:val="center"/>
          </w:tcPr>
          <w:p w:rsidR="00792DCE" w:rsidRPr="00D50CF9" w:rsidRDefault="00792DCE" w:rsidP="00FF6C9B">
            <w:pPr>
              <w:jc w:val="center"/>
              <w:rPr>
                <w:sz w:val="20"/>
              </w:rPr>
            </w:pPr>
            <w:r w:rsidRPr="00D50CF9">
              <w:rPr>
                <w:sz w:val="20"/>
              </w:rPr>
              <w:t>3-D VAR</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LOTOS-EUROS</w:t>
            </w:r>
            <w:r w:rsidRPr="00D50CF9">
              <w:rPr>
                <w:sz w:val="20"/>
                <w:vertAlign w:val="superscript"/>
              </w:rPr>
              <w:t>f,‡</w:t>
            </w:r>
          </w:p>
        </w:tc>
        <w:tc>
          <w:tcPr>
            <w:tcW w:w="1845" w:type="dxa"/>
            <w:vAlign w:val="center"/>
          </w:tcPr>
          <w:p w:rsidR="00792DCE" w:rsidRPr="00D50CF9" w:rsidRDefault="00792DCE" w:rsidP="00FF6C9B">
            <w:pPr>
              <w:jc w:val="center"/>
              <w:rPr>
                <w:sz w:val="20"/>
              </w:rPr>
            </w:pPr>
            <w:r w:rsidRPr="00D50CF9">
              <w:rPr>
                <w:sz w:val="20"/>
              </w:rPr>
              <w:t>KNMI, TNO</w:t>
            </w:r>
            <w:r w:rsidRPr="00D50CF9">
              <w:rPr>
                <w:sz w:val="20"/>
                <w:vertAlign w:val="superscript"/>
              </w:rPr>
              <w:t>s</w:t>
            </w:r>
            <w:r w:rsidRPr="00D50CF9">
              <w:rPr>
                <w:sz w:val="20"/>
              </w:rPr>
              <w:t xml:space="preserve"> (Netherlands)</w:t>
            </w:r>
          </w:p>
        </w:tc>
        <w:tc>
          <w:tcPr>
            <w:tcW w:w="2359" w:type="dxa"/>
            <w:vAlign w:val="center"/>
          </w:tcPr>
          <w:p w:rsidR="00792DCE" w:rsidRPr="00D50CF9" w:rsidRDefault="00792DCE" w:rsidP="00FF6C9B">
            <w:pPr>
              <w:jc w:val="center"/>
              <w:rPr>
                <w:sz w:val="20"/>
              </w:rPr>
            </w:pPr>
            <w:r w:rsidRPr="00D50CF9">
              <w:rPr>
                <w:sz w:val="20"/>
              </w:rPr>
              <w:t>CO, NMVOCs, PM</w:t>
            </w:r>
            <w:r w:rsidRPr="00D50CF9">
              <w:rPr>
                <w:sz w:val="20"/>
                <w:vertAlign w:val="subscript"/>
              </w:rPr>
              <w:t>2.5</w:t>
            </w:r>
            <w:r w:rsidRPr="00D50CF9">
              <w:rPr>
                <w:sz w:val="20"/>
              </w:rPr>
              <w:t>, PANs, NH</w:t>
            </w:r>
            <w:r w:rsidRPr="00D50CF9">
              <w:rPr>
                <w:sz w:val="20"/>
                <w:vertAlign w:val="subscript"/>
              </w:rPr>
              <w:t>3</w:t>
            </w:r>
            <w:r w:rsidRPr="00D50CF9">
              <w:rPr>
                <w:sz w:val="20"/>
              </w:rPr>
              <w:t>, NO</w:t>
            </w:r>
            <w:r w:rsidRPr="00D50CF9">
              <w:rPr>
                <w:sz w:val="20"/>
                <w:vertAlign w:val="subscript"/>
              </w:rPr>
              <w:t>2</w:t>
            </w:r>
            <w:r w:rsidRPr="00D50CF9">
              <w:rPr>
                <w:sz w:val="20"/>
              </w:rPr>
              <w:t>, PM</w:t>
            </w:r>
            <w:r w:rsidRPr="00D50CF9">
              <w:rPr>
                <w:sz w:val="20"/>
                <w:vertAlign w:val="subscript"/>
              </w:rPr>
              <w:t>10</w:t>
            </w:r>
            <w:r w:rsidRPr="00D50CF9">
              <w:rPr>
                <w:sz w:val="20"/>
              </w:rPr>
              <w:t>, SO</w:t>
            </w:r>
            <w:r w:rsidRPr="00D50CF9">
              <w:rPr>
                <w:sz w:val="20"/>
                <w:vertAlign w:val="subscript"/>
              </w:rPr>
              <w:t>2</w:t>
            </w:r>
            <w:r w:rsidRPr="00D50CF9">
              <w:rPr>
                <w:sz w:val="20"/>
              </w:rPr>
              <w:t>, NO, O</w:t>
            </w:r>
            <w:r w:rsidRPr="00D50CF9">
              <w:rPr>
                <w:sz w:val="20"/>
                <w:vertAlign w:val="subscript"/>
              </w:rPr>
              <w:t>3</w:t>
            </w:r>
            <w:r w:rsidRPr="00D50CF9">
              <w:rPr>
                <w:sz w:val="20"/>
              </w:rPr>
              <w:t>, and EC</w:t>
            </w:r>
          </w:p>
        </w:tc>
        <w:tc>
          <w:tcPr>
            <w:tcW w:w="1605" w:type="dxa"/>
            <w:vAlign w:val="center"/>
          </w:tcPr>
          <w:p w:rsidR="00792DCE" w:rsidRPr="00D50CF9" w:rsidRDefault="00792DCE" w:rsidP="00FF6C9B">
            <w:pPr>
              <w:jc w:val="center"/>
              <w:rPr>
                <w:sz w:val="20"/>
              </w:rPr>
            </w:pPr>
            <w:r w:rsidRPr="00D50CF9">
              <w:rPr>
                <w:sz w:val="20"/>
              </w:rPr>
              <w:t>0.1</w:t>
            </w:r>
            <w:r w:rsidRPr="00D50CF9">
              <w:rPr>
                <w:rFonts w:eastAsia="맑은 고딕"/>
                <w:sz w:val="20"/>
              </w:rPr>
              <w:t>°</w:t>
            </w:r>
            <w:r w:rsidRPr="00D50CF9">
              <w:rPr>
                <w:sz w:val="20"/>
              </w:rPr>
              <w:t>×0.1</w:t>
            </w:r>
            <w:r w:rsidRPr="00D50CF9">
              <w:rPr>
                <w:rFonts w:eastAsia="맑은 고딕"/>
                <w:sz w:val="20"/>
              </w:rPr>
              <w:t>°</w:t>
            </w:r>
          </w:p>
        </w:tc>
        <w:tc>
          <w:tcPr>
            <w:tcW w:w="1410" w:type="dxa"/>
            <w:vAlign w:val="center"/>
          </w:tcPr>
          <w:p w:rsidR="00792DCE" w:rsidRPr="00D50CF9" w:rsidRDefault="00792DCE" w:rsidP="00FF6C9B">
            <w:pPr>
              <w:jc w:val="center"/>
              <w:rPr>
                <w:sz w:val="20"/>
              </w:rPr>
            </w:pPr>
            <w:r w:rsidRPr="00D50CF9">
              <w:rPr>
                <w:sz w:val="20"/>
              </w:rPr>
              <w:t>EnKF</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MATCH</w:t>
            </w:r>
            <w:r w:rsidRPr="00D50CF9">
              <w:rPr>
                <w:sz w:val="20"/>
                <w:vertAlign w:val="superscript"/>
              </w:rPr>
              <w:t>g,‡</w:t>
            </w:r>
          </w:p>
        </w:tc>
        <w:tc>
          <w:tcPr>
            <w:tcW w:w="1845" w:type="dxa"/>
            <w:vAlign w:val="center"/>
          </w:tcPr>
          <w:p w:rsidR="00792DCE" w:rsidRPr="00D50CF9" w:rsidRDefault="00792DCE" w:rsidP="00FF6C9B">
            <w:pPr>
              <w:jc w:val="center"/>
              <w:rPr>
                <w:sz w:val="20"/>
              </w:rPr>
            </w:pPr>
            <w:r w:rsidRPr="00D50CF9">
              <w:rPr>
                <w:sz w:val="20"/>
              </w:rPr>
              <w:t>SMHI</w:t>
            </w:r>
            <w:r w:rsidRPr="00D50CF9">
              <w:rPr>
                <w:sz w:val="20"/>
                <w:vertAlign w:val="superscript"/>
              </w:rPr>
              <w:t>t</w:t>
            </w:r>
          </w:p>
          <w:p w:rsidR="00792DCE" w:rsidRPr="00D50CF9" w:rsidRDefault="00792DCE" w:rsidP="00FF6C9B">
            <w:pPr>
              <w:jc w:val="center"/>
              <w:rPr>
                <w:sz w:val="20"/>
              </w:rPr>
            </w:pPr>
            <w:r w:rsidRPr="00D50CF9">
              <w:rPr>
                <w:sz w:val="20"/>
              </w:rPr>
              <w:t>(Sweden)</w:t>
            </w:r>
          </w:p>
        </w:tc>
        <w:tc>
          <w:tcPr>
            <w:tcW w:w="2359" w:type="dxa"/>
            <w:vAlign w:val="center"/>
          </w:tcPr>
          <w:p w:rsidR="00792DCE" w:rsidRPr="00D50CF9" w:rsidRDefault="00792DCE" w:rsidP="00FF6C9B">
            <w:pPr>
              <w:jc w:val="center"/>
              <w:rPr>
                <w:sz w:val="20"/>
              </w:rPr>
            </w:pPr>
            <w:r w:rsidRPr="00D50CF9">
              <w:rPr>
                <w:sz w:val="20"/>
              </w:rPr>
              <w:t>CO, NMVOCs, PM</w:t>
            </w:r>
            <w:r w:rsidRPr="00D50CF9">
              <w:rPr>
                <w:sz w:val="20"/>
                <w:vertAlign w:val="subscript"/>
              </w:rPr>
              <w:t>2.5</w:t>
            </w:r>
            <w:r w:rsidRPr="00D50CF9">
              <w:rPr>
                <w:sz w:val="20"/>
              </w:rPr>
              <w:t>, PANs, NH</w:t>
            </w:r>
            <w:r w:rsidRPr="00D50CF9">
              <w:rPr>
                <w:sz w:val="20"/>
                <w:vertAlign w:val="subscript"/>
              </w:rPr>
              <w:t>3</w:t>
            </w:r>
            <w:r w:rsidRPr="00D50CF9">
              <w:rPr>
                <w:sz w:val="20"/>
              </w:rPr>
              <w:t>, NO</w:t>
            </w:r>
            <w:r w:rsidRPr="00D50CF9">
              <w:rPr>
                <w:sz w:val="20"/>
                <w:vertAlign w:val="subscript"/>
              </w:rPr>
              <w:t>2</w:t>
            </w:r>
            <w:r w:rsidRPr="00D50CF9">
              <w:rPr>
                <w:sz w:val="20"/>
              </w:rPr>
              <w:t>, PM</w:t>
            </w:r>
            <w:r w:rsidRPr="00D50CF9">
              <w:rPr>
                <w:sz w:val="20"/>
                <w:vertAlign w:val="subscript"/>
              </w:rPr>
              <w:t>10</w:t>
            </w:r>
            <w:r w:rsidRPr="00D50CF9">
              <w:rPr>
                <w:sz w:val="20"/>
              </w:rPr>
              <w:t>, SO</w:t>
            </w:r>
            <w:r w:rsidRPr="00D50CF9">
              <w:rPr>
                <w:sz w:val="20"/>
                <w:vertAlign w:val="subscript"/>
              </w:rPr>
              <w:t>2</w:t>
            </w:r>
            <w:r w:rsidRPr="00D50CF9">
              <w:rPr>
                <w:sz w:val="20"/>
              </w:rPr>
              <w:t>, NO, O</w:t>
            </w:r>
            <w:r w:rsidRPr="00D50CF9">
              <w:rPr>
                <w:sz w:val="20"/>
                <w:vertAlign w:val="subscript"/>
              </w:rPr>
              <w:t>3</w:t>
            </w:r>
            <w:r w:rsidRPr="00D50CF9">
              <w:rPr>
                <w:sz w:val="20"/>
              </w:rPr>
              <w:t>, and EC</w:t>
            </w:r>
          </w:p>
        </w:tc>
        <w:tc>
          <w:tcPr>
            <w:tcW w:w="1605" w:type="dxa"/>
            <w:vAlign w:val="center"/>
          </w:tcPr>
          <w:p w:rsidR="00792DCE" w:rsidRPr="00D50CF9" w:rsidRDefault="00792DCE" w:rsidP="00FF6C9B">
            <w:pPr>
              <w:jc w:val="center"/>
              <w:rPr>
                <w:sz w:val="20"/>
              </w:rPr>
            </w:pPr>
            <w:r w:rsidRPr="00D50CF9">
              <w:rPr>
                <w:sz w:val="20"/>
              </w:rPr>
              <w:t>0.1</w:t>
            </w:r>
            <w:r w:rsidRPr="00D50CF9">
              <w:rPr>
                <w:rFonts w:eastAsia="맑은 고딕"/>
                <w:sz w:val="20"/>
              </w:rPr>
              <w:t>°</w:t>
            </w:r>
            <w:r w:rsidRPr="00D50CF9">
              <w:rPr>
                <w:sz w:val="20"/>
              </w:rPr>
              <w:t>×0.1</w:t>
            </w:r>
            <w:r w:rsidRPr="00D50CF9">
              <w:rPr>
                <w:rFonts w:eastAsia="맑은 고딕"/>
                <w:sz w:val="20"/>
              </w:rPr>
              <w:t>°</w:t>
            </w:r>
          </w:p>
        </w:tc>
        <w:tc>
          <w:tcPr>
            <w:tcW w:w="1410" w:type="dxa"/>
            <w:vAlign w:val="center"/>
          </w:tcPr>
          <w:p w:rsidR="00792DCE" w:rsidRPr="00D50CF9" w:rsidRDefault="00792DCE" w:rsidP="00FF6C9B">
            <w:pPr>
              <w:jc w:val="center"/>
              <w:rPr>
                <w:sz w:val="20"/>
              </w:rPr>
            </w:pPr>
            <w:r w:rsidRPr="00D50CF9">
              <w:rPr>
                <w:sz w:val="20"/>
              </w:rPr>
              <w:t>3-D VAR</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MOCAGE</w:t>
            </w:r>
            <w:r w:rsidRPr="00D50CF9">
              <w:rPr>
                <w:sz w:val="20"/>
                <w:vertAlign w:val="superscript"/>
              </w:rPr>
              <w:t>h,‡</w:t>
            </w:r>
          </w:p>
        </w:tc>
        <w:tc>
          <w:tcPr>
            <w:tcW w:w="1845" w:type="dxa"/>
            <w:vAlign w:val="center"/>
          </w:tcPr>
          <w:p w:rsidR="00792DCE" w:rsidRPr="00D50CF9" w:rsidRDefault="00792DCE" w:rsidP="00FF6C9B">
            <w:pPr>
              <w:jc w:val="center"/>
              <w:rPr>
                <w:sz w:val="20"/>
              </w:rPr>
            </w:pPr>
            <w:r w:rsidRPr="00D50CF9">
              <w:rPr>
                <w:sz w:val="20"/>
              </w:rPr>
              <w:t>Meteo-France</w:t>
            </w:r>
            <w:r w:rsidRPr="00D50CF9">
              <w:rPr>
                <w:sz w:val="20"/>
                <w:vertAlign w:val="superscript"/>
              </w:rPr>
              <w:t>u</w:t>
            </w:r>
          </w:p>
          <w:p w:rsidR="00792DCE" w:rsidRPr="00D50CF9" w:rsidRDefault="00792DCE" w:rsidP="00FF6C9B">
            <w:pPr>
              <w:jc w:val="center"/>
              <w:rPr>
                <w:sz w:val="20"/>
              </w:rPr>
            </w:pPr>
            <w:r w:rsidRPr="00D50CF9">
              <w:rPr>
                <w:sz w:val="20"/>
              </w:rPr>
              <w:t>(France)</w:t>
            </w:r>
          </w:p>
        </w:tc>
        <w:tc>
          <w:tcPr>
            <w:tcW w:w="2359" w:type="dxa"/>
            <w:vAlign w:val="center"/>
          </w:tcPr>
          <w:p w:rsidR="00792DCE" w:rsidRPr="00D50CF9" w:rsidRDefault="00792DCE" w:rsidP="00FF6C9B">
            <w:pPr>
              <w:jc w:val="center"/>
              <w:rPr>
                <w:sz w:val="20"/>
              </w:rPr>
            </w:pPr>
            <w:r w:rsidRPr="00D50CF9">
              <w:rPr>
                <w:sz w:val="20"/>
              </w:rPr>
              <w:t>CO, NMVOCs, PM</w:t>
            </w:r>
            <w:r w:rsidRPr="00D50CF9">
              <w:rPr>
                <w:sz w:val="20"/>
                <w:vertAlign w:val="subscript"/>
              </w:rPr>
              <w:t>2.5</w:t>
            </w:r>
            <w:r w:rsidRPr="00D50CF9">
              <w:rPr>
                <w:sz w:val="20"/>
              </w:rPr>
              <w:t>, PANs, NH</w:t>
            </w:r>
            <w:r w:rsidRPr="00D50CF9">
              <w:rPr>
                <w:sz w:val="20"/>
                <w:vertAlign w:val="subscript"/>
              </w:rPr>
              <w:t>3</w:t>
            </w:r>
            <w:r w:rsidRPr="00D50CF9">
              <w:rPr>
                <w:sz w:val="20"/>
              </w:rPr>
              <w:t>, NO</w:t>
            </w:r>
            <w:r w:rsidRPr="00D50CF9">
              <w:rPr>
                <w:sz w:val="20"/>
                <w:vertAlign w:val="subscript"/>
              </w:rPr>
              <w:t>2</w:t>
            </w:r>
            <w:r w:rsidRPr="00D50CF9">
              <w:rPr>
                <w:sz w:val="20"/>
              </w:rPr>
              <w:t>, PM</w:t>
            </w:r>
            <w:r w:rsidRPr="00D50CF9">
              <w:rPr>
                <w:sz w:val="20"/>
                <w:vertAlign w:val="subscript"/>
              </w:rPr>
              <w:t>10</w:t>
            </w:r>
            <w:r w:rsidRPr="00D50CF9">
              <w:rPr>
                <w:sz w:val="20"/>
              </w:rPr>
              <w:t>, SO</w:t>
            </w:r>
            <w:r w:rsidRPr="00D50CF9">
              <w:rPr>
                <w:sz w:val="20"/>
                <w:vertAlign w:val="subscript"/>
              </w:rPr>
              <w:t>2</w:t>
            </w:r>
            <w:r w:rsidRPr="00D50CF9">
              <w:rPr>
                <w:sz w:val="20"/>
              </w:rPr>
              <w:t>, NO, O</w:t>
            </w:r>
            <w:r w:rsidRPr="00D50CF9">
              <w:rPr>
                <w:sz w:val="20"/>
                <w:vertAlign w:val="subscript"/>
              </w:rPr>
              <w:t>3</w:t>
            </w:r>
            <w:r w:rsidRPr="00D50CF9">
              <w:rPr>
                <w:sz w:val="20"/>
              </w:rPr>
              <w:t>, and EC</w:t>
            </w:r>
          </w:p>
        </w:tc>
        <w:tc>
          <w:tcPr>
            <w:tcW w:w="1605" w:type="dxa"/>
            <w:vAlign w:val="center"/>
          </w:tcPr>
          <w:p w:rsidR="00792DCE" w:rsidRPr="00D50CF9" w:rsidRDefault="00792DCE" w:rsidP="00FF6C9B">
            <w:pPr>
              <w:jc w:val="center"/>
              <w:rPr>
                <w:sz w:val="20"/>
              </w:rPr>
            </w:pPr>
            <w:r w:rsidRPr="00D50CF9">
              <w:rPr>
                <w:sz w:val="20"/>
              </w:rPr>
              <w:t>0.1</w:t>
            </w:r>
            <w:r w:rsidRPr="00D50CF9">
              <w:rPr>
                <w:rFonts w:eastAsia="맑은 고딕"/>
                <w:sz w:val="20"/>
              </w:rPr>
              <w:t>°</w:t>
            </w:r>
            <w:r w:rsidRPr="00D50CF9">
              <w:rPr>
                <w:sz w:val="20"/>
              </w:rPr>
              <w:t>×0.1</w:t>
            </w:r>
            <w:r w:rsidRPr="00D50CF9">
              <w:rPr>
                <w:rFonts w:eastAsia="맑은 고딕"/>
                <w:sz w:val="20"/>
              </w:rPr>
              <w:t>°</w:t>
            </w:r>
          </w:p>
        </w:tc>
        <w:tc>
          <w:tcPr>
            <w:tcW w:w="1410" w:type="dxa"/>
            <w:vAlign w:val="center"/>
          </w:tcPr>
          <w:p w:rsidR="00792DCE" w:rsidRPr="00D50CF9" w:rsidRDefault="00792DCE" w:rsidP="00FF6C9B">
            <w:pPr>
              <w:jc w:val="center"/>
              <w:rPr>
                <w:sz w:val="20"/>
              </w:rPr>
            </w:pPr>
            <w:r w:rsidRPr="00D50CF9">
              <w:rPr>
                <w:sz w:val="20"/>
              </w:rPr>
              <w:t>3-D VAR</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SILAM</w:t>
            </w:r>
            <w:r w:rsidRPr="00D50CF9">
              <w:rPr>
                <w:sz w:val="20"/>
                <w:vertAlign w:val="superscript"/>
              </w:rPr>
              <w:t>i,‡</w:t>
            </w:r>
          </w:p>
        </w:tc>
        <w:tc>
          <w:tcPr>
            <w:tcW w:w="1845" w:type="dxa"/>
            <w:vAlign w:val="center"/>
          </w:tcPr>
          <w:p w:rsidR="00792DCE" w:rsidRPr="00D50CF9" w:rsidRDefault="00792DCE" w:rsidP="00FF6C9B">
            <w:pPr>
              <w:jc w:val="center"/>
              <w:rPr>
                <w:sz w:val="20"/>
              </w:rPr>
            </w:pPr>
            <w:r w:rsidRPr="00D50CF9">
              <w:rPr>
                <w:sz w:val="20"/>
              </w:rPr>
              <w:t>FMI</w:t>
            </w:r>
            <w:r w:rsidRPr="00D50CF9">
              <w:rPr>
                <w:sz w:val="20"/>
                <w:vertAlign w:val="superscript"/>
              </w:rPr>
              <w:t>v</w:t>
            </w:r>
          </w:p>
          <w:p w:rsidR="00792DCE" w:rsidRPr="00D50CF9" w:rsidRDefault="00792DCE" w:rsidP="00FF6C9B">
            <w:pPr>
              <w:jc w:val="center"/>
              <w:rPr>
                <w:sz w:val="20"/>
              </w:rPr>
            </w:pPr>
            <w:r w:rsidRPr="00D50CF9">
              <w:rPr>
                <w:sz w:val="20"/>
              </w:rPr>
              <w:t>(Finland)</w:t>
            </w:r>
          </w:p>
        </w:tc>
        <w:tc>
          <w:tcPr>
            <w:tcW w:w="2359" w:type="dxa"/>
            <w:vAlign w:val="center"/>
          </w:tcPr>
          <w:p w:rsidR="00792DCE" w:rsidRPr="00D50CF9" w:rsidRDefault="00792DCE" w:rsidP="00FF6C9B">
            <w:pPr>
              <w:jc w:val="center"/>
              <w:rPr>
                <w:sz w:val="20"/>
              </w:rPr>
            </w:pPr>
            <w:r w:rsidRPr="00D50CF9">
              <w:rPr>
                <w:sz w:val="20"/>
              </w:rPr>
              <w:t>CO, NMVOCs, PM</w:t>
            </w:r>
            <w:r w:rsidRPr="00D50CF9">
              <w:rPr>
                <w:sz w:val="20"/>
                <w:vertAlign w:val="subscript"/>
              </w:rPr>
              <w:t>2.5</w:t>
            </w:r>
            <w:r w:rsidRPr="00D50CF9">
              <w:rPr>
                <w:sz w:val="20"/>
              </w:rPr>
              <w:t>, PANs, NH</w:t>
            </w:r>
            <w:r w:rsidRPr="00D50CF9">
              <w:rPr>
                <w:sz w:val="20"/>
                <w:vertAlign w:val="subscript"/>
              </w:rPr>
              <w:t>3</w:t>
            </w:r>
            <w:r w:rsidRPr="00D50CF9">
              <w:rPr>
                <w:sz w:val="20"/>
              </w:rPr>
              <w:t>, NO</w:t>
            </w:r>
            <w:r w:rsidRPr="00D50CF9">
              <w:rPr>
                <w:sz w:val="20"/>
                <w:vertAlign w:val="subscript"/>
              </w:rPr>
              <w:t>2</w:t>
            </w:r>
            <w:r w:rsidRPr="00D50CF9">
              <w:rPr>
                <w:sz w:val="20"/>
              </w:rPr>
              <w:t>, PM</w:t>
            </w:r>
            <w:r w:rsidRPr="00D50CF9">
              <w:rPr>
                <w:sz w:val="20"/>
                <w:vertAlign w:val="subscript"/>
              </w:rPr>
              <w:t>10</w:t>
            </w:r>
            <w:r w:rsidRPr="00D50CF9">
              <w:rPr>
                <w:sz w:val="20"/>
              </w:rPr>
              <w:t>, SO</w:t>
            </w:r>
            <w:r w:rsidRPr="00D50CF9">
              <w:rPr>
                <w:sz w:val="20"/>
                <w:vertAlign w:val="subscript"/>
              </w:rPr>
              <w:t>2</w:t>
            </w:r>
            <w:r w:rsidRPr="00D50CF9">
              <w:rPr>
                <w:sz w:val="20"/>
              </w:rPr>
              <w:t>, NO, O</w:t>
            </w:r>
            <w:r w:rsidRPr="00D50CF9">
              <w:rPr>
                <w:sz w:val="20"/>
                <w:vertAlign w:val="subscript"/>
              </w:rPr>
              <w:t>3</w:t>
            </w:r>
            <w:r w:rsidRPr="00D50CF9">
              <w:rPr>
                <w:sz w:val="20"/>
              </w:rPr>
              <w:t>, and EC</w:t>
            </w:r>
          </w:p>
        </w:tc>
        <w:tc>
          <w:tcPr>
            <w:tcW w:w="1605" w:type="dxa"/>
            <w:vAlign w:val="center"/>
          </w:tcPr>
          <w:p w:rsidR="00792DCE" w:rsidRPr="00D50CF9" w:rsidRDefault="00792DCE" w:rsidP="00FF6C9B">
            <w:pPr>
              <w:jc w:val="center"/>
              <w:rPr>
                <w:rFonts w:eastAsia="맑은 고딕"/>
                <w:sz w:val="20"/>
              </w:rPr>
            </w:pPr>
            <w:r w:rsidRPr="00D50CF9">
              <w:rPr>
                <w:sz w:val="20"/>
              </w:rPr>
              <w:t>0.1</w:t>
            </w:r>
            <w:r w:rsidRPr="00D50CF9">
              <w:rPr>
                <w:rFonts w:eastAsia="맑은 고딕"/>
                <w:sz w:val="20"/>
              </w:rPr>
              <w:t>°</w:t>
            </w:r>
            <w:r w:rsidRPr="00D50CF9">
              <w:rPr>
                <w:sz w:val="20"/>
              </w:rPr>
              <w:t>×0.1</w:t>
            </w:r>
            <w:r w:rsidRPr="00D50CF9">
              <w:rPr>
                <w:rFonts w:eastAsia="맑은 고딕"/>
                <w:sz w:val="20"/>
              </w:rPr>
              <w:t>°</w:t>
            </w:r>
          </w:p>
        </w:tc>
        <w:tc>
          <w:tcPr>
            <w:tcW w:w="1410" w:type="dxa"/>
            <w:vAlign w:val="center"/>
          </w:tcPr>
          <w:p w:rsidR="00792DCE" w:rsidRPr="00D50CF9" w:rsidRDefault="00792DCE" w:rsidP="00FF6C9B">
            <w:pPr>
              <w:jc w:val="center"/>
              <w:rPr>
                <w:sz w:val="20"/>
              </w:rPr>
            </w:pPr>
            <w:r w:rsidRPr="00D50CF9">
              <w:rPr>
                <w:sz w:val="20"/>
              </w:rPr>
              <w:t>3-D VAR</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DEHM</w:t>
            </w:r>
            <w:r w:rsidRPr="00D50CF9">
              <w:rPr>
                <w:sz w:val="20"/>
                <w:vertAlign w:val="superscript"/>
              </w:rPr>
              <w:t>j,‡</w:t>
            </w:r>
          </w:p>
        </w:tc>
        <w:tc>
          <w:tcPr>
            <w:tcW w:w="1845" w:type="dxa"/>
            <w:vAlign w:val="center"/>
          </w:tcPr>
          <w:p w:rsidR="00792DCE" w:rsidRPr="00D50CF9" w:rsidRDefault="00792DCE" w:rsidP="00FF6C9B">
            <w:pPr>
              <w:jc w:val="center"/>
              <w:rPr>
                <w:sz w:val="20"/>
              </w:rPr>
            </w:pPr>
            <w:r w:rsidRPr="00D50CF9">
              <w:rPr>
                <w:sz w:val="20"/>
              </w:rPr>
              <w:t>Aarhus University</w:t>
            </w:r>
          </w:p>
          <w:p w:rsidR="00792DCE" w:rsidRPr="00D50CF9" w:rsidRDefault="00792DCE" w:rsidP="00FF6C9B">
            <w:pPr>
              <w:jc w:val="center"/>
              <w:rPr>
                <w:sz w:val="20"/>
              </w:rPr>
            </w:pPr>
            <w:r w:rsidRPr="00D50CF9">
              <w:rPr>
                <w:sz w:val="20"/>
              </w:rPr>
              <w:t>(Denmark)</w:t>
            </w:r>
          </w:p>
        </w:tc>
        <w:tc>
          <w:tcPr>
            <w:tcW w:w="2359" w:type="dxa"/>
            <w:vAlign w:val="center"/>
          </w:tcPr>
          <w:p w:rsidR="00792DCE" w:rsidRPr="00D50CF9" w:rsidRDefault="00792DCE" w:rsidP="00FF6C9B">
            <w:pPr>
              <w:jc w:val="center"/>
              <w:rPr>
                <w:sz w:val="20"/>
              </w:rPr>
            </w:pPr>
            <w:r w:rsidRPr="00D50CF9">
              <w:rPr>
                <w:sz w:val="20"/>
              </w:rPr>
              <w:t>CO, NMVOCs, PM</w:t>
            </w:r>
            <w:r w:rsidRPr="00D50CF9">
              <w:rPr>
                <w:sz w:val="20"/>
                <w:vertAlign w:val="subscript"/>
              </w:rPr>
              <w:t>2.5</w:t>
            </w:r>
            <w:r w:rsidRPr="00D50CF9">
              <w:rPr>
                <w:sz w:val="20"/>
              </w:rPr>
              <w:t>, PANs, NH</w:t>
            </w:r>
            <w:r w:rsidRPr="00D50CF9">
              <w:rPr>
                <w:sz w:val="20"/>
                <w:vertAlign w:val="subscript"/>
              </w:rPr>
              <w:t>3</w:t>
            </w:r>
            <w:r w:rsidRPr="00D50CF9">
              <w:rPr>
                <w:sz w:val="20"/>
              </w:rPr>
              <w:t>, NO</w:t>
            </w:r>
            <w:r w:rsidRPr="00D50CF9">
              <w:rPr>
                <w:sz w:val="20"/>
                <w:vertAlign w:val="subscript"/>
              </w:rPr>
              <w:t>2</w:t>
            </w:r>
            <w:r w:rsidRPr="00D50CF9">
              <w:rPr>
                <w:sz w:val="20"/>
              </w:rPr>
              <w:t>, PM</w:t>
            </w:r>
            <w:r w:rsidRPr="00D50CF9">
              <w:rPr>
                <w:sz w:val="20"/>
                <w:vertAlign w:val="subscript"/>
              </w:rPr>
              <w:t>10</w:t>
            </w:r>
            <w:r w:rsidRPr="00D50CF9">
              <w:rPr>
                <w:sz w:val="20"/>
              </w:rPr>
              <w:t>, SO</w:t>
            </w:r>
            <w:r w:rsidRPr="00D50CF9">
              <w:rPr>
                <w:sz w:val="20"/>
                <w:vertAlign w:val="subscript"/>
              </w:rPr>
              <w:t>2</w:t>
            </w:r>
            <w:r w:rsidRPr="00D50CF9">
              <w:rPr>
                <w:sz w:val="20"/>
              </w:rPr>
              <w:t>, NO, O</w:t>
            </w:r>
            <w:r w:rsidRPr="00D50CF9">
              <w:rPr>
                <w:sz w:val="20"/>
                <w:vertAlign w:val="subscript"/>
              </w:rPr>
              <w:t>3</w:t>
            </w:r>
            <w:r w:rsidRPr="00D50CF9">
              <w:rPr>
                <w:sz w:val="20"/>
              </w:rPr>
              <w:t>, and EC</w:t>
            </w:r>
          </w:p>
        </w:tc>
        <w:tc>
          <w:tcPr>
            <w:tcW w:w="1605" w:type="dxa"/>
            <w:vAlign w:val="center"/>
          </w:tcPr>
          <w:p w:rsidR="00792DCE" w:rsidRPr="00D50CF9" w:rsidRDefault="00792DCE" w:rsidP="00FF6C9B">
            <w:pPr>
              <w:jc w:val="center"/>
              <w:rPr>
                <w:sz w:val="20"/>
              </w:rPr>
            </w:pPr>
            <w:r w:rsidRPr="00D50CF9">
              <w:rPr>
                <w:sz w:val="20"/>
              </w:rPr>
              <w:t>18×18 km</w:t>
            </w:r>
            <w:r w:rsidRPr="00D50CF9">
              <w:rPr>
                <w:sz w:val="20"/>
                <w:vertAlign w:val="superscript"/>
              </w:rPr>
              <w:t>2</w:t>
            </w:r>
          </w:p>
        </w:tc>
        <w:tc>
          <w:tcPr>
            <w:tcW w:w="1410" w:type="dxa"/>
            <w:vAlign w:val="center"/>
          </w:tcPr>
          <w:p w:rsidR="00792DCE" w:rsidRPr="00D50CF9" w:rsidRDefault="00792DCE" w:rsidP="00FF6C9B">
            <w:pPr>
              <w:jc w:val="center"/>
              <w:rPr>
                <w:sz w:val="20"/>
              </w:rPr>
            </w:pPr>
            <w:r w:rsidRPr="00D50CF9">
              <w:rPr>
                <w:sz w:val="20"/>
              </w:rPr>
              <w:t>OI</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GEM-AQ</w:t>
            </w:r>
            <w:r w:rsidRPr="00D50CF9">
              <w:rPr>
                <w:sz w:val="20"/>
                <w:vertAlign w:val="superscript"/>
              </w:rPr>
              <w:t>k,‡</w:t>
            </w:r>
          </w:p>
        </w:tc>
        <w:tc>
          <w:tcPr>
            <w:tcW w:w="1845" w:type="dxa"/>
            <w:vAlign w:val="center"/>
          </w:tcPr>
          <w:p w:rsidR="00792DCE" w:rsidRPr="00D50CF9" w:rsidRDefault="00792DCE" w:rsidP="00FF6C9B">
            <w:pPr>
              <w:jc w:val="center"/>
              <w:rPr>
                <w:sz w:val="20"/>
              </w:rPr>
            </w:pPr>
            <w:r w:rsidRPr="00D50CF9">
              <w:rPr>
                <w:sz w:val="20"/>
              </w:rPr>
              <w:t>IEP-NRI</w:t>
            </w:r>
            <w:r w:rsidRPr="00D50CF9">
              <w:rPr>
                <w:sz w:val="20"/>
                <w:vertAlign w:val="superscript"/>
              </w:rPr>
              <w:t>w</w:t>
            </w:r>
          </w:p>
          <w:p w:rsidR="00792DCE" w:rsidRPr="00D50CF9" w:rsidRDefault="00792DCE" w:rsidP="00FF6C9B">
            <w:pPr>
              <w:jc w:val="center"/>
              <w:rPr>
                <w:sz w:val="20"/>
              </w:rPr>
            </w:pPr>
            <w:r w:rsidRPr="00D50CF9">
              <w:rPr>
                <w:sz w:val="20"/>
              </w:rPr>
              <w:t>(Poland)</w:t>
            </w:r>
          </w:p>
        </w:tc>
        <w:tc>
          <w:tcPr>
            <w:tcW w:w="2359" w:type="dxa"/>
            <w:vAlign w:val="center"/>
          </w:tcPr>
          <w:p w:rsidR="00792DCE" w:rsidRPr="00D50CF9" w:rsidRDefault="00792DCE" w:rsidP="00FF6C9B">
            <w:pPr>
              <w:jc w:val="center"/>
              <w:rPr>
                <w:sz w:val="20"/>
              </w:rPr>
            </w:pPr>
            <w:r w:rsidRPr="00D50CF9">
              <w:rPr>
                <w:sz w:val="20"/>
              </w:rPr>
              <w:t>CO, NMVOCs, PM</w:t>
            </w:r>
            <w:r w:rsidRPr="00D50CF9">
              <w:rPr>
                <w:sz w:val="20"/>
                <w:vertAlign w:val="subscript"/>
              </w:rPr>
              <w:t>2.5</w:t>
            </w:r>
            <w:r w:rsidRPr="00D50CF9">
              <w:rPr>
                <w:sz w:val="20"/>
              </w:rPr>
              <w:t>, PANs, NH</w:t>
            </w:r>
            <w:r w:rsidRPr="00D50CF9">
              <w:rPr>
                <w:sz w:val="20"/>
                <w:vertAlign w:val="subscript"/>
              </w:rPr>
              <w:t>3</w:t>
            </w:r>
            <w:r w:rsidRPr="00D50CF9">
              <w:rPr>
                <w:sz w:val="20"/>
              </w:rPr>
              <w:t>, NO</w:t>
            </w:r>
            <w:r w:rsidRPr="00D50CF9">
              <w:rPr>
                <w:sz w:val="20"/>
                <w:vertAlign w:val="subscript"/>
              </w:rPr>
              <w:t>2</w:t>
            </w:r>
            <w:r w:rsidRPr="00D50CF9">
              <w:rPr>
                <w:sz w:val="20"/>
              </w:rPr>
              <w:t>, PM</w:t>
            </w:r>
            <w:r w:rsidRPr="00D50CF9">
              <w:rPr>
                <w:sz w:val="20"/>
                <w:vertAlign w:val="subscript"/>
              </w:rPr>
              <w:t>10</w:t>
            </w:r>
            <w:r w:rsidRPr="00D50CF9">
              <w:rPr>
                <w:sz w:val="20"/>
              </w:rPr>
              <w:t>, SO</w:t>
            </w:r>
            <w:r w:rsidRPr="00D50CF9">
              <w:rPr>
                <w:sz w:val="20"/>
                <w:vertAlign w:val="subscript"/>
              </w:rPr>
              <w:t>2</w:t>
            </w:r>
            <w:r w:rsidRPr="00D50CF9">
              <w:rPr>
                <w:sz w:val="20"/>
              </w:rPr>
              <w:t>, NO, O</w:t>
            </w:r>
            <w:r w:rsidRPr="00D50CF9">
              <w:rPr>
                <w:sz w:val="20"/>
                <w:vertAlign w:val="subscript"/>
              </w:rPr>
              <w:t>3</w:t>
            </w:r>
            <w:r w:rsidRPr="00D50CF9">
              <w:rPr>
                <w:sz w:val="20"/>
              </w:rPr>
              <w:t>, and EC</w:t>
            </w:r>
          </w:p>
        </w:tc>
        <w:tc>
          <w:tcPr>
            <w:tcW w:w="1605" w:type="dxa"/>
            <w:vAlign w:val="center"/>
          </w:tcPr>
          <w:p w:rsidR="00792DCE" w:rsidRPr="00D50CF9" w:rsidRDefault="00792DCE" w:rsidP="00FF6C9B">
            <w:pPr>
              <w:jc w:val="center"/>
              <w:rPr>
                <w:rFonts w:eastAsia="맑은 고딕"/>
                <w:sz w:val="20"/>
              </w:rPr>
            </w:pPr>
            <w:r w:rsidRPr="00D50CF9">
              <w:rPr>
                <w:sz w:val="20"/>
              </w:rPr>
              <w:t>0.1</w:t>
            </w:r>
            <w:r w:rsidRPr="00D50CF9">
              <w:rPr>
                <w:rFonts w:eastAsia="맑은 고딕"/>
                <w:sz w:val="20"/>
              </w:rPr>
              <w:t>°</w:t>
            </w:r>
            <w:r w:rsidRPr="00D50CF9">
              <w:rPr>
                <w:sz w:val="20"/>
              </w:rPr>
              <w:t>×0.1</w:t>
            </w:r>
            <w:r w:rsidRPr="00D50CF9">
              <w:rPr>
                <w:rFonts w:eastAsia="맑은 고딕"/>
                <w:sz w:val="20"/>
              </w:rPr>
              <w:t>°</w:t>
            </w:r>
          </w:p>
        </w:tc>
        <w:tc>
          <w:tcPr>
            <w:tcW w:w="1410" w:type="dxa"/>
            <w:vAlign w:val="center"/>
          </w:tcPr>
          <w:p w:rsidR="00792DCE" w:rsidRPr="00D50CF9" w:rsidRDefault="00792DCE" w:rsidP="00FF6C9B">
            <w:pPr>
              <w:jc w:val="center"/>
              <w:rPr>
                <w:sz w:val="20"/>
              </w:rPr>
            </w:pPr>
            <w:r w:rsidRPr="00D50CF9">
              <w:rPr>
                <w:sz w:val="20"/>
              </w:rPr>
              <w:t>OI</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Ensemble</w:t>
            </w:r>
            <w:r w:rsidRPr="00D50CF9">
              <w:rPr>
                <w:sz w:val="20"/>
                <w:vertAlign w:val="superscript"/>
              </w:rPr>
              <w:t>*,‡</w:t>
            </w:r>
          </w:p>
        </w:tc>
        <w:tc>
          <w:tcPr>
            <w:tcW w:w="1845" w:type="dxa"/>
            <w:vAlign w:val="center"/>
          </w:tcPr>
          <w:p w:rsidR="00792DCE" w:rsidRPr="00D50CF9" w:rsidRDefault="00792DCE" w:rsidP="00FF6C9B">
            <w:pPr>
              <w:jc w:val="center"/>
              <w:rPr>
                <w:sz w:val="20"/>
              </w:rPr>
            </w:pPr>
            <w:r w:rsidRPr="00D50CF9">
              <w:rPr>
                <w:sz w:val="20"/>
              </w:rPr>
              <w:t>ECMWF (EU)</w:t>
            </w:r>
          </w:p>
        </w:tc>
        <w:tc>
          <w:tcPr>
            <w:tcW w:w="2359" w:type="dxa"/>
            <w:vAlign w:val="center"/>
          </w:tcPr>
          <w:p w:rsidR="00792DCE" w:rsidRPr="00D50CF9" w:rsidRDefault="00792DCE" w:rsidP="00FF6C9B">
            <w:pPr>
              <w:jc w:val="center"/>
              <w:rPr>
                <w:sz w:val="20"/>
              </w:rPr>
            </w:pPr>
            <w:r w:rsidRPr="00D50CF9">
              <w:rPr>
                <w:sz w:val="20"/>
              </w:rPr>
              <w:t>CO, NMVOCs, PM</w:t>
            </w:r>
            <w:r w:rsidRPr="00D50CF9">
              <w:rPr>
                <w:sz w:val="20"/>
                <w:vertAlign w:val="subscript"/>
              </w:rPr>
              <w:t>2.5</w:t>
            </w:r>
            <w:r w:rsidRPr="00D50CF9">
              <w:rPr>
                <w:sz w:val="20"/>
              </w:rPr>
              <w:t>, PANs, NH</w:t>
            </w:r>
            <w:r w:rsidRPr="00D50CF9">
              <w:rPr>
                <w:sz w:val="20"/>
                <w:vertAlign w:val="subscript"/>
              </w:rPr>
              <w:t>3</w:t>
            </w:r>
            <w:r w:rsidRPr="00D50CF9">
              <w:rPr>
                <w:sz w:val="20"/>
              </w:rPr>
              <w:t>, NO</w:t>
            </w:r>
            <w:r w:rsidRPr="00D50CF9">
              <w:rPr>
                <w:sz w:val="20"/>
                <w:vertAlign w:val="subscript"/>
              </w:rPr>
              <w:t>2</w:t>
            </w:r>
            <w:r w:rsidRPr="00D50CF9">
              <w:rPr>
                <w:sz w:val="20"/>
              </w:rPr>
              <w:t>, PM</w:t>
            </w:r>
            <w:r w:rsidRPr="00D50CF9">
              <w:rPr>
                <w:sz w:val="20"/>
                <w:vertAlign w:val="subscript"/>
              </w:rPr>
              <w:t>10</w:t>
            </w:r>
            <w:r w:rsidRPr="00D50CF9">
              <w:rPr>
                <w:sz w:val="20"/>
              </w:rPr>
              <w:t>, SO</w:t>
            </w:r>
            <w:r w:rsidRPr="00D50CF9">
              <w:rPr>
                <w:sz w:val="20"/>
                <w:vertAlign w:val="subscript"/>
              </w:rPr>
              <w:t>2</w:t>
            </w:r>
            <w:r w:rsidRPr="00D50CF9">
              <w:rPr>
                <w:sz w:val="20"/>
              </w:rPr>
              <w:t>, NO, O</w:t>
            </w:r>
            <w:r w:rsidRPr="00D50CF9">
              <w:rPr>
                <w:sz w:val="20"/>
                <w:vertAlign w:val="subscript"/>
              </w:rPr>
              <w:t>3</w:t>
            </w:r>
            <w:r w:rsidRPr="00D50CF9">
              <w:rPr>
                <w:sz w:val="20"/>
              </w:rPr>
              <w:t>, and EC</w:t>
            </w:r>
          </w:p>
        </w:tc>
        <w:tc>
          <w:tcPr>
            <w:tcW w:w="1605" w:type="dxa"/>
            <w:vAlign w:val="center"/>
          </w:tcPr>
          <w:p w:rsidR="00792DCE" w:rsidRPr="00D50CF9" w:rsidRDefault="00792DCE" w:rsidP="00FF6C9B">
            <w:pPr>
              <w:jc w:val="center"/>
              <w:rPr>
                <w:sz w:val="20"/>
              </w:rPr>
            </w:pPr>
            <w:r w:rsidRPr="00D50CF9">
              <w:rPr>
                <w:sz w:val="20"/>
              </w:rPr>
              <w:t>0.1</w:t>
            </w:r>
            <w:r w:rsidRPr="00D50CF9">
              <w:rPr>
                <w:rFonts w:eastAsia="맑은 고딕"/>
                <w:sz w:val="20"/>
              </w:rPr>
              <w:t>°</w:t>
            </w:r>
            <w:r w:rsidRPr="00D50CF9">
              <w:rPr>
                <w:sz w:val="20"/>
              </w:rPr>
              <w:t>×0.1</w:t>
            </w:r>
            <w:r w:rsidRPr="00D50CF9">
              <w:rPr>
                <w:rFonts w:eastAsia="맑은 고딕"/>
                <w:sz w:val="20"/>
              </w:rPr>
              <w:t>°</w:t>
            </w:r>
          </w:p>
        </w:tc>
        <w:tc>
          <w:tcPr>
            <w:tcW w:w="1410" w:type="dxa"/>
            <w:vAlign w:val="center"/>
          </w:tcPr>
          <w:p w:rsidR="00792DCE" w:rsidRPr="00D50CF9" w:rsidRDefault="00792DCE" w:rsidP="00FF6C9B">
            <w:pPr>
              <w:jc w:val="center"/>
              <w:rPr>
                <w:sz w:val="20"/>
              </w:rPr>
            </w:pPr>
            <w:r w:rsidRPr="00D50CF9">
              <w:rPr>
                <w:sz w:val="20"/>
              </w:rPr>
              <w:t>-</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NAQFC</w:t>
            </w:r>
            <w:r w:rsidRPr="00D50CF9">
              <w:rPr>
                <w:sz w:val="20"/>
                <w:vertAlign w:val="superscript"/>
              </w:rPr>
              <w:t>l,‡</w:t>
            </w:r>
          </w:p>
        </w:tc>
        <w:tc>
          <w:tcPr>
            <w:tcW w:w="1845" w:type="dxa"/>
            <w:vAlign w:val="center"/>
          </w:tcPr>
          <w:p w:rsidR="00792DCE" w:rsidRPr="00D50CF9" w:rsidRDefault="00792DCE" w:rsidP="00FF6C9B">
            <w:pPr>
              <w:jc w:val="center"/>
              <w:rPr>
                <w:sz w:val="20"/>
              </w:rPr>
            </w:pPr>
            <w:r w:rsidRPr="00D50CF9">
              <w:rPr>
                <w:sz w:val="20"/>
              </w:rPr>
              <w:t>NCEP, NOAA</w:t>
            </w:r>
            <w:r w:rsidRPr="00D50CF9">
              <w:rPr>
                <w:sz w:val="20"/>
                <w:vertAlign w:val="superscript"/>
              </w:rPr>
              <w:t>x</w:t>
            </w:r>
            <w:r w:rsidRPr="00D50CF9">
              <w:rPr>
                <w:sz w:val="20"/>
              </w:rPr>
              <w:t xml:space="preserve"> (USA)</w:t>
            </w:r>
          </w:p>
        </w:tc>
        <w:tc>
          <w:tcPr>
            <w:tcW w:w="2359" w:type="dxa"/>
            <w:vAlign w:val="center"/>
          </w:tcPr>
          <w:p w:rsidR="00792DCE" w:rsidRPr="00D50CF9" w:rsidRDefault="00792DCE" w:rsidP="00FF6C9B">
            <w:pPr>
              <w:jc w:val="center"/>
              <w:rPr>
                <w:sz w:val="20"/>
              </w:rPr>
            </w:pPr>
            <w:r w:rsidRPr="00D50CF9">
              <w:rPr>
                <w:sz w:val="20"/>
              </w:rPr>
              <w:t>O</w:t>
            </w:r>
            <w:r w:rsidRPr="00D50CF9">
              <w:rPr>
                <w:sz w:val="20"/>
                <w:vertAlign w:val="subscript"/>
              </w:rPr>
              <w:t>3</w:t>
            </w:r>
            <w:r w:rsidRPr="00D50CF9">
              <w:rPr>
                <w:sz w:val="20"/>
              </w:rPr>
              <w:t>, smoke, dust, and PM</w:t>
            </w:r>
            <w:r w:rsidRPr="00D50CF9">
              <w:rPr>
                <w:sz w:val="20"/>
                <w:vertAlign w:val="subscript"/>
              </w:rPr>
              <w:t>2.5</w:t>
            </w:r>
          </w:p>
        </w:tc>
        <w:tc>
          <w:tcPr>
            <w:tcW w:w="1605" w:type="dxa"/>
            <w:vAlign w:val="center"/>
          </w:tcPr>
          <w:p w:rsidR="00792DCE" w:rsidRPr="00D50CF9" w:rsidRDefault="00792DCE" w:rsidP="00FF6C9B">
            <w:pPr>
              <w:jc w:val="center"/>
              <w:rPr>
                <w:sz w:val="20"/>
              </w:rPr>
            </w:pPr>
            <w:r w:rsidRPr="00D50CF9">
              <w:rPr>
                <w:sz w:val="20"/>
              </w:rPr>
              <w:t>12×12 km</w:t>
            </w:r>
            <w:r w:rsidRPr="00D50CF9">
              <w:rPr>
                <w:sz w:val="20"/>
                <w:vertAlign w:val="superscript"/>
              </w:rPr>
              <w:t>2</w:t>
            </w:r>
          </w:p>
        </w:tc>
        <w:tc>
          <w:tcPr>
            <w:tcW w:w="1410" w:type="dxa"/>
            <w:vAlign w:val="center"/>
          </w:tcPr>
          <w:p w:rsidR="00792DCE" w:rsidRPr="00D50CF9" w:rsidRDefault="00792DCE" w:rsidP="00FF6C9B">
            <w:pPr>
              <w:jc w:val="center"/>
              <w:rPr>
                <w:sz w:val="20"/>
              </w:rPr>
            </w:pPr>
            <w:r w:rsidRPr="00D50CF9">
              <w:rPr>
                <w:sz w:val="20"/>
              </w:rPr>
              <w:t>-</w:t>
            </w:r>
          </w:p>
        </w:tc>
      </w:tr>
      <w:tr w:rsidR="00792DCE" w:rsidRPr="00D50CF9" w:rsidTr="00FF6C9B">
        <w:trPr>
          <w:trHeight w:val="454"/>
        </w:trPr>
        <w:tc>
          <w:tcPr>
            <w:tcW w:w="1411" w:type="dxa"/>
            <w:vAlign w:val="center"/>
          </w:tcPr>
          <w:p w:rsidR="00792DCE" w:rsidRPr="00D50CF9" w:rsidRDefault="00792DCE" w:rsidP="00FF6C9B">
            <w:pPr>
              <w:jc w:val="center"/>
              <w:rPr>
                <w:sz w:val="20"/>
              </w:rPr>
            </w:pPr>
            <w:r w:rsidRPr="00D50CF9">
              <w:rPr>
                <w:sz w:val="20"/>
              </w:rPr>
              <w:t>NAQPMS</w:t>
            </w:r>
            <w:r w:rsidRPr="00D50CF9">
              <w:rPr>
                <w:sz w:val="20"/>
                <w:vertAlign w:val="superscript"/>
              </w:rPr>
              <w:t>m,‡</w:t>
            </w:r>
          </w:p>
        </w:tc>
        <w:tc>
          <w:tcPr>
            <w:tcW w:w="1845" w:type="dxa"/>
            <w:vAlign w:val="center"/>
          </w:tcPr>
          <w:p w:rsidR="00792DCE" w:rsidRPr="00D50CF9" w:rsidRDefault="00792DCE" w:rsidP="00FF6C9B">
            <w:pPr>
              <w:jc w:val="center"/>
              <w:rPr>
                <w:sz w:val="20"/>
              </w:rPr>
            </w:pPr>
            <w:r w:rsidRPr="00D50CF9">
              <w:rPr>
                <w:sz w:val="20"/>
              </w:rPr>
              <w:t>CAS, IAP</w:t>
            </w:r>
            <w:r w:rsidRPr="00D50CF9">
              <w:rPr>
                <w:sz w:val="20"/>
                <w:vertAlign w:val="superscript"/>
              </w:rPr>
              <w:t>y</w:t>
            </w:r>
            <w:r w:rsidRPr="00D50CF9">
              <w:rPr>
                <w:sz w:val="20"/>
              </w:rPr>
              <w:t xml:space="preserve"> (China)</w:t>
            </w:r>
          </w:p>
        </w:tc>
        <w:tc>
          <w:tcPr>
            <w:tcW w:w="2359" w:type="dxa"/>
            <w:vAlign w:val="center"/>
          </w:tcPr>
          <w:p w:rsidR="00792DCE" w:rsidRPr="00D50CF9" w:rsidRDefault="00792DCE" w:rsidP="00FF6C9B">
            <w:pPr>
              <w:jc w:val="center"/>
              <w:rPr>
                <w:sz w:val="20"/>
              </w:rPr>
            </w:pPr>
            <w:r w:rsidRPr="00D50CF9">
              <w:rPr>
                <w:sz w:val="20"/>
              </w:rPr>
              <w:t>PM</w:t>
            </w:r>
            <w:r w:rsidRPr="00D50CF9">
              <w:rPr>
                <w:sz w:val="20"/>
                <w:vertAlign w:val="subscript"/>
              </w:rPr>
              <w:t>10</w:t>
            </w:r>
            <w:r w:rsidRPr="00D50CF9">
              <w:rPr>
                <w:sz w:val="20"/>
              </w:rPr>
              <w:t>, PM</w:t>
            </w:r>
            <w:r w:rsidRPr="00D50CF9">
              <w:rPr>
                <w:sz w:val="20"/>
                <w:vertAlign w:val="subscript"/>
              </w:rPr>
              <w:t>2.5</w:t>
            </w:r>
            <w:r w:rsidRPr="00D50CF9">
              <w:rPr>
                <w:sz w:val="20"/>
              </w:rPr>
              <w:t>, CO, O</w:t>
            </w:r>
            <w:r w:rsidRPr="00D50CF9">
              <w:rPr>
                <w:sz w:val="20"/>
                <w:vertAlign w:val="subscript"/>
              </w:rPr>
              <w:t>3</w:t>
            </w:r>
            <w:r w:rsidRPr="00D50CF9">
              <w:rPr>
                <w:sz w:val="20"/>
              </w:rPr>
              <w:t>, SO</w:t>
            </w:r>
            <w:r w:rsidRPr="00D50CF9">
              <w:rPr>
                <w:sz w:val="20"/>
                <w:vertAlign w:val="subscript"/>
              </w:rPr>
              <w:t>2</w:t>
            </w:r>
            <w:r w:rsidRPr="00D50CF9">
              <w:rPr>
                <w:sz w:val="20"/>
              </w:rPr>
              <w:t>, and NO</w:t>
            </w:r>
            <w:r w:rsidRPr="00D50CF9">
              <w:rPr>
                <w:sz w:val="20"/>
                <w:vertAlign w:val="subscript"/>
              </w:rPr>
              <w:t>2</w:t>
            </w:r>
          </w:p>
        </w:tc>
        <w:tc>
          <w:tcPr>
            <w:tcW w:w="1605" w:type="dxa"/>
            <w:vAlign w:val="center"/>
          </w:tcPr>
          <w:p w:rsidR="00792DCE" w:rsidRPr="00D50CF9" w:rsidRDefault="00792DCE" w:rsidP="00FF6C9B">
            <w:pPr>
              <w:jc w:val="center"/>
              <w:rPr>
                <w:sz w:val="20"/>
              </w:rPr>
            </w:pPr>
            <w:r w:rsidRPr="00D50CF9">
              <w:rPr>
                <w:sz w:val="20"/>
              </w:rPr>
              <w:t>15×15 km</w:t>
            </w:r>
            <w:r w:rsidRPr="00D50CF9">
              <w:rPr>
                <w:sz w:val="20"/>
                <w:vertAlign w:val="superscript"/>
              </w:rPr>
              <w:t>2</w:t>
            </w:r>
          </w:p>
        </w:tc>
        <w:tc>
          <w:tcPr>
            <w:tcW w:w="1410" w:type="dxa"/>
            <w:vAlign w:val="center"/>
          </w:tcPr>
          <w:p w:rsidR="00792DCE" w:rsidRPr="00D50CF9" w:rsidRDefault="00792DCE" w:rsidP="00FF6C9B">
            <w:pPr>
              <w:jc w:val="center"/>
              <w:rPr>
                <w:sz w:val="20"/>
              </w:rPr>
            </w:pPr>
            <w:r w:rsidRPr="00D50CF9">
              <w:rPr>
                <w:sz w:val="20"/>
              </w:rPr>
              <w:t>EnKF</w:t>
            </w:r>
          </w:p>
        </w:tc>
      </w:tr>
    </w:tbl>
    <w:p w:rsidR="00792DCE" w:rsidRPr="00D50CF9" w:rsidRDefault="00792DCE" w:rsidP="00792DCE">
      <w:pPr>
        <w:ind w:left="100" w:hangingChars="50" w:hanging="100"/>
        <w:jc w:val="both"/>
        <w:rPr>
          <w:sz w:val="20"/>
        </w:rPr>
      </w:pPr>
      <w:r w:rsidRPr="00D50CF9">
        <w:rPr>
          <w:sz w:val="20"/>
          <w:vertAlign w:val="superscript"/>
        </w:rPr>
        <w:t xml:space="preserve">a </w:t>
      </w:r>
      <w:r w:rsidRPr="00D50CF9">
        <w:rPr>
          <w:sz w:val="20"/>
        </w:rPr>
        <w:t>Integrated Forecasting System with Atmospheric Composition</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b </w:t>
      </w:r>
      <w:r w:rsidR="005C0F6C">
        <w:rPr>
          <w:sz w:val="20"/>
        </w:rPr>
        <w:t>Goddard</w:t>
      </w:r>
      <w:r w:rsidRPr="00D50CF9">
        <w:rPr>
          <w:sz w:val="20"/>
        </w:rPr>
        <w:t xml:space="preserve"> Earth Observing System with Chemistry</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c </w:t>
      </w:r>
      <w:r w:rsidRPr="00D50CF9">
        <w:rPr>
          <w:sz w:val="20"/>
        </w:rPr>
        <w:t>Modèle de chimie-transport</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d </w:t>
      </w:r>
      <w:r w:rsidRPr="00D50CF9">
        <w:rPr>
          <w:sz w:val="20"/>
        </w:rPr>
        <w:t>European Monitoring and Evaluation Programme</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e </w:t>
      </w:r>
      <w:r w:rsidRPr="00D50CF9">
        <w:rPr>
          <w:sz w:val="20"/>
        </w:rPr>
        <w:t>EURopean Air Pollution Dispersion-Inverse Model</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f </w:t>
      </w:r>
      <w:r w:rsidRPr="00D50CF9">
        <w:rPr>
          <w:sz w:val="20"/>
        </w:rPr>
        <w:t>LOng Term Ozone Simulation-EURopean Operational Smog</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g </w:t>
      </w:r>
      <w:r w:rsidRPr="00D50CF9">
        <w:rPr>
          <w:sz w:val="20"/>
        </w:rPr>
        <w:t>Mesoscale Atmospheric Transport and Chemistry Model</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h </w:t>
      </w:r>
      <w:r w:rsidRPr="00D50CF9">
        <w:rPr>
          <w:sz w:val="20"/>
        </w:rPr>
        <w:t xml:space="preserve">MOdèle de Chimie Atmosphérique </w:t>
      </w:r>
      <w:r w:rsidR="006974D3">
        <w:rPr>
          <w:sz w:val="20"/>
        </w:rPr>
        <w:t>de</w:t>
      </w:r>
      <w:r w:rsidRPr="00D50CF9">
        <w:rPr>
          <w:sz w:val="20"/>
        </w:rPr>
        <w:t xml:space="preserve"> Grande Échelle</w:t>
      </w:r>
    </w:p>
    <w:p w:rsidR="00792DCE" w:rsidRPr="00D50CF9" w:rsidRDefault="0015289E" w:rsidP="00792DCE">
      <w:pPr>
        <w:spacing w:line="200" w:lineRule="exact"/>
        <w:ind w:left="100" w:hangingChars="50" w:hanging="100"/>
        <w:jc w:val="both"/>
        <w:rPr>
          <w:sz w:val="20"/>
        </w:rPr>
      </w:pPr>
      <w:r>
        <w:rPr>
          <w:sz w:val="20"/>
          <w:vertAlign w:val="superscript"/>
        </w:rPr>
        <w:t>i</w:t>
      </w:r>
      <w:r w:rsidR="00792DCE" w:rsidRPr="00D50CF9">
        <w:rPr>
          <w:sz w:val="20"/>
          <w:vertAlign w:val="superscript"/>
        </w:rPr>
        <w:t xml:space="preserve"> </w:t>
      </w:r>
      <w:r w:rsidR="00792DCE" w:rsidRPr="00D50CF9">
        <w:rPr>
          <w:sz w:val="20"/>
        </w:rPr>
        <w:t>System for Integrated mode</w:t>
      </w:r>
      <w:r>
        <w:rPr>
          <w:sz w:val="20"/>
        </w:rPr>
        <w:t>L</w:t>
      </w:r>
      <w:r w:rsidR="00792DCE" w:rsidRPr="00D50CF9">
        <w:rPr>
          <w:sz w:val="20"/>
        </w:rPr>
        <w:t>ing of Atmospheric co</w:t>
      </w:r>
      <w:r w:rsidR="002D1A31">
        <w:rPr>
          <w:sz w:val="20"/>
        </w:rPr>
        <w:t>M</w:t>
      </w:r>
      <w:r w:rsidR="00792DCE" w:rsidRPr="00D50CF9">
        <w:rPr>
          <w:sz w:val="20"/>
        </w:rPr>
        <w:t>position</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j </w:t>
      </w:r>
      <w:r w:rsidRPr="00D50CF9">
        <w:rPr>
          <w:sz w:val="20"/>
        </w:rPr>
        <w:t>Danish Eulerian Hemispheric Model</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k </w:t>
      </w:r>
      <w:r w:rsidRPr="00D50CF9">
        <w:rPr>
          <w:sz w:val="20"/>
        </w:rPr>
        <w:t>Global Environmental Multiscale model with Air Quality processes</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l </w:t>
      </w:r>
      <w:r w:rsidRPr="00D50CF9">
        <w:rPr>
          <w:sz w:val="20"/>
        </w:rPr>
        <w:t>National Air Quality Forecasting Capability</w:t>
      </w:r>
    </w:p>
    <w:p w:rsidR="00792DCE" w:rsidRPr="00D50CF9" w:rsidRDefault="00792DCE" w:rsidP="00792DCE">
      <w:pPr>
        <w:spacing w:line="200" w:lineRule="exact"/>
        <w:ind w:left="100" w:hangingChars="50" w:hanging="100"/>
        <w:jc w:val="both"/>
        <w:rPr>
          <w:sz w:val="20"/>
        </w:rPr>
      </w:pPr>
      <w:r w:rsidRPr="00D50CF9">
        <w:rPr>
          <w:sz w:val="20"/>
          <w:vertAlign w:val="superscript"/>
        </w:rPr>
        <w:lastRenderedPageBreak/>
        <w:t xml:space="preserve">m </w:t>
      </w:r>
      <w:r w:rsidRPr="00D50CF9">
        <w:rPr>
          <w:sz w:val="20"/>
        </w:rPr>
        <w:t>Nested Air Quality Prediction Modeling System</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n </w:t>
      </w:r>
      <w:r w:rsidRPr="00D50CF9">
        <w:rPr>
          <w:sz w:val="20"/>
        </w:rPr>
        <w:t>European Centre for Medium-Range Weather Forecasts, Copernicus Atmospheric Monitoring Service</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o </w:t>
      </w:r>
      <w:r w:rsidRPr="00D50CF9">
        <w:rPr>
          <w:sz w:val="20"/>
        </w:rPr>
        <w:t>National Aeronautics and Space Administration, Global Modeling and Assimilation Office</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p </w:t>
      </w:r>
      <w:r w:rsidRPr="00D50CF9">
        <w:rPr>
          <w:bCs/>
          <w:sz w:val="20"/>
        </w:rPr>
        <w:t>Institut national de l'environnement industriel et des risques, Centre national de la recherche scientifique</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q </w:t>
      </w:r>
      <w:r w:rsidRPr="00D50CF9">
        <w:rPr>
          <w:sz w:val="20"/>
        </w:rPr>
        <w:t>Norwegian Meteorological Institute</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r </w:t>
      </w:r>
      <w:r w:rsidRPr="00D50CF9">
        <w:rPr>
          <w:sz w:val="20"/>
        </w:rPr>
        <w:t>ForschungsZentrum Jülich - Institut für Energie und Klimaforschung (IEK-8)</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s </w:t>
      </w:r>
      <w:r w:rsidRPr="00D50CF9">
        <w:rPr>
          <w:sz w:val="20"/>
        </w:rPr>
        <w:t>Koninklijk Nederlands Meteorologisch Instituut</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t </w:t>
      </w:r>
      <w:r w:rsidRPr="00D50CF9">
        <w:rPr>
          <w:sz w:val="20"/>
        </w:rPr>
        <w:t>Swedish Meteorological and Hydrological Institute</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u </w:t>
      </w:r>
      <w:r w:rsidRPr="00D50CF9">
        <w:rPr>
          <w:sz w:val="20"/>
        </w:rPr>
        <w:t>French national meteorological service</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v </w:t>
      </w:r>
      <w:r w:rsidRPr="00D50CF9">
        <w:rPr>
          <w:sz w:val="20"/>
        </w:rPr>
        <w:t>Finnish Meteorological Institute</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w </w:t>
      </w:r>
      <w:r w:rsidRPr="00D50CF9">
        <w:rPr>
          <w:sz w:val="20"/>
        </w:rPr>
        <w:t>Institute of Environmental Protection - National Research Institute</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x </w:t>
      </w:r>
      <w:r w:rsidRPr="00D50CF9">
        <w:rPr>
          <w:sz w:val="20"/>
        </w:rPr>
        <w:t>National Centers for Environmental Prediction, National Oceanic and Atmospheric Administration</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y </w:t>
      </w:r>
      <w:r w:rsidRPr="00D50CF9">
        <w:rPr>
          <w:sz w:val="20"/>
        </w:rPr>
        <w:t>Chinese Academy of Science, Institute of Atmospheric Physics</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 </w:t>
      </w:r>
      <w:r w:rsidRPr="00D50CF9">
        <w:rPr>
          <w:sz w:val="20"/>
        </w:rPr>
        <w:t>Ensemble prediction members over Europe are the CHIMERE, EMEP, EURAD-IM,</w:t>
      </w:r>
      <w:r w:rsidR="000F24D8">
        <w:rPr>
          <w:sz w:val="20"/>
        </w:rPr>
        <w:t xml:space="preserve"> LOTOS-EUROS, MATCH, MOCAGE, SIL</w:t>
      </w:r>
      <w:r w:rsidRPr="00D50CF9">
        <w:rPr>
          <w:sz w:val="20"/>
        </w:rPr>
        <w:t>AM, DEHM, and GEM-AQ</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 </w:t>
      </w:r>
      <w:r w:rsidRPr="00D50CF9">
        <w:rPr>
          <w:sz w:val="20"/>
        </w:rPr>
        <w:t>Global forecast system</w:t>
      </w:r>
    </w:p>
    <w:p w:rsidR="00792DCE" w:rsidRPr="00D50CF9" w:rsidRDefault="00792DCE" w:rsidP="00792DCE">
      <w:pPr>
        <w:spacing w:line="200" w:lineRule="exact"/>
        <w:ind w:left="100" w:hangingChars="50" w:hanging="100"/>
        <w:jc w:val="both"/>
        <w:rPr>
          <w:sz w:val="20"/>
        </w:rPr>
      </w:pPr>
      <w:r w:rsidRPr="00D50CF9">
        <w:rPr>
          <w:sz w:val="20"/>
          <w:vertAlign w:val="superscript"/>
        </w:rPr>
        <w:t xml:space="preserve">‡ </w:t>
      </w:r>
      <w:r w:rsidRPr="00D50CF9">
        <w:rPr>
          <w:sz w:val="20"/>
        </w:rPr>
        <w:t>Regional forecast system</w:t>
      </w:r>
    </w:p>
    <w:p w:rsidR="00792DCE" w:rsidRPr="00D50CF9" w:rsidRDefault="00792DCE" w:rsidP="00792DCE">
      <w:pPr>
        <w:spacing w:line="200" w:lineRule="exact"/>
        <w:ind w:left="200" w:hangingChars="100" w:hanging="200"/>
        <w:rPr>
          <w:sz w:val="20"/>
        </w:rPr>
      </w:pPr>
    </w:p>
    <w:p w:rsidR="00792DCE" w:rsidRPr="00D50CF9" w:rsidRDefault="00792DCE" w:rsidP="00792DCE">
      <w:pPr>
        <w:rPr>
          <w:sz w:val="20"/>
        </w:rPr>
      </w:pPr>
      <w:r w:rsidRPr="00D50CF9">
        <w:rPr>
          <w:sz w:val="20"/>
        </w:rPr>
        <w:br w:type="page"/>
      </w:r>
    </w:p>
    <w:p w:rsidR="00792DCE" w:rsidRPr="00D50CF9" w:rsidRDefault="001D0A5C" w:rsidP="00792DCE">
      <w:pPr>
        <w:pStyle w:val="SMHeading"/>
        <w:jc w:val="both"/>
      </w:pPr>
      <w:r w:rsidRPr="00D50CF9">
        <w:lastRenderedPageBreak/>
        <w:t xml:space="preserve">Supplementary </w:t>
      </w:r>
      <w:r w:rsidR="00792DCE" w:rsidRPr="00D50CF9">
        <w:t>Table 2</w:t>
      </w:r>
      <w:r w:rsidRPr="00D50CF9">
        <w:t xml:space="preserve"> |</w:t>
      </w:r>
      <w:r w:rsidR="00792DCE" w:rsidRPr="00D50CF9">
        <w:t xml:space="preserve"> </w:t>
      </w:r>
      <w:r w:rsidR="00792DCE" w:rsidRPr="00D50CF9">
        <w:rPr>
          <w:b w:val="0"/>
        </w:rPr>
        <w:t>Main elements of K_ACheMS v2.0.</w:t>
      </w:r>
    </w:p>
    <w:tbl>
      <w:tblPr>
        <w:tblStyle w:val="afff1"/>
        <w:tblW w:w="8642" w:type="dxa"/>
        <w:tblInd w:w="0" w:type="dxa"/>
        <w:tblBorders>
          <w:left w:val="none" w:sz="0" w:space="0" w:color="auto"/>
          <w:right w:val="none" w:sz="0" w:space="0" w:color="auto"/>
        </w:tblBorders>
        <w:tblLook w:val="04A0" w:firstRow="1" w:lastRow="0" w:firstColumn="1" w:lastColumn="0" w:noHBand="0" w:noVBand="1"/>
      </w:tblPr>
      <w:tblGrid>
        <w:gridCol w:w="1696"/>
        <w:gridCol w:w="2410"/>
        <w:gridCol w:w="4536"/>
      </w:tblGrid>
      <w:tr w:rsidR="00792DCE" w:rsidRPr="00D50CF9" w:rsidTr="00FF6C9B">
        <w:trPr>
          <w:trHeight w:val="567"/>
        </w:trPr>
        <w:tc>
          <w:tcPr>
            <w:tcW w:w="4106" w:type="dxa"/>
            <w:gridSpan w:val="2"/>
            <w:tcBorders>
              <w:left w:val="single" w:sz="4" w:space="0" w:color="auto"/>
              <w:right w:val="single" w:sz="4" w:space="0" w:color="auto"/>
            </w:tcBorders>
            <w:vAlign w:val="center"/>
          </w:tcPr>
          <w:p w:rsidR="00792DCE" w:rsidRPr="00D50CF9" w:rsidRDefault="00792DCE" w:rsidP="00FF6C9B">
            <w:pPr>
              <w:pStyle w:val="SMcaption"/>
              <w:jc w:val="center"/>
              <w:rPr>
                <w:b/>
                <w:szCs w:val="24"/>
              </w:rPr>
            </w:pPr>
            <w:r w:rsidRPr="00D50CF9">
              <w:rPr>
                <w:b/>
                <w:szCs w:val="24"/>
              </w:rPr>
              <w:t>Main modules</w:t>
            </w:r>
          </w:p>
        </w:tc>
        <w:tc>
          <w:tcPr>
            <w:tcW w:w="4536" w:type="dxa"/>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b/>
                <w:szCs w:val="24"/>
              </w:rPr>
            </w:pPr>
            <w:r w:rsidRPr="00D50CF9">
              <w:rPr>
                <w:b/>
                <w:szCs w:val="24"/>
              </w:rPr>
              <w:t>Elements</w:t>
            </w:r>
          </w:p>
        </w:tc>
      </w:tr>
      <w:tr w:rsidR="00792DCE" w:rsidRPr="00D50CF9" w:rsidTr="00FF6C9B">
        <w:trPr>
          <w:trHeight w:val="567"/>
        </w:trPr>
        <w:tc>
          <w:tcPr>
            <w:tcW w:w="1696" w:type="dxa"/>
            <w:vMerge w:val="restart"/>
            <w:tcBorders>
              <w:left w:val="single" w:sz="4" w:space="0" w:color="auto"/>
            </w:tcBorders>
            <w:vAlign w:val="center"/>
          </w:tcPr>
          <w:p w:rsidR="00792DCE" w:rsidRPr="00D50CF9" w:rsidRDefault="00792DCE" w:rsidP="00FF6C9B">
            <w:pPr>
              <w:pStyle w:val="SMcaption"/>
              <w:jc w:val="center"/>
              <w:rPr>
                <w:szCs w:val="24"/>
              </w:rPr>
            </w:pPr>
            <w:r w:rsidRPr="00D50CF9">
              <w:rPr>
                <w:szCs w:val="24"/>
              </w:rPr>
              <w:t>Input Data</w:t>
            </w:r>
          </w:p>
        </w:tc>
        <w:tc>
          <w:tcPr>
            <w:tcW w:w="2410" w:type="dxa"/>
            <w:tcBorders>
              <w:right w:val="single" w:sz="4" w:space="0" w:color="auto"/>
            </w:tcBorders>
            <w:vAlign w:val="center"/>
          </w:tcPr>
          <w:p w:rsidR="00792DCE" w:rsidRPr="00D50CF9" w:rsidRDefault="00792DCE" w:rsidP="00FF6C9B">
            <w:pPr>
              <w:pStyle w:val="SMcaption"/>
              <w:jc w:val="center"/>
              <w:rPr>
                <w:szCs w:val="24"/>
              </w:rPr>
            </w:pPr>
            <w:r w:rsidRPr="00D50CF9">
              <w:rPr>
                <w:szCs w:val="24"/>
              </w:rPr>
              <w:t>Meteorology</w:t>
            </w:r>
          </w:p>
        </w:tc>
        <w:tc>
          <w:tcPr>
            <w:tcW w:w="4536" w:type="dxa"/>
            <w:tcBorders>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szCs w:val="24"/>
              </w:rPr>
            </w:pPr>
            <w:r w:rsidRPr="00D50CF9">
              <w:rPr>
                <w:szCs w:val="24"/>
              </w:rPr>
              <w:t>WRF &amp; UM</w:t>
            </w:r>
          </w:p>
        </w:tc>
      </w:tr>
      <w:tr w:rsidR="00792DCE" w:rsidRPr="00D50CF9" w:rsidTr="00FF6C9B">
        <w:trPr>
          <w:trHeight w:val="567"/>
        </w:trPr>
        <w:tc>
          <w:tcPr>
            <w:tcW w:w="1696" w:type="dxa"/>
            <w:vMerge/>
            <w:tcBorders>
              <w:left w:val="single" w:sz="4" w:space="0" w:color="auto"/>
            </w:tcBorders>
            <w:vAlign w:val="center"/>
          </w:tcPr>
          <w:p w:rsidR="00792DCE" w:rsidRPr="00D50CF9" w:rsidRDefault="00792DCE" w:rsidP="00FF6C9B">
            <w:pPr>
              <w:pStyle w:val="SMcaption"/>
              <w:jc w:val="center"/>
              <w:rPr>
                <w:szCs w:val="24"/>
              </w:rPr>
            </w:pPr>
          </w:p>
        </w:tc>
        <w:tc>
          <w:tcPr>
            <w:tcW w:w="2410" w:type="dxa"/>
            <w:tcBorders>
              <w:right w:val="single" w:sz="4" w:space="0" w:color="auto"/>
            </w:tcBorders>
            <w:vAlign w:val="center"/>
          </w:tcPr>
          <w:p w:rsidR="00792DCE" w:rsidRPr="00D50CF9" w:rsidRDefault="00792DCE" w:rsidP="00FF6C9B">
            <w:pPr>
              <w:pStyle w:val="SMcaption"/>
              <w:jc w:val="center"/>
              <w:rPr>
                <w:szCs w:val="24"/>
              </w:rPr>
            </w:pPr>
            <w:r w:rsidRPr="00D50CF9">
              <w:rPr>
                <w:szCs w:val="24"/>
              </w:rPr>
              <w:t>Emissions</w:t>
            </w:r>
          </w:p>
        </w:tc>
        <w:tc>
          <w:tcPr>
            <w:tcW w:w="4536" w:type="dxa"/>
            <w:tcBorders>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szCs w:val="24"/>
              </w:rPr>
            </w:pPr>
            <w:r w:rsidRPr="00D50CF9">
              <w:rPr>
                <w:szCs w:val="24"/>
              </w:rPr>
              <w:t>Anthropogenic Emission: KORUS vG</w:t>
            </w:r>
          </w:p>
          <w:p w:rsidR="00792DCE" w:rsidRPr="00D50CF9" w:rsidRDefault="00792DCE" w:rsidP="00FF6C9B">
            <w:pPr>
              <w:pStyle w:val="SMcaption"/>
              <w:jc w:val="center"/>
              <w:rPr>
                <w:szCs w:val="24"/>
              </w:rPr>
            </w:pPr>
            <w:r w:rsidRPr="00D50CF9">
              <w:rPr>
                <w:szCs w:val="24"/>
              </w:rPr>
              <w:t>Biogenic Emission: MEGAN v2.1</w:t>
            </w:r>
          </w:p>
          <w:p w:rsidR="00792DCE" w:rsidRPr="00D50CF9" w:rsidRDefault="00792DCE" w:rsidP="00FF6C9B">
            <w:pPr>
              <w:pStyle w:val="SMcaption"/>
              <w:jc w:val="center"/>
              <w:rPr>
                <w:szCs w:val="24"/>
              </w:rPr>
            </w:pPr>
            <w:r w:rsidRPr="00D50CF9">
              <w:rPr>
                <w:szCs w:val="24"/>
              </w:rPr>
              <w:t>Pyrogenic Emission: FINN v1.5</w:t>
            </w:r>
          </w:p>
        </w:tc>
      </w:tr>
      <w:tr w:rsidR="00792DCE" w:rsidRPr="00D50CF9" w:rsidTr="00FF6C9B">
        <w:trPr>
          <w:trHeight w:val="567"/>
        </w:trPr>
        <w:tc>
          <w:tcPr>
            <w:tcW w:w="1696" w:type="dxa"/>
            <w:vMerge/>
            <w:tcBorders>
              <w:left w:val="single" w:sz="4" w:space="0" w:color="auto"/>
            </w:tcBorders>
            <w:vAlign w:val="center"/>
          </w:tcPr>
          <w:p w:rsidR="00792DCE" w:rsidRPr="00D50CF9" w:rsidRDefault="00792DCE" w:rsidP="00FF6C9B">
            <w:pPr>
              <w:pStyle w:val="SMcaption"/>
              <w:jc w:val="center"/>
              <w:rPr>
                <w:szCs w:val="24"/>
              </w:rPr>
            </w:pPr>
          </w:p>
        </w:tc>
        <w:tc>
          <w:tcPr>
            <w:tcW w:w="2410" w:type="dxa"/>
            <w:tcBorders>
              <w:right w:val="single" w:sz="4" w:space="0" w:color="auto"/>
            </w:tcBorders>
            <w:vAlign w:val="center"/>
          </w:tcPr>
          <w:p w:rsidR="00792DCE" w:rsidRPr="00D50CF9" w:rsidRDefault="00792DCE" w:rsidP="00FF6C9B">
            <w:pPr>
              <w:pStyle w:val="SMcaption"/>
              <w:jc w:val="center"/>
              <w:rPr>
                <w:szCs w:val="24"/>
              </w:rPr>
            </w:pPr>
            <w:r w:rsidRPr="00D50CF9">
              <w:rPr>
                <w:szCs w:val="24"/>
              </w:rPr>
              <w:t>Observations</w:t>
            </w:r>
          </w:p>
        </w:tc>
        <w:tc>
          <w:tcPr>
            <w:tcW w:w="4536" w:type="dxa"/>
            <w:tcBorders>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szCs w:val="24"/>
              </w:rPr>
            </w:pPr>
            <w:r w:rsidRPr="00D50CF9">
              <w:rPr>
                <w:szCs w:val="24"/>
              </w:rPr>
              <w:t>Ground observations &amp;</w:t>
            </w:r>
          </w:p>
          <w:p w:rsidR="00792DCE" w:rsidRPr="00D50CF9" w:rsidRDefault="00792DCE" w:rsidP="00FF6C9B">
            <w:pPr>
              <w:pStyle w:val="SMcaption"/>
              <w:jc w:val="center"/>
              <w:rPr>
                <w:szCs w:val="24"/>
              </w:rPr>
            </w:pPr>
            <w:r w:rsidRPr="00D50CF9">
              <w:rPr>
                <w:szCs w:val="24"/>
              </w:rPr>
              <w:t>Satellite-derived AOD</w:t>
            </w:r>
          </w:p>
        </w:tc>
      </w:tr>
      <w:tr w:rsidR="00792DCE" w:rsidRPr="00D50CF9" w:rsidTr="00FF6C9B">
        <w:trPr>
          <w:trHeight w:val="567"/>
        </w:trPr>
        <w:tc>
          <w:tcPr>
            <w:tcW w:w="1696" w:type="dxa"/>
            <w:vMerge/>
            <w:tcBorders>
              <w:left w:val="single" w:sz="4" w:space="0" w:color="auto"/>
            </w:tcBorders>
            <w:vAlign w:val="center"/>
          </w:tcPr>
          <w:p w:rsidR="00792DCE" w:rsidRPr="00D50CF9" w:rsidRDefault="00792DCE" w:rsidP="00FF6C9B">
            <w:pPr>
              <w:pStyle w:val="SMcaption"/>
              <w:jc w:val="center"/>
              <w:rPr>
                <w:szCs w:val="24"/>
              </w:rPr>
            </w:pPr>
          </w:p>
        </w:tc>
        <w:tc>
          <w:tcPr>
            <w:tcW w:w="2410" w:type="dxa"/>
            <w:tcBorders>
              <w:right w:val="single" w:sz="4" w:space="0" w:color="auto"/>
            </w:tcBorders>
            <w:vAlign w:val="center"/>
          </w:tcPr>
          <w:p w:rsidR="00792DCE" w:rsidRPr="00D50CF9" w:rsidRDefault="00792DCE" w:rsidP="00FF6C9B">
            <w:pPr>
              <w:pStyle w:val="SMcaption"/>
              <w:jc w:val="center"/>
              <w:rPr>
                <w:szCs w:val="24"/>
              </w:rPr>
            </w:pPr>
            <w:r w:rsidRPr="00D50CF9">
              <w:rPr>
                <w:szCs w:val="24"/>
              </w:rPr>
              <w:t>Data Assimilation</w:t>
            </w:r>
          </w:p>
        </w:tc>
        <w:tc>
          <w:tcPr>
            <w:tcW w:w="4536" w:type="dxa"/>
            <w:tcBorders>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szCs w:val="24"/>
              </w:rPr>
            </w:pPr>
            <w:r w:rsidRPr="00D50CF9">
              <w:rPr>
                <w:szCs w:val="24"/>
              </w:rPr>
              <w:t>3-D VAR and EnKF methods</w:t>
            </w:r>
          </w:p>
        </w:tc>
      </w:tr>
      <w:tr w:rsidR="00792DCE" w:rsidRPr="00D50CF9" w:rsidTr="00FF6C9B">
        <w:trPr>
          <w:trHeight w:val="567"/>
        </w:trPr>
        <w:tc>
          <w:tcPr>
            <w:tcW w:w="1696" w:type="dxa"/>
            <w:vMerge w:val="restart"/>
            <w:tcBorders>
              <w:left w:val="single" w:sz="4" w:space="0" w:color="auto"/>
            </w:tcBorders>
            <w:vAlign w:val="center"/>
          </w:tcPr>
          <w:p w:rsidR="00792DCE" w:rsidRPr="00D50CF9" w:rsidRDefault="00792DCE" w:rsidP="00FF6C9B">
            <w:pPr>
              <w:pStyle w:val="SMcaption"/>
              <w:jc w:val="center"/>
              <w:rPr>
                <w:szCs w:val="24"/>
              </w:rPr>
            </w:pPr>
            <w:r w:rsidRPr="00D50CF9">
              <w:rPr>
                <w:szCs w:val="24"/>
              </w:rPr>
              <w:t>Chemistry-Transport</w:t>
            </w:r>
          </w:p>
          <w:p w:rsidR="00792DCE" w:rsidRPr="00D50CF9" w:rsidRDefault="00792DCE" w:rsidP="00FF6C9B">
            <w:pPr>
              <w:pStyle w:val="SMcaption"/>
              <w:jc w:val="center"/>
              <w:rPr>
                <w:szCs w:val="24"/>
              </w:rPr>
            </w:pPr>
            <w:r w:rsidRPr="00D50CF9">
              <w:rPr>
                <w:szCs w:val="24"/>
              </w:rPr>
              <w:t>model</w:t>
            </w:r>
          </w:p>
        </w:tc>
        <w:tc>
          <w:tcPr>
            <w:tcW w:w="2410" w:type="dxa"/>
            <w:tcBorders>
              <w:right w:val="single" w:sz="4" w:space="0" w:color="auto"/>
            </w:tcBorders>
            <w:vAlign w:val="center"/>
          </w:tcPr>
          <w:p w:rsidR="00792DCE" w:rsidRPr="00D50CF9" w:rsidRDefault="00792DCE" w:rsidP="00FF6C9B">
            <w:pPr>
              <w:pStyle w:val="SMcaption"/>
              <w:jc w:val="center"/>
              <w:rPr>
                <w:szCs w:val="24"/>
              </w:rPr>
            </w:pPr>
            <w:r w:rsidRPr="00D50CF9">
              <w:rPr>
                <w:szCs w:val="24"/>
              </w:rPr>
              <w:t>Gaseous chemistry</w:t>
            </w:r>
          </w:p>
        </w:tc>
        <w:tc>
          <w:tcPr>
            <w:tcW w:w="4536" w:type="dxa"/>
            <w:tcBorders>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szCs w:val="24"/>
              </w:rPr>
            </w:pPr>
            <w:r w:rsidRPr="00D50CF9">
              <w:rPr>
                <w:szCs w:val="24"/>
              </w:rPr>
              <w:t>SAPRC07TC with modifications</w:t>
            </w:r>
          </w:p>
        </w:tc>
      </w:tr>
      <w:tr w:rsidR="00792DCE" w:rsidRPr="00D50CF9" w:rsidTr="00FF6C9B">
        <w:trPr>
          <w:trHeight w:val="567"/>
        </w:trPr>
        <w:tc>
          <w:tcPr>
            <w:tcW w:w="1696" w:type="dxa"/>
            <w:vMerge/>
            <w:tcBorders>
              <w:left w:val="single" w:sz="4" w:space="0" w:color="auto"/>
            </w:tcBorders>
            <w:vAlign w:val="center"/>
          </w:tcPr>
          <w:p w:rsidR="00792DCE" w:rsidRPr="00D50CF9" w:rsidRDefault="00792DCE" w:rsidP="00FF6C9B">
            <w:pPr>
              <w:pStyle w:val="SMcaption"/>
              <w:jc w:val="center"/>
              <w:rPr>
                <w:szCs w:val="24"/>
              </w:rPr>
            </w:pPr>
          </w:p>
        </w:tc>
        <w:tc>
          <w:tcPr>
            <w:tcW w:w="2410" w:type="dxa"/>
            <w:tcBorders>
              <w:right w:val="single" w:sz="4" w:space="0" w:color="auto"/>
            </w:tcBorders>
            <w:vAlign w:val="center"/>
          </w:tcPr>
          <w:p w:rsidR="00792DCE" w:rsidRPr="00D50CF9" w:rsidRDefault="00792DCE" w:rsidP="00FF6C9B">
            <w:pPr>
              <w:pStyle w:val="SMcaption"/>
              <w:jc w:val="center"/>
              <w:rPr>
                <w:szCs w:val="24"/>
              </w:rPr>
            </w:pPr>
            <w:r w:rsidRPr="00D50CF9">
              <w:rPr>
                <w:szCs w:val="24"/>
              </w:rPr>
              <w:t>Aerosol module</w:t>
            </w:r>
          </w:p>
        </w:tc>
        <w:tc>
          <w:tcPr>
            <w:tcW w:w="4536" w:type="dxa"/>
            <w:tcBorders>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szCs w:val="24"/>
              </w:rPr>
            </w:pPr>
            <w:r w:rsidRPr="00D50CF9">
              <w:rPr>
                <w:szCs w:val="24"/>
              </w:rPr>
              <w:t>AERO6 with modified SOA yields</w:t>
            </w:r>
          </w:p>
        </w:tc>
      </w:tr>
      <w:tr w:rsidR="00792DCE" w:rsidRPr="00D50CF9" w:rsidTr="00FF6C9B">
        <w:trPr>
          <w:trHeight w:val="567"/>
        </w:trPr>
        <w:tc>
          <w:tcPr>
            <w:tcW w:w="1696" w:type="dxa"/>
            <w:vMerge/>
            <w:tcBorders>
              <w:left w:val="single" w:sz="4" w:space="0" w:color="auto"/>
            </w:tcBorders>
            <w:vAlign w:val="center"/>
          </w:tcPr>
          <w:p w:rsidR="00792DCE" w:rsidRPr="00D50CF9" w:rsidRDefault="00792DCE" w:rsidP="00FF6C9B">
            <w:pPr>
              <w:pStyle w:val="SMcaption"/>
              <w:jc w:val="center"/>
              <w:rPr>
                <w:szCs w:val="24"/>
              </w:rPr>
            </w:pPr>
          </w:p>
        </w:tc>
        <w:tc>
          <w:tcPr>
            <w:tcW w:w="2410" w:type="dxa"/>
            <w:tcBorders>
              <w:right w:val="single" w:sz="4" w:space="0" w:color="auto"/>
            </w:tcBorders>
            <w:vAlign w:val="center"/>
          </w:tcPr>
          <w:p w:rsidR="00792DCE" w:rsidRPr="00D50CF9" w:rsidRDefault="00792DCE" w:rsidP="00FF6C9B">
            <w:pPr>
              <w:pStyle w:val="SMcaption"/>
              <w:jc w:val="center"/>
              <w:rPr>
                <w:szCs w:val="24"/>
              </w:rPr>
            </w:pPr>
            <w:r w:rsidRPr="00D50CF9">
              <w:rPr>
                <w:szCs w:val="24"/>
              </w:rPr>
              <w:t>Transport</w:t>
            </w:r>
          </w:p>
        </w:tc>
        <w:tc>
          <w:tcPr>
            <w:tcW w:w="4536" w:type="dxa"/>
            <w:tcBorders>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szCs w:val="24"/>
              </w:rPr>
            </w:pPr>
            <w:r w:rsidRPr="00D50CF9">
              <w:rPr>
                <w:szCs w:val="24"/>
              </w:rPr>
              <w:t>KF scheme for convection</w:t>
            </w:r>
          </w:p>
          <w:p w:rsidR="00792DCE" w:rsidRPr="00D50CF9" w:rsidRDefault="00792DCE" w:rsidP="00FF6C9B">
            <w:pPr>
              <w:pStyle w:val="SMcaption"/>
              <w:jc w:val="center"/>
              <w:rPr>
                <w:szCs w:val="24"/>
              </w:rPr>
            </w:pPr>
            <w:r w:rsidRPr="00D50CF9">
              <w:rPr>
                <w:szCs w:val="24"/>
              </w:rPr>
              <w:t>TG scheme for advection</w:t>
            </w:r>
          </w:p>
        </w:tc>
      </w:tr>
      <w:tr w:rsidR="00792DCE" w:rsidRPr="00D50CF9" w:rsidTr="00FF6C9B">
        <w:trPr>
          <w:trHeight w:val="567"/>
        </w:trPr>
        <w:tc>
          <w:tcPr>
            <w:tcW w:w="1696" w:type="dxa"/>
            <w:vMerge w:val="restart"/>
            <w:tcBorders>
              <w:left w:val="single" w:sz="4" w:space="0" w:color="auto"/>
            </w:tcBorders>
            <w:vAlign w:val="center"/>
          </w:tcPr>
          <w:p w:rsidR="00792DCE" w:rsidRPr="00D50CF9" w:rsidRDefault="00792DCE" w:rsidP="00FF6C9B">
            <w:pPr>
              <w:pStyle w:val="SMcaption"/>
              <w:jc w:val="center"/>
              <w:rPr>
                <w:szCs w:val="24"/>
              </w:rPr>
            </w:pPr>
            <w:r w:rsidRPr="00D50CF9">
              <w:rPr>
                <w:szCs w:val="24"/>
              </w:rPr>
              <w:t>Machine Learning</w:t>
            </w:r>
          </w:p>
          <w:p w:rsidR="00792DCE" w:rsidRPr="00D50CF9" w:rsidRDefault="00792DCE" w:rsidP="00FF6C9B">
            <w:pPr>
              <w:pStyle w:val="SMcaption"/>
              <w:jc w:val="center"/>
              <w:rPr>
                <w:szCs w:val="24"/>
              </w:rPr>
            </w:pPr>
            <w:r w:rsidRPr="00D50CF9">
              <w:rPr>
                <w:szCs w:val="24"/>
              </w:rPr>
              <w:t>Modules</w:t>
            </w:r>
          </w:p>
        </w:tc>
        <w:tc>
          <w:tcPr>
            <w:tcW w:w="2410" w:type="dxa"/>
            <w:tcBorders>
              <w:right w:val="single" w:sz="4" w:space="0" w:color="auto"/>
            </w:tcBorders>
            <w:vAlign w:val="center"/>
          </w:tcPr>
          <w:p w:rsidR="00792DCE" w:rsidRPr="00D50CF9" w:rsidRDefault="00792DCE" w:rsidP="00FF6C9B">
            <w:pPr>
              <w:pStyle w:val="SMcaption"/>
              <w:jc w:val="center"/>
              <w:rPr>
                <w:szCs w:val="24"/>
              </w:rPr>
            </w:pPr>
            <w:r w:rsidRPr="00D50CF9">
              <w:rPr>
                <w:szCs w:val="24"/>
              </w:rPr>
              <w:t>AI forecaster</w:t>
            </w:r>
          </w:p>
        </w:tc>
        <w:tc>
          <w:tcPr>
            <w:tcW w:w="4536" w:type="dxa"/>
            <w:tcBorders>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szCs w:val="24"/>
              </w:rPr>
            </w:pPr>
            <w:r w:rsidRPr="00D50CF9">
              <w:rPr>
                <w:szCs w:val="24"/>
              </w:rPr>
              <w:t>DRNN LSTM module</w:t>
            </w:r>
          </w:p>
        </w:tc>
      </w:tr>
      <w:tr w:rsidR="00792DCE" w:rsidRPr="00D50CF9" w:rsidTr="00FF6C9B">
        <w:trPr>
          <w:trHeight w:val="567"/>
        </w:trPr>
        <w:tc>
          <w:tcPr>
            <w:tcW w:w="1696" w:type="dxa"/>
            <w:vMerge/>
            <w:tcBorders>
              <w:left w:val="single" w:sz="4" w:space="0" w:color="auto"/>
            </w:tcBorders>
            <w:vAlign w:val="center"/>
          </w:tcPr>
          <w:p w:rsidR="00792DCE" w:rsidRPr="00D50CF9" w:rsidRDefault="00792DCE" w:rsidP="00FF6C9B">
            <w:pPr>
              <w:pStyle w:val="SMcaption"/>
              <w:jc w:val="center"/>
              <w:rPr>
                <w:szCs w:val="24"/>
              </w:rPr>
            </w:pPr>
          </w:p>
        </w:tc>
        <w:tc>
          <w:tcPr>
            <w:tcW w:w="2410" w:type="dxa"/>
            <w:tcBorders>
              <w:right w:val="single" w:sz="4" w:space="0" w:color="auto"/>
            </w:tcBorders>
            <w:vAlign w:val="center"/>
          </w:tcPr>
          <w:p w:rsidR="00792DCE" w:rsidRPr="00D50CF9" w:rsidRDefault="00792DCE" w:rsidP="00FF6C9B">
            <w:pPr>
              <w:pStyle w:val="SMcaption"/>
              <w:jc w:val="center"/>
              <w:rPr>
                <w:szCs w:val="24"/>
              </w:rPr>
            </w:pPr>
            <w:r w:rsidRPr="00D50CF9">
              <w:rPr>
                <w:szCs w:val="24"/>
              </w:rPr>
              <w:t>Bias and error corrector</w:t>
            </w:r>
          </w:p>
        </w:tc>
        <w:tc>
          <w:tcPr>
            <w:tcW w:w="4536" w:type="dxa"/>
            <w:tcBorders>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szCs w:val="24"/>
              </w:rPr>
            </w:pPr>
            <w:r w:rsidRPr="00D50CF9">
              <w:rPr>
                <w:szCs w:val="24"/>
              </w:rPr>
              <w:t>XGBoost module</w:t>
            </w:r>
          </w:p>
        </w:tc>
      </w:tr>
      <w:tr w:rsidR="00792DCE" w:rsidRPr="00D50CF9" w:rsidTr="00FF6C9B">
        <w:trPr>
          <w:trHeight w:val="397"/>
        </w:trPr>
        <w:tc>
          <w:tcPr>
            <w:tcW w:w="1696" w:type="dxa"/>
            <w:vMerge w:val="restart"/>
            <w:tcBorders>
              <w:left w:val="single" w:sz="4" w:space="0" w:color="auto"/>
            </w:tcBorders>
            <w:vAlign w:val="center"/>
          </w:tcPr>
          <w:p w:rsidR="00792DCE" w:rsidRPr="00D50CF9" w:rsidRDefault="00792DCE" w:rsidP="00FF6C9B">
            <w:pPr>
              <w:pStyle w:val="SMcaption"/>
              <w:jc w:val="center"/>
              <w:rPr>
                <w:szCs w:val="24"/>
              </w:rPr>
            </w:pPr>
            <w:r w:rsidRPr="00D50CF9">
              <w:rPr>
                <w:szCs w:val="24"/>
              </w:rPr>
              <w:t>Policy Module</w:t>
            </w:r>
          </w:p>
        </w:tc>
        <w:tc>
          <w:tcPr>
            <w:tcW w:w="2410" w:type="dxa"/>
            <w:vMerge w:val="restart"/>
            <w:tcBorders>
              <w:right w:val="single" w:sz="4" w:space="0" w:color="auto"/>
            </w:tcBorders>
            <w:vAlign w:val="center"/>
          </w:tcPr>
          <w:p w:rsidR="00792DCE" w:rsidRPr="00D50CF9" w:rsidRDefault="00792DCE" w:rsidP="00FF6C9B">
            <w:pPr>
              <w:pStyle w:val="SMcaption"/>
              <w:jc w:val="center"/>
              <w:rPr>
                <w:szCs w:val="24"/>
              </w:rPr>
            </w:pPr>
            <w:r w:rsidRPr="00D50CF9">
              <w:rPr>
                <w:szCs w:val="24"/>
              </w:rPr>
              <w:t>S-R relationship</w:t>
            </w:r>
          </w:p>
        </w:tc>
        <w:tc>
          <w:tcPr>
            <w:tcW w:w="4536" w:type="dxa"/>
            <w:vMerge w:val="restart"/>
            <w:tcBorders>
              <w:left w:val="single" w:sz="4" w:space="0" w:color="auto"/>
              <w:bottom w:val="single" w:sz="4" w:space="0" w:color="auto"/>
              <w:right w:val="single" w:sz="4" w:space="0" w:color="auto"/>
            </w:tcBorders>
            <w:vAlign w:val="center"/>
          </w:tcPr>
          <w:p w:rsidR="00792DCE" w:rsidRPr="00D50CF9" w:rsidRDefault="00792DCE" w:rsidP="00FF6C9B">
            <w:pPr>
              <w:pStyle w:val="SMcaption"/>
              <w:jc w:val="center"/>
              <w:rPr>
                <w:szCs w:val="24"/>
              </w:rPr>
            </w:pPr>
            <w:r w:rsidRPr="00D50CF9">
              <w:rPr>
                <w:szCs w:val="24"/>
              </w:rPr>
              <w:t>DDM-PIM method</w:t>
            </w:r>
          </w:p>
        </w:tc>
      </w:tr>
      <w:tr w:rsidR="00792DCE" w:rsidRPr="00D50CF9" w:rsidTr="00FF6C9B">
        <w:trPr>
          <w:trHeight w:val="230"/>
        </w:trPr>
        <w:tc>
          <w:tcPr>
            <w:tcW w:w="1696" w:type="dxa"/>
            <w:vMerge/>
            <w:tcBorders>
              <w:left w:val="single" w:sz="4" w:space="0" w:color="auto"/>
            </w:tcBorders>
            <w:vAlign w:val="center"/>
          </w:tcPr>
          <w:p w:rsidR="00792DCE" w:rsidRPr="00D50CF9" w:rsidRDefault="00792DCE" w:rsidP="00FF6C9B">
            <w:pPr>
              <w:pStyle w:val="SMcaption"/>
              <w:rPr>
                <w:sz w:val="20"/>
              </w:rPr>
            </w:pPr>
          </w:p>
        </w:tc>
        <w:tc>
          <w:tcPr>
            <w:tcW w:w="2410" w:type="dxa"/>
            <w:vMerge/>
            <w:tcBorders>
              <w:right w:val="single" w:sz="4" w:space="0" w:color="auto"/>
            </w:tcBorders>
            <w:vAlign w:val="center"/>
          </w:tcPr>
          <w:p w:rsidR="00792DCE" w:rsidRPr="00D50CF9" w:rsidRDefault="00792DCE" w:rsidP="00FF6C9B">
            <w:pPr>
              <w:pStyle w:val="SMcaption"/>
              <w:rPr>
                <w:sz w:val="20"/>
              </w:rPr>
            </w:pPr>
          </w:p>
        </w:tc>
        <w:tc>
          <w:tcPr>
            <w:tcW w:w="4536" w:type="dxa"/>
            <w:vMerge/>
            <w:tcBorders>
              <w:left w:val="single" w:sz="4" w:space="0" w:color="auto"/>
              <w:bottom w:val="single" w:sz="4" w:space="0" w:color="auto"/>
              <w:right w:val="single" w:sz="4" w:space="0" w:color="auto"/>
            </w:tcBorders>
            <w:vAlign w:val="center"/>
          </w:tcPr>
          <w:p w:rsidR="00792DCE" w:rsidRPr="00D50CF9" w:rsidRDefault="00792DCE" w:rsidP="00FF6C9B">
            <w:pPr>
              <w:pStyle w:val="SMcaption"/>
              <w:rPr>
                <w:sz w:val="20"/>
              </w:rPr>
            </w:pPr>
          </w:p>
        </w:tc>
      </w:tr>
    </w:tbl>
    <w:p w:rsidR="00792DCE" w:rsidRPr="00D50CF9" w:rsidRDefault="00792DCE" w:rsidP="00792DCE">
      <w:pPr>
        <w:rPr>
          <w:sz w:val="20"/>
        </w:rPr>
      </w:pPr>
    </w:p>
    <w:p w:rsidR="00792DCE" w:rsidRPr="00D50CF9" w:rsidRDefault="00792DCE" w:rsidP="00792DCE">
      <w:pPr>
        <w:rPr>
          <w:sz w:val="20"/>
        </w:rPr>
      </w:pPr>
      <w:r w:rsidRPr="00D50CF9">
        <w:rPr>
          <w:sz w:val="20"/>
        </w:rPr>
        <w:br w:type="page"/>
      </w:r>
    </w:p>
    <w:p w:rsidR="00792DCE" w:rsidRPr="00D50CF9" w:rsidRDefault="00792DCE" w:rsidP="00792DCE">
      <w:pPr>
        <w:rPr>
          <w:sz w:val="20"/>
        </w:rPr>
        <w:sectPr w:rsidR="00792DCE" w:rsidRPr="00D50CF9" w:rsidSect="00FF6C9B">
          <w:headerReference w:type="default" r:id="rId22"/>
          <w:footerReference w:type="default" r:id="rId23"/>
          <w:pgSz w:w="12240" w:h="15840"/>
          <w:pgMar w:top="1440" w:right="1800" w:bottom="1440" w:left="1800" w:header="720" w:footer="720" w:gutter="0"/>
          <w:pgNumType w:start="1"/>
          <w:cols w:space="720"/>
          <w:docGrid w:linePitch="360"/>
        </w:sectPr>
      </w:pPr>
    </w:p>
    <w:p w:rsidR="00792DCE" w:rsidRPr="00D50CF9" w:rsidRDefault="001D0A5C" w:rsidP="00792DCE">
      <w:pPr>
        <w:pStyle w:val="SMHeading"/>
        <w:jc w:val="both"/>
        <w:rPr>
          <w:b w:val="0"/>
        </w:rPr>
      </w:pPr>
      <w:r w:rsidRPr="00D50CF9">
        <w:lastRenderedPageBreak/>
        <w:t xml:space="preserve">Supplementary </w:t>
      </w:r>
      <w:r w:rsidR="00792DCE" w:rsidRPr="00D50CF9">
        <w:t xml:space="preserve">Table </w:t>
      </w:r>
      <w:r w:rsidR="00792DCE" w:rsidRPr="00D50CF9">
        <w:rPr>
          <w:lang w:eastAsia="ko-KR"/>
        </w:rPr>
        <w:t>3</w:t>
      </w:r>
      <w:r w:rsidRPr="00D50CF9">
        <w:rPr>
          <w:lang w:eastAsia="ko-KR"/>
        </w:rPr>
        <w:t xml:space="preserve"> |</w:t>
      </w:r>
      <w:r w:rsidR="00792DCE" w:rsidRPr="00D50CF9">
        <w:t xml:space="preserve"> </w:t>
      </w:r>
      <w:r w:rsidR="00792DCE" w:rsidRPr="00D50CF9">
        <w:rPr>
          <w:b w:val="0"/>
        </w:rPr>
        <w:t xml:space="preserve">Model configurations of K_ACheMS v2.0 and </w:t>
      </w:r>
      <w:r w:rsidR="00792DCE" w:rsidRPr="00D50CF9">
        <w:rPr>
          <w:b w:val="0"/>
          <w:lang w:eastAsia="ko-KR"/>
        </w:rPr>
        <w:t>C-IFS</w:t>
      </w:r>
      <w:r w:rsidR="00792DCE" w:rsidRPr="00D50CF9">
        <w:rPr>
          <w:b w:val="0"/>
        </w:rPr>
        <w:t>.</w:t>
      </w:r>
    </w:p>
    <w:tbl>
      <w:tblPr>
        <w:tblStyle w:val="afff1"/>
        <w:tblW w:w="12956" w:type="dxa"/>
        <w:tblInd w:w="0" w:type="dxa"/>
        <w:tblLayout w:type="fixed"/>
        <w:tblLook w:val="04A0" w:firstRow="1" w:lastRow="0" w:firstColumn="1" w:lastColumn="0" w:noHBand="0" w:noVBand="1"/>
      </w:tblPr>
      <w:tblGrid>
        <w:gridCol w:w="1271"/>
        <w:gridCol w:w="1701"/>
        <w:gridCol w:w="2268"/>
        <w:gridCol w:w="2552"/>
        <w:gridCol w:w="20"/>
        <w:gridCol w:w="2572"/>
        <w:gridCol w:w="2572"/>
      </w:tblGrid>
      <w:tr w:rsidR="00792DCE" w:rsidRPr="00D50CF9" w:rsidTr="00FF6C9B">
        <w:trPr>
          <w:trHeight w:val="610"/>
        </w:trPr>
        <w:tc>
          <w:tcPr>
            <w:tcW w:w="2972" w:type="dxa"/>
            <w:gridSpan w:val="2"/>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b/>
                <w:sz w:val="20"/>
              </w:rPr>
            </w:pPr>
            <w:r w:rsidRPr="00D50CF9">
              <w:rPr>
                <w:b/>
                <w:sz w:val="20"/>
              </w:rPr>
              <w:t>Modeling system</w:t>
            </w:r>
          </w:p>
        </w:tc>
        <w:tc>
          <w:tcPr>
            <w:tcW w:w="2268" w:type="dxa"/>
            <w:tcBorders>
              <w:left w:val="single" w:sz="4" w:space="0" w:color="auto"/>
            </w:tcBorders>
            <w:vAlign w:val="center"/>
          </w:tcPr>
          <w:p w:rsidR="00792DCE" w:rsidRPr="00D50CF9" w:rsidRDefault="00792DCE" w:rsidP="00FF6C9B">
            <w:pPr>
              <w:spacing w:line="276" w:lineRule="auto"/>
              <w:jc w:val="center"/>
              <w:rPr>
                <w:b/>
                <w:sz w:val="20"/>
              </w:rPr>
            </w:pPr>
            <w:r w:rsidRPr="00D50CF9">
              <w:rPr>
                <w:b/>
                <w:sz w:val="20"/>
              </w:rPr>
              <w:t>K_ACheMS</w:t>
            </w:r>
          </w:p>
        </w:tc>
        <w:tc>
          <w:tcPr>
            <w:tcW w:w="7716" w:type="dxa"/>
            <w:gridSpan w:val="4"/>
            <w:vAlign w:val="center"/>
          </w:tcPr>
          <w:p w:rsidR="00792DCE" w:rsidRPr="00D50CF9" w:rsidRDefault="00792DCE" w:rsidP="00FF6C9B">
            <w:pPr>
              <w:spacing w:line="276" w:lineRule="auto"/>
              <w:jc w:val="center"/>
              <w:rPr>
                <w:b/>
                <w:sz w:val="20"/>
              </w:rPr>
            </w:pPr>
            <w:r w:rsidRPr="00D50CF9">
              <w:rPr>
                <w:b/>
                <w:sz w:val="20"/>
              </w:rPr>
              <w:t>C-IFS</w:t>
            </w:r>
          </w:p>
        </w:tc>
      </w:tr>
      <w:tr w:rsidR="00792DCE" w:rsidRPr="00D50CF9" w:rsidTr="00FF6C9B">
        <w:trPr>
          <w:trHeight w:val="610"/>
        </w:trPr>
        <w:tc>
          <w:tcPr>
            <w:tcW w:w="2972" w:type="dxa"/>
            <w:gridSpan w:val="2"/>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b/>
                <w:sz w:val="20"/>
              </w:rPr>
            </w:pPr>
            <w:r w:rsidRPr="00D50CF9">
              <w:rPr>
                <w:b/>
                <w:sz w:val="20"/>
              </w:rPr>
              <w:t>Version</w:t>
            </w:r>
          </w:p>
        </w:tc>
        <w:tc>
          <w:tcPr>
            <w:tcW w:w="2268" w:type="dxa"/>
            <w:tcBorders>
              <w:left w:val="single" w:sz="4" w:space="0" w:color="auto"/>
            </w:tcBorders>
            <w:vAlign w:val="center"/>
          </w:tcPr>
          <w:p w:rsidR="00792DCE" w:rsidRPr="00D50CF9" w:rsidRDefault="00A66074" w:rsidP="00FF6C9B">
            <w:pPr>
              <w:spacing w:line="276" w:lineRule="auto"/>
              <w:jc w:val="center"/>
              <w:rPr>
                <w:sz w:val="20"/>
              </w:rPr>
            </w:pPr>
            <w:r>
              <w:rPr>
                <w:sz w:val="20"/>
              </w:rPr>
              <w:t>v</w:t>
            </w:r>
            <w:r w:rsidR="00792DCE" w:rsidRPr="00D50CF9">
              <w:rPr>
                <w:sz w:val="20"/>
              </w:rPr>
              <w:t>2.0</w:t>
            </w:r>
          </w:p>
        </w:tc>
        <w:tc>
          <w:tcPr>
            <w:tcW w:w="2572" w:type="dxa"/>
            <w:gridSpan w:val="2"/>
            <w:vAlign w:val="center"/>
          </w:tcPr>
          <w:p w:rsidR="00792DCE" w:rsidRPr="00D50CF9" w:rsidRDefault="00792DCE" w:rsidP="00FF6C9B">
            <w:pPr>
              <w:spacing w:line="276" w:lineRule="auto"/>
              <w:jc w:val="center"/>
              <w:rPr>
                <w:sz w:val="20"/>
              </w:rPr>
            </w:pPr>
            <w:r w:rsidRPr="00D50CF9">
              <w:rPr>
                <w:sz w:val="20"/>
              </w:rPr>
              <w:t>Cycle 41R1</w:t>
            </w:r>
            <w:r w:rsidRPr="00D50CF9">
              <w:rPr>
                <w:sz w:val="20"/>
                <w:vertAlign w:val="superscript"/>
              </w:rPr>
              <w:t>*</w:t>
            </w:r>
          </w:p>
        </w:tc>
        <w:tc>
          <w:tcPr>
            <w:tcW w:w="2572" w:type="dxa"/>
            <w:vAlign w:val="center"/>
          </w:tcPr>
          <w:p w:rsidR="00792DCE" w:rsidRPr="00D50CF9" w:rsidRDefault="00792DCE" w:rsidP="00FF6C9B">
            <w:pPr>
              <w:spacing w:line="276" w:lineRule="auto"/>
              <w:jc w:val="center"/>
              <w:rPr>
                <w:sz w:val="20"/>
              </w:rPr>
            </w:pPr>
            <w:r w:rsidRPr="00D50CF9">
              <w:rPr>
                <w:sz w:val="20"/>
              </w:rPr>
              <w:t>Cycle 43R1</w:t>
            </w:r>
            <w:r w:rsidRPr="00D50CF9">
              <w:rPr>
                <w:color w:val="272727"/>
                <w:sz w:val="20"/>
                <w:shd w:val="clear" w:color="auto" w:fill="FFFFFF"/>
                <w:vertAlign w:val="superscript"/>
              </w:rPr>
              <w:t>†</w:t>
            </w:r>
          </w:p>
        </w:tc>
        <w:tc>
          <w:tcPr>
            <w:tcW w:w="2572" w:type="dxa"/>
            <w:vAlign w:val="center"/>
          </w:tcPr>
          <w:p w:rsidR="00792DCE" w:rsidRPr="00D50CF9" w:rsidRDefault="00792DCE" w:rsidP="00FF6C9B">
            <w:pPr>
              <w:spacing w:line="276" w:lineRule="auto"/>
              <w:jc w:val="center"/>
              <w:rPr>
                <w:color w:val="000000" w:themeColor="text1"/>
                <w:sz w:val="20"/>
              </w:rPr>
            </w:pPr>
            <w:r w:rsidRPr="00D50CF9">
              <w:rPr>
                <w:color w:val="000000" w:themeColor="text1"/>
                <w:sz w:val="20"/>
              </w:rPr>
              <w:t>Cycle 47R3</w:t>
            </w:r>
            <w:r w:rsidRPr="00D50CF9">
              <w:rPr>
                <w:color w:val="000000" w:themeColor="text1"/>
                <w:sz w:val="20"/>
                <w:shd w:val="clear" w:color="auto" w:fill="FFFFFF"/>
                <w:vertAlign w:val="superscript"/>
              </w:rPr>
              <w:t>‡</w:t>
            </w:r>
          </w:p>
        </w:tc>
      </w:tr>
      <w:tr w:rsidR="00792DCE" w:rsidRPr="00D50CF9" w:rsidTr="00FF6C9B">
        <w:trPr>
          <w:trHeight w:val="610"/>
        </w:trPr>
        <w:tc>
          <w:tcPr>
            <w:tcW w:w="2972" w:type="dxa"/>
            <w:gridSpan w:val="2"/>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b/>
                <w:sz w:val="20"/>
              </w:rPr>
            </w:pPr>
            <w:r w:rsidRPr="00D50CF9">
              <w:rPr>
                <w:b/>
                <w:sz w:val="20"/>
              </w:rPr>
              <w:t>Meteorological Fields</w:t>
            </w:r>
          </w:p>
        </w:tc>
        <w:tc>
          <w:tcPr>
            <w:tcW w:w="2268" w:type="dxa"/>
            <w:tcBorders>
              <w:left w:val="single" w:sz="4" w:space="0" w:color="auto"/>
            </w:tcBorders>
            <w:vAlign w:val="center"/>
          </w:tcPr>
          <w:p w:rsidR="00792DCE" w:rsidRPr="00D50CF9" w:rsidRDefault="00792DCE" w:rsidP="00FF6C9B">
            <w:pPr>
              <w:spacing w:line="276" w:lineRule="auto"/>
              <w:jc w:val="center"/>
              <w:rPr>
                <w:sz w:val="20"/>
              </w:rPr>
            </w:pPr>
            <w:r w:rsidRPr="00D50CF9">
              <w:rPr>
                <w:sz w:val="20"/>
              </w:rPr>
              <w:t>WRF v4.1.5</w:t>
            </w:r>
          </w:p>
          <w:p w:rsidR="00792DCE" w:rsidRPr="00D50CF9" w:rsidRDefault="00792DCE" w:rsidP="00FF6C9B">
            <w:pPr>
              <w:spacing w:line="276" w:lineRule="auto"/>
              <w:jc w:val="center"/>
              <w:rPr>
                <w:sz w:val="20"/>
              </w:rPr>
            </w:pPr>
            <w:r w:rsidRPr="00D50CF9">
              <w:rPr>
                <w:sz w:val="20"/>
              </w:rPr>
              <w:t>KMA RDAPS</w:t>
            </w:r>
          </w:p>
        </w:tc>
        <w:tc>
          <w:tcPr>
            <w:tcW w:w="2572" w:type="dxa"/>
            <w:gridSpan w:val="2"/>
            <w:vAlign w:val="center"/>
          </w:tcPr>
          <w:p w:rsidR="00792DCE" w:rsidRPr="00D50CF9" w:rsidRDefault="00792DCE" w:rsidP="00FF6C9B">
            <w:pPr>
              <w:spacing w:line="276" w:lineRule="auto"/>
              <w:jc w:val="center"/>
              <w:rPr>
                <w:sz w:val="20"/>
              </w:rPr>
            </w:pPr>
            <w:r w:rsidRPr="00D50CF9">
              <w:rPr>
                <w:sz w:val="20"/>
              </w:rPr>
              <w:t>IFS (Cycle 41R1)</w:t>
            </w:r>
          </w:p>
        </w:tc>
        <w:tc>
          <w:tcPr>
            <w:tcW w:w="2572" w:type="dxa"/>
            <w:vAlign w:val="center"/>
          </w:tcPr>
          <w:p w:rsidR="00792DCE" w:rsidRPr="00D50CF9" w:rsidRDefault="00792DCE" w:rsidP="00FF6C9B">
            <w:pPr>
              <w:spacing w:line="276" w:lineRule="auto"/>
              <w:jc w:val="center"/>
              <w:rPr>
                <w:sz w:val="20"/>
              </w:rPr>
            </w:pPr>
            <w:r w:rsidRPr="00D50CF9">
              <w:rPr>
                <w:sz w:val="20"/>
              </w:rPr>
              <w:t>IFS (Cycle 43R1)</w:t>
            </w:r>
          </w:p>
        </w:tc>
        <w:tc>
          <w:tcPr>
            <w:tcW w:w="2572" w:type="dxa"/>
            <w:vAlign w:val="center"/>
          </w:tcPr>
          <w:p w:rsidR="00792DCE" w:rsidRPr="00D50CF9" w:rsidRDefault="00792DCE" w:rsidP="00FF6C9B">
            <w:pPr>
              <w:spacing w:line="276" w:lineRule="auto"/>
              <w:jc w:val="center"/>
              <w:rPr>
                <w:color w:val="000000" w:themeColor="text1"/>
                <w:sz w:val="20"/>
              </w:rPr>
            </w:pPr>
            <w:r w:rsidRPr="00D50CF9">
              <w:rPr>
                <w:color w:val="000000" w:themeColor="text1"/>
                <w:sz w:val="20"/>
              </w:rPr>
              <w:t>IFS (Cycle 47R3)</w:t>
            </w:r>
          </w:p>
        </w:tc>
      </w:tr>
      <w:tr w:rsidR="00792DCE" w:rsidRPr="00D50CF9" w:rsidTr="00FF6C9B">
        <w:trPr>
          <w:trHeight w:val="610"/>
        </w:trPr>
        <w:tc>
          <w:tcPr>
            <w:tcW w:w="1271" w:type="dxa"/>
            <w:vMerge w:val="restart"/>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b/>
                <w:sz w:val="20"/>
              </w:rPr>
            </w:pPr>
            <w:r w:rsidRPr="00D50CF9">
              <w:rPr>
                <w:b/>
                <w:sz w:val="20"/>
              </w:rPr>
              <w:t>Emissions</w:t>
            </w:r>
          </w:p>
        </w:tc>
        <w:tc>
          <w:tcPr>
            <w:tcW w:w="1701" w:type="dxa"/>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b/>
                <w:sz w:val="20"/>
              </w:rPr>
            </w:pPr>
            <w:r w:rsidRPr="00D50CF9">
              <w:rPr>
                <w:b/>
                <w:sz w:val="20"/>
              </w:rPr>
              <w:t>Anthropogenic</w:t>
            </w:r>
          </w:p>
        </w:tc>
        <w:tc>
          <w:tcPr>
            <w:tcW w:w="2268" w:type="dxa"/>
            <w:tcBorders>
              <w:left w:val="single" w:sz="4" w:space="0" w:color="auto"/>
            </w:tcBorders>
            <w:vAlign w:val="center"/>
          </w:tcPr>
          <w:p w:rsidR="00792DCE" w:rsidRPr="00D50CF9" w:rsidRDefault="00792DCE" w:rsidP="00FF6C9B">
            <w:pPr>
              <w:spacing w:line="276" w:lineRule="auto"/>
              <w:jc w:val="center"/>
              <w:rPr>
                <w:sz w:val="20"/>
              </w:rPr>
            </w:pPr>
            <w:r w:rsidRPr="00D50CF9">
              <w:rPr>
                <w:sz w:val="20"/>
              </w:rPr>
              <w:t>KORUS v5.0</w:t>
            </w:r>
          </w:p>
        </w:tc>
        <w:tc>
          <w:tcPr>
            <w:tcW w:w="2572" w:type="dxa"/>
            <w:gridSpan w:val="2"/>
            <w:vAlign w:val="center"/>
          </w:tcPr>
          <w:p w:rsidR="00792DCE" w:rsidRPr="00D50CF9" w:rsidRDefault="00792DCE" w:rsidP="00FF6C9B">
            <w:pPr>
              <w:spacing w:line="276" w:lineRule="auto"/>
              <w:jc w:val="center"/>
              <w:rPr>
                <w:sz w:val="20"/>
              </w:rPr>
            </w:pPr>
            <w:r w:rsidRPr="00D50CF9">
              <w:rPr>
                <w:sz w:val="20"/>
              </w:rPr>
              <w:t>MACCity</w:t>
            </w:r>
          </w:p>
        </w:tc>
        <w:tc>
          <w:tcPr>
            <w:tcW w:w="2572" w:type="dxa"/>
            <w:vAlign w:val="center"/>
          </w:tcPr>
          <w:p w:rsidR="00792DCE" w:rsidRPr="00D50CF9" w:rsidRDefault="00792DCE" w:rsidP="00FF6C9B">
            <w:pPr>
              <w:spacing w:line="276" w:lineRule="auto"/>
              <w:jc w:val="center"/>
              <w:rPr>
                <w:sz w:val="20"/>
              </w:rPr>
            </w:pPr>
            <w:r w:rsidRPr="00D50CF9">
              <w:rPr>
                <w:sz w:val="20"/>
              </w:rPr>
              <w:t>MACCity</w:t>
            </w:r>
          </w:p>
        </w:tc>
        <w:tc>
          <w:tcPr>
            <w:tcW w:w="2572" w:type="dxa"/>
            <w:vAlign w:val="center"/>
          </w:tcPr>
          <w:p w:rsidR="00792DCE" w:rsidRPr="00D50CF9" w:rsidRDefault="00792DCE" w:rsidP="00FF6C9B">
            <w:pPr>
              <w:spacing w:line="276" w:lineRule="auto"/>
              <w:jc w:val="center"/>
              <w:rPr>
                <w:color w:val="000000" w:themeColor="text1"/>
                <w:sz w:val="20"/>
              </w:rPr>
            </w:pPr>
            <w:r w:rsidRPr="00D50CF9">
              <w:rPr>
                <w:color w:val="000000" w:themeColor="text1"/>
                <w:sz w:val="20"/>
              </w:rPr>
              <w:t>CAMS_GLOB_ANT v4.2</w:t>
            </w:r>
          </w:p>
        </w:tc>
      </w:tr>
      <w:tr w:rsidR="00792DCE" w:rsidRPr="00D50CF9" w:rsidTr="00FF6C9B">
        <w:trPr>
          <w:trHeight w:val="610"/>
        </w:trPr>
        <w:tc>
          <w:tcPr>
            <w:tcW w:w="1271" w:type="dxa"/>
            <w:vMerge/>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sz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b/>
                <w:sz w:val="20"/>
              </w:rPr>
            </w:pPr>
            <w:r w:rsidRPr="00D50CF9">
              <w:rPr>
                <w:b/>
                <w:sz w:val="20"/>
              </w:rPr>
              <w:t>Biogenic</w:t>
            </w:r>
          </w:p>
        </w:tc>
        <w:tc>
          <w:tcPr>
            <w:tcW w:w="2268" w:type="dxa"/>
            <w:tcBorders>
              <w:left w:val="single" w:sz="4" w:space="0" w:color="auto"/>
            </w:tcBorders>
            <w:vAlign w:val="center"/>
          </w:tcPr>
          <w:p w:rsidR="00792DCE" w:rsidRPr="00D50CF9" w:rsidRDefault="00860280" w:rsidP="00FF6C9B">
            <w:pPr>
              <w:spacing w:line="276" w:lineRule="auto"/>
              <w:jc w:val="center"/>
              <w:rPr>
                <w:sz w:val="20"/>
              </w:rPr>
            </w:pPr>
            <w:r>
              <w:rPr>
                <w:sz w:val="20"/>
              </w:rPr>
              <w:t>MEGAN v2.1</w:t>
            </w:r>
            <w:bookmarkStart w:id="2" w:name="_GoBack"/>
            <w:bookmarkEnd w:id="2"/>
          </w:p>
        </w:tc>
        <w:tc>
          <w:tcPr>
            <w:tcW w:w="2572" w:type="dxa"/>
            <w:gridSpan w:val="2"/>
            <w:vAlign w:val="center"/>
          </w:tcPr>
          <w:p w:rsidR="00792DCE" w:rsidRPr="00D50CF9" w:rsidRDefault="00792DCE" w:rsidP="00FF6C9B">
            <w:pPr>
              <w:spacing w:line="276" w:lineRule="auto"/>
              <w:jc w:val="center"/>
              <w:rPr>
                <w:sz w:val="20"/>
              </w:rPr>
            </w:pPr>
            <w:r w:rsidRPr="00D50CF9">
              <w:rPr>
                <w:sz w:val="20"/>
              </w:rPr>
              <w:t>MEGAN-MACC</w:t>
            </w:r>
          </w:p>
          <w:p w:rsidR="00792DCE" w:rsidRPr="00D50CF9" w:rsidRDefault="00792DCE" w:rsidP="00FF6C9B">
            <w:pPr>
              <w:spacing w:line="276" w:lineRule="auto"/>
              <w:jc w:val="center"/>
              <w:rPr>
                <w:sz w:val="20"/>
              </w:rPr>
            </w:pPr>
            <w:r w:rsidRPr="00D50CF9">
              <w:rPr>
                <w:sz w:val="20"/>
              </w:rPr>
              <w:t>POET</w:t>
            </w:r>
          </w:p>
        </w:tc>
        <w:tc>
          <w:tcPr>
            <w:tcW w:w="2572" w:type="dxa"/>
            <w:vAlign w:val="center"/>
          </w:tcPr>
          <w:p w:rsidR="00792DCE" w:rsidRPr="00D50CF9" w:rsidRDefault="00792DCE" w:rsidP="00FF6C9B">
            <w:pPr>
              <w:spacing w:line="276" w:lineRule="auto"/>
              <w:jc w:val="center"/>
              <w:rPr>
                <w:sz w:val="20"/>
              </w:rPr>
            </w:pPr>
            <w:r w:rsidRPr="00D50CF9">
              <w:rPr>
                <w:sz w:val="20"/>
              </w:rPr>
              <w:t>MEGAN-MACC</w:t>
            </w:r>
          </w:p>
          <w:p w:rsidR="00792DCE" w:rsidRPr="00D50CF9" w:rsidRDefault="00792DCE" w:rsidP="00FF6C9B">
            <w:pPr>
              <w:spacing w:line="276" w:lineRule="auto"/>
              <w:jc w:val="center"/>
              <w:rPr>
                <w:sz w:val="20"/>
              </w:rPr>
            </w:pPr>
            <w:r w:rsidRPr="00D50CF9">
              <w:rPr>
                <w:sz w:val="20"/>
              </w:rPr>
              <w:t>POET</w:t>
            </w:r>
          </w:p>
        </w:tc>
        <w:tc>
          <w:tcPr>
            <w:tcW w:w="2572" w:type="dxa"/>
            <w:vAlign w:val="center"/>
          </w:tcPr>
          <w:p w:rsidR="00792DCE" w:rsidRPr="00D50CF9" w:rsidRDefault="00792DCE" w:rsidP="00FF6C9B">
            <w:pPr>
              <w:spacing w:line="276" w:lineRule="auto"/>
              <w:jc w:val="center"/>
              <w:rPr>
                <w:color w:val="000000" w:themeColor="text1"/>
                <w:sz w:val="20"/>
              </w:rPr>
            </w:pPr>
            <w:r w:rsidRPr="00D50CF9">
              <w:rPr>
                <w:color w:val="000000" w:themeColor="text1"/>
                <w:sz w:val="20"/>
              </w:rPr>
              <w:t>CAMS_GLOB_BIO v1.1</w:t>
            </w:r>
          </w:p>
        </w:tc>
      </w:tr>
      <w:tr w:rsidR="00792DCE" w:rsidRPr="00D50CF9" w:rsidTr="00FF6C9B">
        <w:trPr>
          <w:trHeight w:val="610"/>
        </w:trPr>
        <w:tc>
          <w:tcPr>
            <w:tcW w:w="1271" w:type="dxa"/>
            <w:vMerge/>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sz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b/>
                <w:sz w:val="20"/>
              </w:rPr>
            </w:pPr>
            <w:r w:rsidRPr="00D50CF9">
              <w:rPr>
                <w:b/>
                <w:sz w:val="20"/>
              </w:rPr>
              <w:t>Pyrogenic</w:t>
            </w:r>
          </w:p>
        </w:tc>
        <w:tc>
          <w:tcPr>
            <w:tcW w:w="2268" w:type="dxa"/>
            <w:tcBorders>
              <w:left w:val="single" w:sz="4" w:space="0" w:color="auto"/>
            </w:tcBorders>
            <w:vAlign w:val="center"/>
          </w:tcPr>
          <w:p w:rsidR="00792DCE" w:rsidRPr="00D50CF9" w:rsidRDefault="00792DCE" w:rsidP="00FF6C9B">
            <w:pPr>
              <w:spacing w:line="276" w:lineRule="auto"/>
              <w:jc w:val="center"/>
              <w:rPr>
                <w:sz w:val="20"/>
              </w:rPr>
            </w:pPr>
            <w:r w:rsidRPr="00D50CF9">
              <w:rPr>
                <w:sz w:val="20"/>
              </w:rPr>
              <w:t>FINN v1.5</w:t>
            </w:r>
          </w:p>
        </w:tc>
        <w:tc>
          <w:tcPr>
            <w:tcW w:w="2572" w:type="dxa"/>
            <w:gridSpan w:val="2"/>
            <w:vAlign w:val="center"/>
          </w:tcPr>
          <w:p w:rsidR="00792DCE" w:rsidRPr="00D50CF9" w:rsidRDefault="00792DCE" w:rsidP="00FF6C9B">
            <w:pPr>
              <w:spacing w:line="276" w:lineRule="auto"/>
              <w:jc w:val="center"/>
              <w:rPr>
                <w:sz w:val="20"/>
              </w:rPr>
            </w:pPr>
            <w:r w:rsidRPr="00D50CF9">
              <w:rPr>
                <w:sz w:val="20"/>
              </w:rPr>
              <w:t>GFAS v1.2</w:t>
            </w:r>
          </w:p>
        </w:tc>
        <w:tc>
          <w:tcPr>
            <w:tcW w:w="2572" w:type="dxa"/>
            <w:vAlign w:val="center"/>
          </w:tcPr>
          <w:p w:rsidR="00792DCE" w:rsidRPr="00D50CF9" w:rsidRDefault="00792DCE" w:rsidP="00FF6C9B">
            <w:pPr>
              <w:spacing w:line="276" w:lineRule="auto"/>
              <w:jc w:val="center"/>
              <w:rPr>
                <w:sz w:val="20"/>
              </w:rPr>
            </w:pPr>
            <w:r w:rsidRPr="00D50CF9">
              <w:rPr>
                <w:sz w:val="20"/>
              </w:rPr>
              <w:t>GFAS v1.2</w:t>
            </w:r>
          </w:p>
        </w:tc>
        <w:tc>
          <w:tcPr>
            <w:tcW w:w="2572" w:type="dxa"/>
            <w:vAlign w:val="center"/>
          </w:tcPr>
          <w:p w:rsidR="00792DCE" w:rsidRPr="00D50CF9" w:rsidRDefault="00792DCE" w:rsidP="00FF6C9B">
            <w:pPr>
              <w:spacing w:line="276" w:lineRule="auto"/>
              <w:jc w:val="center"/>
              <w:rPr>
                <w:color w:val="000000" w:themeColor="text1"/>
                <w:sz w:val="20"/>
              </w:rPr>
            </w:pPr>
            <w:r w:rsidRPr="00D50CF9">
              <w:rPr>
                <w:color w:val="000000" w:themeColor="text1"/>
                <w:sz w:val="20"/>
              </w:rPr>
              <w:t>GFAS v1.4</w:t>
            </w:r>
          </w:p>
        </w:tc>
      </w:tr>
      <w:tr w:rsidR="00792DCE" w:rsidRPr="00D50CF9" w:rsidTr="00FF6C9B">
        <w:trPr>
          <w:trHeight w:val="695"/>
        </w:trPr>
        <w:tc>
          <w:tcPr>
            <w:tcW w:w="2972" w:type="dxa"/>
            <w:gridSpan w:val="2"/>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b/>
                <w:sz w:val="20"/>
              </w:rPr>
            </w:pPr>
            <w:r w:rsidRPr="00D50CF9">
              <w:rPr>
                <w:b/>
                <w:sz w:val="20"/>
              </w:rPr>
              <w:t>Gas-phase chemistry</w:t>
            </w:r>
          </w:p>
        </w:tc>
        <w:tc>
          <w:tcPr>
            <w:tcW w:w="2268" w:type="dxa"/>
            <w:tcBorders>
              <w:left w:val="single" w:sz="4" w:space="0" w:color="auto"/>
            </w:tcBorders>
            <w:vAlign w:val="center"/>
          </w:tcPr>
          <w:p w:rsidR="00792DCE" w:rsidRPr="00D50CF9" w:rsidRDefault="00792DCE" w:rsidP="00FF6C9B">
            <w:pPr>
              <w:spacing w:line="276" w:lineRule="auto"/>
              <w:jc w:val="center"/>
              <w:rPr>
                <w:sz w:val="20"/>
              </w:rPr>
            </w:pPr>
            <w:r w:rsidRPr="00D50CF9">
              <w:rPr>
                <w:sz w:val="20"/>
              </w:rPr>
              <w:t>Modified SAPRC07TC</w:t>
            </w:r>
          </w:p>
        </w:tc>
        <w:tc>
          <w:tcPr>
            <w:tcW w:w="7716" w:type="dxa"/>
            <w:gridSpan w:val="4"/>
            <w:vAlign w:val="center"/>
          </w:tcPr>
          <w:p w:rsidR="00792DCE" w:rsidRPr="00D50CF9" w:rsidRDefault="00792DCE" w:rsidP="00FF6C9B">
            <w:pPr>
              <w:spacing w:line="276" w:lineRule="auto"/>
              <w:jc w:val="center"/>
              <w:rPr>
                <w:sz w:val="20"/>
              </w:rPr>
            </w:pPr>
            <w:r w:rsidRPr="00D50CF9">
              <w:rPr>
                <w:sz w:val="20"/>
              </w:rPr>
              <w:t>Modified CB05 with</w:t>
            </w:r>
          </w:p>
          <w:p w:rsidR="00792DCE" w:rsidRPr="00D50CF9" w:rsidRDefault="00792DCE" w:rsidP="00FF6C9B">
            <w:pPr>
              <w:spacing w:line="276" w:lineRule="auto"/>
              <w:jc w:val="center"/>
              <w:rPr>
                <w:sz w:val="20"/>
              </w:rPr>
            </w:pPr>
            <w:r w:rsidRPr="00D50CF9">
              <w:rPr>
                <w:sz w:val="20"/>
              </w:rPr>
              <w:t>Cariolle scheme (for stratospheric ozone photochemistry)</w:t>
            </w:r>
          </w:p>
        </w:tc>
      </w:tr>
      <w:tr w:rsidR="00792DCE" w:rsidRPr="00D50CF9" w:rsidTr="00FF6C9B">
        <w:trPr>
          <w:trHeight w:val="610"/>
        </w:trPr>
        <w:tc>
          <w:tcPr>
            <w:tcW w:w="2972" w:type="dxa"/>
            <w:gridSpan w:val="2"/>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b/>
                <w:sz w:val="20"/>
              </w:rPr>
            </w:pPr>
            <w:r w:rsidRPr="00D50CF9">
              <w:rPr>
                <w:b/>
                <w:sz w:val="20"/>
              </w:rPr>
              <w:t>Aerosol Thermodynamics</w:t>
            </w:r>
          </w:p>
        </w:tc>
        <w:tc>
          <w:tcPr>
            <w:tcW w:w="2268" w:type="dxa"/>
            <w:tcBorders>
              <w:left w:val="single" w:sz="4" w:space="0" w:color="auto"/>
            </w:tcBorders>
            <w:vAlign w:val="center"/>
          </w:tcPr>
          <w:p w:rsidR="00792DCE" w:rsidRPr="00D50CF9" w:rsidRDefault="00792DCE" w:rsidP="00FF6C9B">
            <w:pPr>
              <w:spacing w:line="276" w:lineRule="auto"/>
              <w:jc w:val="center"/>
              <w:rPr>
                <w:sz w:val="20"/>
              </w:rPr>
            </w:pPr>
            <w:r w:rsidRPr="00D50CF9">
              <w:rPr>
                <w:sz w:val="20"/>
              </w:rPr>
              <w:t>ISORROPIA II</w:t>
            </w:r>
          </w:p>
        </w:tc>
        <w:tc>
          <w:tcPr>
            <w:tcW w:w="7716" w:type="dxa"/>
            <w:gridSpan w:val="4"/>
            <w:vAlign w:val="center"/>
          </w:tcPr>
          <w:p w:rsidR="00792DCE" w:rsidRPr="00D50CF9" w:rsidRDefault="00792DCE" w:rsidP="00FF6C9B">
            <w:pPr>
              <w:spacing w:line="276" w:lineRule="auto"/>
              <w:jc w:val="center"/>
              <w:rPr>
                <w:sz w:val="20"/>
              </w:rPr>
            </w:pPr>
            <w:r w:rsidRPr="00D50CF9">
              <w:rPr>
                <w:sz w:val="20"/>
              </w:rPr>
              <w:t>CAMS bulk aerosol model</w:t>
            </w:r>
          </w:p>
        </w:tc>
      </w:tr>
      <w:tr w:rsidR="00792DCE" w:rsidRPr="00D50CF9" w:rsidTr="00FF6C9B">
        <w:trPr>
          <w:trHeight w:val="1390"/>
        </w:trPr>
        <w:tc>
          <w:tcPr>
            <w:tcW w:w="2972" w:type="dxa"/>
            <w:gridSpan w:val="2"/>
            <w:tcBorders>
              <w:top w:val="single" w:sz="4" w:space="0" w:color="auto"/>
              <w:left w:val="single" w:sz="4" w:space="0" w:color="auto"/>
              <w:bottom w:val="single" w:sz="4" w:space="0" w:color="auto"/>
              <w:right w:val="single" w:sz="4" w:space="0" w:color="auto"/>
            </w:tcBorders>
            <w:vAlign w:val="center"/>
          </w:tcPr>
          <w:p w:rsidR="00792DCE" w:rsidRPr="00D50CF9" w:rsidRDefault="00792DCE" w:rsidP="00FF6C9B">
            <w:pPr>
              <w:spacing w:line="276" w:lineRule="auto"/>
              <w:jc w:val="center"/>
              <w:rPr>
                <w:b/>
                <w:sz w:val="20"/>
              </w:rPr>
            </w:pPr>
            <w:r w:rsidRPr="00D50CF9">
              <w:rPr>
                <w:b/>
                <w:sz w:val="20"/>
              </w:rPr>
              <w:t>SOA formation</w:t>
            </w:r>
          </w:p>
        </w:tc>
        <w:tc>
          <w:tcPr>
            <w:tcW w:w="2268" w:type="dxa"/>
            <w:tcBorders>
              <w:left w:val="single" w:sz="4" w:space="0" w:color="auto"/>
            </w:tcBorders>
            <w:vAlign w:val="center"/>
          </w:tcPr>
          <w:p w:rsidR="00792DCE" w:rsidRPr="00D50CF9" w:rsidRDefault="00792DCE" w:rsidP="00FF6C9B">
            <w:pPr>
              <w:spacing w:line="276" w:lineRule="auto"/>
              <w:jc w:val="center"/>
              <w:rPr>
                <w:sz w:val="20"/>
              </w:rPr>
            </w:pPr>
            <w:r w:rsidRPr="00D50CF9">
              <w:rPr>
                <w:sz w:val="20"/>
              </w:rPr>
              <w:t>Two product yield approach (or VBS) with new smog chamber data</w:t>
            </w:r>
          </w:p>
        </w:tc>
        <w:tc>
          <w:tcPr>
            <w:tcW w:w="2552" w:type="dxa"/>
            <w:vAlign w:val="center"/>
          </w:tcPr>
          <w:p w:rsidR="00792DCE" w:rsidRPr="00D50CF9" w:rsidRDefault="00792DCE" w:rsidP="00FF6C9B">
            <w:pPr>
              <w:spacing w:line="276" w:lineRule="auto"/>
              <w:jc w:val="center"/>
              <w:rPr>
                <w:sz w:val="20"/>
              </w:rPr>
            </w:pPr>
            <w:r w:rsidRPr="00D50CF9">
              <w:rPr>
                <w:sz w:val="20"/>
              </w:rPr>
              <w:t>SOA formation from natural VOCs based on scale factor to terpene emissions</w:t>
            </w:r>
          </w:p>
        </w:tc>
        <w:tc>
          <w:tcPr>
            <w:tcW w:w="5164" w:type="dxa"/>
            <w:gridSpan w:val="3"/>
            <w:vAlign w:val="center"/>
          </w:tcPr>
          <w:p w:rsidR="00792DCE" w:rsidRPr="00D50CF9" w:rsidRDefault="00792DCE" w:rsidP="00FF6C9B">
            <w:pPr>
              <w:spacing w:line="276" w:lineRule="auto"/>
              <w:jc w:val="center"/>
              <w:rPr>
                <w:sz w:val="20"/>
              </w:rPr>
            </w:pPr>
            <w:r w:rsidRPr="00D50CF9">
              <w:rPr>
                <w:sz w:val="20"/>
              </w:rPr>
              <w:t>SOA formation from natural and anthropogenic VOCs based on scale factors to terpene and CO emissions</w:t>
            </w:r>
          </w:p>
        </w:tc>
      </w:tr>
    </w:tbl>
    <w:p w:rsidR="00792DCE" w:rsidRPr="00D50CF9" w:rsidRDefault="00792DCE" w:rsidP="00792DCE">
      <w:pPr>
        <w:rPr>
          <w:color w:val="000000" w:themeColor="text1"/>
          <w:sz w:val="20"/>
          <w:szCs w:val="24"/>
        </w:rPr>
      </w:pPr>
      <w:r w:rsidRPr="00D50CF9">
        <w:rPr>
          <w:color w:val="000000" w:themeColor="text1"/>
          <w:sz w:val="20"/>
          <w:szCs w:val="24"/>
          <w:vertAlign w:val="superscript"/>
        </w:rPr>
        <w:t>*</w:t>
      </w:r>
      <w:r w:rsidRPr="00D50CF9">
        <w:rPr>
          <w:color w:val="000000" w:themeColor="text1"/>
          <w:sz w:val="20"/>
          <w:szCs w:val="24"/>
        </w:rPr>
        <w:t xml:space="preserve"> This version was used for a period between </w:t>
      </w:r>
      <w:r w:rsidRPr="00D50CF9">
        <w:rPr>
          <w:rFonts w:eastAsia="굴림"/>
          <w:color w:val="000000" w:themeColor="text1"/>
          <w:sz w:val="20"/>
          <w:szCs w:val="24"/>
        </w:rPr>
        <w:t xml:space="preserve">September 2015 and January 2017; </w:t>
      </w:r>
      <w:r w:rsidRPr="00D50CF9">
        <w:rPr>
          <w:color w:val="000000" w:themeColor="text1"/>
          <w:sz w:val="20"/>
          <w:shd w:val="clear" w:color="auto" w:fill="FFFFFF"/>
          <w:vertAlign w:val="superscript"/>
        </w:rPr>
        <w:t>†</w:t>
      </w:r>
      <w:r w:rsidRPr="00D50CF9">
        <w:rPr>
          <w:rFonts w:eastAsia="굴림"/>
          <w:color w:val="000000" w:themeColor="text1"/>
          <w:sz w:val="20"/>
          <w:szCs w:val="24"/>
        </w:rPr>
        <w:t xml:space="preserve"> This version was used for a period between </w:t>
      </w:r>
      <w:r w:rsidRPr="00D50CF9">
        <w:rPr>
          <w:color w:val="000000" w:themeColor="text1"/>
          <w:sz w:val="20"/>
          <w:szCs w:val="24"/>
        </w:rPr>
        <w:t xml:space="preserve">January 2017 and September 2017; </w:t>
      </w:r>
      <w:r w:rsidRPr="00D50CF9">
        <w:rPr>
          <w:color w:val="000000" w:themeColor="text1"/>
          <w:sz w:val="20"/>
          <w:shd w:val="clear" w:color="auto" w:fill="FFFFFF"/>
          <w:vertAlign w:val="superscript"/>
        </w:rPr>
        <w:t>‡</w:t>
      </w:r>
      <w:r w:rsidRPr="00D50CF9">
        <w:rPr>
          <w:color w:val="000000" w:themeColor="text1"/>
          <w:sz w:val="20"/>
          <w:szCs w:val="24"/>
        </w:rPr>
        <w:t xml:space="preserve"> This version has been used for a period between </w:t>
      </w:r>
      <w:r w:rsidRPr="00D50CF9">
        <w:rPr>
          <w:color w:val="000000" w:themeColor="text1"/>
          <w:sz w:val="20"/>
          <w:szCs w:val="24"/>
          <w:lang w:eastAsia="ko-KR"/>
        </w:rPr>
        <w:t>February</w:t>
      </w:r>
      <w:r w:rsidRPr="00D50CF9">
        <w:rPr>
          <w:color w:val="000000" w:themeColor="text1"/>
          <w:sz w:val="20"/>
          <w:szCs w:val="24"/>
        </w:rPr>
        <w:t xml:space="preserve"> 202</w:t>
      </w:r>
      <w:r w:rsidRPr="00D50CF9">
        <w:rPr>
          <w:color w:val="000000" w:themeColor="text1"/>
          <w:sz w:val="20"/>
          <w:szCs w:val="24"/>
          <w:lang w:eastAsia="ko-KR"/>
        </w:rPr>
        <w:t>2</w:t>
      </w:r>
      <w:r w:rsidRPr="00D50CF9">
        <w:rPr>
          <w:color w:val="000000" w:themeColor="text1"/>
          <w:sz w:val="20"/>
          <w:szCs w:val="24"/>
        </w:rPr>
        <w:t xml:space="preserve"> and present time. </w:t>
      </w:r>
    </w:p>
    <w:p w:rsidR="00792DCE" w:rsidRPr="00D50CF9" w:rsidRDefault="00792DCE" w:rsidP="00792DCE">
      <w:pPr>
        <w:pStyle w:val="SMcaption"/>
        <w:rPr>
          <w:sz w:val="20"/>
        </w:rPr>
      </w:pPr>
    </w:p>
    <w:p w:rsidR="00792DCE" w:rsidRPr="00D50CF9" w:rsidRDefault="00792DCE" w:rsidP="00792DCE">
      <w:pPr>
        <w:rPr>
          <w:sz w:val="20"/>
        </w:rPr>
      </w:pPr>
      <w:r w:rsidRPr="00D50CF9">
        <w:rPr>
          <w:sz w:val="20"/>
        </w:rPr>
        <w:br w:type="page"/>
      </w:r>
    </w:p>
    <w:p w:rsidR="00792DCE" w:rsidRPr="00D50CF9" w:rsidRDefault="00792DCE" w:rsidP="00792DCE">
      <w:pPr>
        <w:pStyle w:val="SMcaption"/>
        <w:rPr>
          <w:sz w:val="20"/>
        </w:rPr>
        <w:sectPr w:rsidR="00792DCE" w:rsidRPr="00D50CF9" w:rsidSect="00FF6C9B">
          <w:pgSz w:w="15840" w:h="12240" w:orient="landscape"/>
          <w:pgMar w:top="1797" w:right="1440" w:bottom="1797" w:left="1440" w:header="720" w:footer="720" w:gutter="0"/>
          <w:cols w:space="720"/>
          <w:docGrid w:linePitch="360"/>
        </w:sectPr>
      </w:pPr>
    </w:p>
    <w:p w:rsidR="00792DCE" w:rsidRPr="00D50CF9" w:rsidRDefault="001D0A5C" w:rsidP="00792DCE">
      <w:pPr>
        <w:pStyle w:val="SMHeading"/>
        <w:jc w:val="both"/>
        <w:rPr>
          <w:b w:val="0"/>
        </w:rPr>
      </w:pPr>
      <w:r w:rsidRPr="00D50CF9">
        <w:lastRenderedPageBreak/>
        <w:t xml:space="preserve">Supplementary </w:t>
      </w:r>
      <w:r w:rsidR="00792DCE" w:rsidRPr="00D50CF9">
        <w:t xml:space="preserve">Table </w:t>
      </w:r>
      <w:r w:rsidR="00792DCE" w:rsidRPr="00D50CF9">
        <w:rPr>
          <w:lang w:eastAsia="ko-KR"/>
        </w:rPr>
        <w:t>4</w:t>
      </w:r>
      <w:r w:rsidRPr="00D50CF9">
        <w:rPr>
          <w:lang w:eastAsia="ko-KR"/>
        </w:rPr>
        <w:t xml:space="preserve"> |</w:t>
      </w:r>
      <w:r w:rsidR="00792DCE" w:rsidRPr="00D50CF9">
        <w:t xml:space="preserve"> </w:t>
      </w:r>
      <w:r w:rsidR="00792DCE" w:rsidRPr="00D50CF9">
        <w:rPr>
          <w:b w:val="0"/>
        </w:rPr>
        <w:t>Several formulae proposed to estimate relative standard deviations (RSDs) of errors of measured products.</w:t>
      </w:r>
    </w:p>
    <w:tbl>
      <w:tblPr>
        <w:tblStyle w:val="afff1"/>
        <w:tblW w:w="0" w:type="auto"/>
        <w:tblInd w:w="0" w:type="dxa"/>
        <w:tblLook w:val="04A0" w:firstRow="1" w:lastRow="0" w:firstColumn="1" w:lastColumn="0" w:noHBand="0" w:noVBand="1"/>
      </w:tblPr>
      <w:tblGrid>
        <w:gridCol w:w="1598"/>
        <w:gridCol w:w="2933"/>
        <w:gridCol w:w="2835"/>
        <w:gridCol w:w="1650"/>
      </w:tblGrid>
      <w:tr w:rsidR="00792DCE" w:rsidRPr="00D50CF9" w:rsidTr="005C212D">
        <w:trPr>
          <w:trHeight w:val="567"/>
        </w:trPr>
        <w:tc>
          <w:tcPr>
            <w:tcW w:w="1598" w:type="dxa"/>
            <w:vAlign w:val="center"/>
          </w:tcPr>
          <w:p w:rsidR="00792DCE" w:rsidRPr="00D50CF9" w:rsidRDefault="00792DCE" w:rsidP="00FF6C9B">
            <w:pPr>
              <w:pStyle w:val="SMcaption"/>
              <w:jc w:val="center"/>
              <w:rPr>
                <w:b/>
                <w:szCs w:val="24"/>
              </w:rPr>
            </w:pPr>
            <w:r w:rsidRPr="00D50CF9">
              <w:rPr>
                <w:b/>
                <w:szCs w:val="24"/>
              </w:rPr>
              <w:t>Products</w:t>
            </w:r>
          </w:p>
        </w:tc>
        <w:tc>
          <w:tcPr>
            <w:tcW w:w="2933" w:type="dxa"/>
            <w:vAlign w:val="center"/>
          </w:tcPr>
          <w:p w:rsidR="00792DCE" w:rsidRPr="00D50CF9" w:rsidRDefault="00792DCE" w:rsidP="00FF6C9B">
            <w:pPr>
              <w:pStyle w:val="SMcaption"/>
              <w:jc w:val="center"/>
              <w:rPr>
                <w:b/>
                <w:szCs w:val="24"/>
              </w:rPr>
            </w:pPr>
            <w:r w:rsidRPr="00D50CF9">
              <w:rPr>
                <w:b/>
                <w:szCs w:val="24"/>
              </w:rPr>
              <w:t>Land</w:t>
            </w:r>
          </w:p>
        </w:tc>
        <w:tc>
          <w:tcPr>
            <w:tcW w:w="2835" w:type="dxa"/>
            <w:vAlign w:val="center"/>
          </w:tcPr>
          <w:p w:rsidR="00792DCE" w:rsidRPr="00D50CF9" w:rsidRDefault="00792DCE" w:rsidP="00FF6C9B">
            <w:pPr>
              <w:pStyle w:val="SMcaption"/>
              <w:jc w:val="center"/>
              <w:rPr>
                <w:b/>
                <w:szCs w:val="24"/>
              </w:rPr>
            </w:pPr>
            <w:r w:rsidRPr="00D50CF9">
              <w:rPr>
                <w:b/>
                <w:szCs w:val="24"/>
              </w:rPr>
              <w:t>Ocean</w:t>
            </w:r>
          </w:p>
        </w:tc>
        <w:tc>
          <w:tcPr>
            <w:tcW w:w="1650" w:type="dxa"/>
            <w:vAlign w:val="center"/>
          </w:tcPr>
          <w:p w:rsidR="00792DCE" w:rsidRPr="00D50CF9" w:rsidRDefault="00792DCE" w:rsidP="00FF6C9B">
            <w:pPr>
              <w:pStyle w:val="SMcaption"/>
              <w:jc w:val="center"/>
              <w:rPr>
                <w:b/>
                <w:szCs w:val="24"/>
              </w:rPr>
            </w:pPr>
            <w:r w:rsidRPr="00D50CF9">
              <w:rPr>
                <w:b/>
                <w:szCs w:val="24"/>
              </w:rPr>
              <w:t>References</w:t>
            </w:r>
          </w:p>
        </w:tc>
      </w:tr>
      <w:tr w:rsidR="00792DCE" w:rsidRPr="00D50CF9" w:rsidTr="005C212D">
        <w:trPr>
          <w:trHeight w:val="567"/>
        </w:trPr>
        <w:tc>
          <w:tcPr>
            <w:tcW w:w="1598" w:type="dxa"/>
            <w:vAlign w:val="center"/>
          </w:tcPr>
          <w:p w:rsidR="00792DCE" w:rsidRPr="00D50CF9" w:rsidRDefault="00792DCE" w:rsidP="00FF6C9B">
            <w:pPr>
              <w:pStyle w:val="SMcaption"/>
              <w:jc w:val="center"/>
              <w:rPr>
                <w:bCs/>
                <w:szCs w:val="24"/>
              </w:rPr>
            </w:pPr>
            <w:r w:rsidRPr="00D50CF9">
              <w:rPr>
                <w:bCs/>
                <w:szCs w:val="24"/>
              </w:rPr>
              <w:t>Ground PM</w:t>
            </w:r>
          </w:p>
        </w:tc>
        <w:tc>
          <w:tcPr>
            <w:tcW w:w="2933" w:type="dxa"/>
            <w:vAlign w:val="center"/>
          </w:tcPr>
          <w:p w:rsidR="00792DCE" w:rsidRPr="00D50CF9" w:rsidRDefault="00B32EF8" w:rsidP="00FF6C9B">
            <w:pPr>
              <w:pStyle w:val="SMcaption"/>
              <w:jc w:val="center"/>
              <w:rPr>
                <w:bCs/>
                <w:szCs w:val="24"/>
              </w:rPr>
            </w:pPr>
            <m:oMathPara>
              <m:oMathParaPr>
                <m:jc m:val="centerGroup"/>
              </m:oMathParaPr>
              <m:oMath>
                <m:sSub>
                  <m:sSubPr>
                    <m:ctrlPr>
                      <w:rPr>
                        <w:rFonts w:ascii="Cambria Math" w:hAnsi="Cambria Math"/>
                        <w:bCs/>
                        <w:i/>
                        <w:iCs/>
                        <w:szCs w:val="24"/>
                      </w:rPr>
                    </m:ctrlPr>
                  </m:sSubPr>
                  <m:e>
                    <m:r>
                      <w:rPr>
                        <w:rFonts w:ascii="Cambria Math" w:hAnsi="Cambria Math"/>
                        <w:szCs w:val="24"/>
                      </w:rPr>
                      <m:t>      ϵ</m:t>
                    </m:r>
                  </m:e>
                  <m:sub>
                    <m:r>
                      <m:rPr>
                        <m:sty m:val="p"/>
                      </m:rPr>
                      <w:rPr>
                        <w:rFonts w:ascii="Cambria Math" w:hAnsi="Cambria Math"/>
                        <w:szCs w:val="24"/>
                      </w:rPr>
                      <m:t>PM</m:t>
                    </m:r>
                  </m:sub>
                </m:sSub>
                <m:r>
                  <w:rPr>
                    <w:rFonts w:ascii="Cambria Math" w:hAnsi="Cambria Math"/>
                    <w:szCs w:val="24"/>
                  </w:rPr>
                  <m:t>=</m:t>
                </m:r>
                <m:rad>
                  <m:radPr>
                    <m:degHide m:val="1"/>
                    <m:ctrlPr>
                      <w:rPr>
                        <w:rFonts w:ascii="Cambria Math" w:hAnsi="Cambria Math"/>
                        <w:bCs/>
                        <w:i/>
                        <w:iCs/>
                        <w:szCs w:val="24"/>
                      </w:rPr>
                    </m:ctrlPr>
                  </m:radPr>
                  <m:deg/>
                  <m:e>
                    <m:sSubSup>
                      <m:sSubSupPr>
                        <m:ctrlPr>
                          <w:rPr>
                            <w:rFonts w:ascii="Cambria Math" w:hAnsi="Cambria Math"/>
                            <w:bCs/>
                            <w:i/>
                            <w:iCs/>
                            <w:szCs w:val="24"/>
                          </w:rPr>
                        </m:ctrlPr>
                      </m:sSubSupPr>
                      <m:e>
                        <m:r>
                          <w:rPr>
                            <w:rFonts w:ascii="Cambria Math" w:hAnsi="Cambria Math"/>
                            <w:szCs w:val="24"/>
                          </w:rPr>
                          <m:t>ϵ</m:t>
                        </m:r>
                      </m:e>
                      <m:sub>
                        <m:r>
                          <m:rPr>
                            <m:sty m:val="p"/>
                          </m:rPr>
                          <w:rPr>
                            <w:rFonts w:ascii="Cambria Math" w:hAnsi="Cambria Math"/>
                            <w:szCs w:val="24"/>
                          </w:rPr>
                          <m:t>o</m:t>
                        </m:r>
                      </m:sub>
                      <m:sup>
                        <m:r>
                          <w:rPr>
                            <w:rFonts w:ascii="Cambria Math" w:hAnsi="Cambria Math"/>
                            <w:szCs w:val="24"/>
                          </w:rPr>
                          <m:t>2</m:t>
                        </m:r>
                      </m:sup>
                    </m:sSubSup>
                    <m:r>
                      <w:rPr>
                        <w:rFonts w:ascii="Cambria Math" w:hAnsi="Cambria Math"/>
                        <w:szCs w:val="24"/>
                      </w:rPr>
                      <m:t>+</m:t>
                    </m:r>
                    <m:sSubSup>
                      <m:sSubSupPr>
                        <m:ctrlPr>
                          <w:rPr>
                            <w:rFonts w:ascii="Cambria Math" w:hAnsi="Cambria Math"/>
                            <w:bCs/>
                            <w:i/>
                            <w:iCs/>
                            <w:szCs w:val="24"/>
                          </w:rPr>
                        </m:ctrlPr>
                      </m:sSubSupPr>
                      <m:e>
                        <m:r>
                          <w:rPr>
                            <w:rFonts w:ascii="Cambria Math" w:hAnsi="Cambria Math"/>
                            <w:szCs w:val="24"/>
                          </w:rPr>
                          <m:t>ϵ</m:t>
                        </m:r>
                      </m:e>
                      <m:sub>
                        <m:r>
                          <m:rPr>
                            <m:sty m:val="p"/>
                          </m:rPr>
                          <w:rPr>
                            <w:rFonts w:ascii="Cambria Math" w:hAnsi="Cambria Math"/>
                            <w:szCs w:val="24"/>
                          </w:rPr>
                          <m:t>r</m:t>
                        </m:r>
                      </m:sub>
                      <m:sup>
                        <m:r>
                          <w:rPr>
                            <w:rFonts w:ascii="Cambria Math" w:hAnsi="Cambria Math"/>
                            <w:szCs w:val="24"/>
                          </w:rPr>
                          <m:t>2</m:t>
                        </m:r>
                      </m:sup>
                    </m:sSubSup>
                  </m:e>
                </m:rad>
              </m:oMath>
            </m:oMathPara>
          </w:p>
          <w:p w:rsidR="00792DCE" w:rsidRPr="00D50CF9" w:rsidRDefault="00B32EF8" w:rsidP="00FF6C9B">
            <w:pPr>
              <w:pStyle w:val="SMcaption"/>
              <w:jc w:val="center"/>
              <w:rPr>
                <w:bCs/>
                <w:szCs w:val="24"/>
              </w:rPr>
            </w:pPr>
            <m:oMathPara>
              <m:oMathParaPr>
                <m:jc m:val="centerGroup"/>
              </m:oMathParaPr>
              <m:oMath>
                <m:sSub>
                  <m:sSubPr>
                    <m:ctrlPr>
                      <w:rPr>
                        <w:rFonts w:ascii="Cambria Math" w:hAnsi="Cambria Math"/>
                        <w:bCs/>
                        <w:i/>
                        <w:iCs/>
                        <w:szCs w:val="24"/>
                      </w:rPr>
                    </m:ctrlPr>
                  </m:sSubPr>
                  <m:e>
                    <m:r>
                      <w:rPr>
                        <w:rFonts w:ascii="Cambria Math" w:hAnsi="Cambria Math"/>
                        <w:szCs w:val="24"/>
                      </w:rPr>
                      <m:t>      ϵ</m:t>
                    </m:r>
                  </m:e>
                  <m:sub>
                    <m:r>
                      <m:rPr>
                        <m:sty m:val="p"/>
                      </m:rPr>
                      <w:rPr>
                        <w:rFonts w:ascii="Cambria Math" w:hAnsi="Cambria Math"/>
                        <w:szCs w:val="24"/>
                      </w:rPr>
                      <m:t>o</m:t>
                    </m:r>
                  </m:sub>
                </m:sSub>
                <m:r>
                  <w:rPr>
                    <w:rFonts w:ascii="Cambria Math" w:hAnsi="Cambria Math"/>
                    <w:szCs w:val="24"/>
                  </w:rPr>
                  <m:t>=1.5+0.0075×</m:t>
                </m:r>
                <m:sSub>
                  <m:sSubPr>
                    <m:ctrlPr>
                      <w:rPr>
                        <w:rFonts w:ascii="Cambria Math" w:hAnsi="Cambria Math"/>
                        <w:bCs/>
                        <w:i/>
                        <w:iCs/>
                        <w:szCs w:val="24"/>
                      </w:rPr>
                    </m:ctrlPr>
                  </m:sSubPr>
                  <m:e>
                    <m:r>
                      <w:rPr>
                        <w:rFonts w:ascii="Cambria Math" w:hAnsi="Cambria Math"/>
                        <w:szCs w:val="24"/>
                      </w:rPr>
                      <m:t>x</m:t>
                    </m:r>
                  </m:e>
                  <m:sub>
                    <m:r>
                      <m:rPr>
                        <m:sty m:val="p"/>
                      </m:rPr>
                      <w:rPr>
                        <w:rFonts w:ascii="Cambria Math" w:hAnsi="Cambria Math"/>
                        <w:szCs w:val="24"/>
                      </w:rPr>
                      <m:t>o</m:t>
                    </m:r>
                  </m:sub>
                </m:sSub>
              </m:oMath>
            </m:oMathPara>
          </w:p>
          <w:p w:rsidR="00792DCE" w:rsidRPr="00D50CF9" w:rsidRDefault="00B32EF8" w:rsidP="00FF6C9B">
            <w:pPr>
              <w:pStyle w:val="SMcaption"/>
              <w:jc w:val="center"/>
              <w:rPr>
                <w:bCs/>
                <w:szCs w:val="24"/>
              </w:rPr>
            </w:pPr>
            <m:oMathPara>
              <m:oMath>
                <m:sSub>
                  <m:sSubPr>
                    <m:ctrlPr>
                      <w:rPr>
                        <w:rFonts w:ascii="Cambria Math" w:hAnsi="Cambria Math"/>
                        <w:bCs/>
                        <w:i/>
                        <w:iCs/>
                        <w:szCs w:val="24"/>
                      </w:rPr>
                    </m:ctrlPr>
                  </m:sSubPr>
                  <m:e>
                    <m:r>
                      <w:rPr>
                        <w:rFonts w:ascii="Cambria Math" w:hAnsi="Cambria Math"/>
                        <w:szCs w:val="24"/>
                      </w:rPr>
                      <m:t>      ϵ</m:t>
                    </m:r>
                  </m:e>
                  <m:sub>
                    <m:r>
                      <m:rPr>
                        <m:sty m:val="p"/>
                      </m:rPr>
                      <w:rPr>
                        <w:rFonts w:ascii="Cambria Math" w:hAnsi="Cambria Math"/>
                        <w:szCs w:val="24"/>
                      </w:rPr>
                      <m:t>r</m:t>
                    </m:r>
                  </m:sub>
                </m:sSub>
                <m:r>
                  <w:rPr>
                    <w:rFonts w:ascii="Cambria Math" w:hAnsi="Cambria Math"/>
                    <w:szCs w:val="24"/>
                  </w:rPr>
                  <m:t>=0.5</m:t>
                </m:r>
                <m:sSub>
                  <m:sSubPr>
                    <m:ctrlPr>
                      <w:rPr>
                        <w:rFonts w:ascii="Cambria Math" w:hAnsi="Cambria Math"/>
                        <w:bCs/>
                        <w:i/>
                        <w:iCs/>
                        <w:szCs w:val="24"/>
                      </w:rPr>
                    </m:ctrlPr>
                  </m:sSubPr>
                  <m:e>
                    <m:r>
                      <w:rPr>
                        <w:rFonts w:ascii="Cambria Math" w:hAnsi="Cambria Math"/>
                        <w:szCs w:val="24"/>
                      </w:rPr>
                      <m:t>ϵ</m:t>
                    </m:r>
                  </m:e>
                  <m:sub>
                    <m:r>
                      <m:rPr>
                        <m:sty m:val="p"/>
                      </m:rPr>
                      <w:rPr>
                        <w:rFonts w:ascii="Cambria Math" w:hAnsi="Cambria Math"/>
                        <w:szCs w:val="24"/>
                      </w:rPr>
                      <m:t>o</m:t>
                    </m:r>
                  </m:sub>
                </m:sSub>
                <m:rad>
                  <m:radPr>
                    <m:degHide m:val="1"/>
                    <m:ctrlPr>
                      <w:rPr>
                        <w:rFonts w:ascii="Cambria Math" w:hAnsi="Cambria Math"/>
                        <w:bCs/>
                        <w:i/>
                        <w:iCs/>
                        <w:szCs w:val="24"/>
                      </w:rPr>
                    </m:ctrlPr>
                  </m:radPr>
                  <m:deg/>
                  <m:e>
                    <m:f>
                      <m:fPr>
                        <m:ctrlPr>
                          <w:rPr>
                            <w:rFonts w:ascii="Cambria Math" w:hAnsi="Cambria Math"/>
                            <w:bCs/>
                            <w:i/>
                            <w:iCs/>
                            <w:szCs w:val="24"/>
                          </w:rPr>
                        </m:ctrlPr>
                      </m:fPr>
                      <m:num>
                        <m:r>
                          <m:rPr>
                            <m:sty m:val="p"/>
                          </m:rPr>
                          <w:rPr>
                            <w:rFonts w:ascii="Cambria Math" w:hAnsi="Cambria Math"/>
                            <w:szCs w:val="24"/>
                          </w:rPr>
                          <m:t>Δ</m:t>
                        </m:r>
                        <m:r>
                          <w:rPr>
                            <w:rFonts w:ascii="Cambria Math" w:hAnsi="Cambria Math"/>
                            <w:szCs w:val="24"/>
                          </w:rPr>
                          <m:t>x</m:t>
                        </m:r>
                      </m:num>
                      <m:den>
                        <m:r>
                          <w:rPr>
                            <w:rFonts w:ascii="Cambria Math" w:hAnsi="Cambria Math"/>
                            <w:szCs w:val="24"/>
                          </w:rPr>
                          <m:t>L</m:t>
                        </m:r>
                      </m:den>
                    </m:f>
                  </m:e>
                </m:rad>
              </m:oMath>
            </m:oMathPara>
          </w:p>
        </w:tc>
        <w:tc>
          <w:tcPr>
            <w:tcW w:w="2835" w:type="dxa"/>
            <w:vAlign w:val="center"/>
          </w:tcPr>
          <w:p w:rsidR="00792DCE" w:rsidRPr="00D50CF9" w:rsidRDefault="00792DCE" w:rsidP="00FF6C9B">
            <w:pPr>
              <w:pStyle w:val="SMcaption"/>
              <w:jc w:val="center"/>
              <w:rPr>
                <w:bCs/>
                <w:szCs w:val="24"/>
              </w:rPr>
            </w:pPr>
            <w:r w:rsidRPr="00D50CF9">
              <w:rPr>
                <w:bCs/>
                <w:szCs w:val="24"/>
              </w:rPr>
              <w:t>-</w:t>
            </w:r>
          </w:p>
        </w:tc>
        <w:tc>
          <w:tcPr>
            <w:tcW w:w="1650" w:type="dxa"/>
            <w:vAlign w:val="center"/>
          </w:tcPr>
          <w:p w:rsidR="00792DCE" w:rsidRPr="00D50CF9" w:rsidRDefault="00792DCE" w:rsidP="003232C6">
            <w:pPr>
              <w:pStyle w:val="SMcaption"/>
              <w:jc w:val="center"/>
              <w:rPr>
                <w:bCs/>
                <w:szCs w:val="24"/>
              </w:rPr>
            </w:pPr>
            <w:r w:rsidRPr="00D50CF9">
              <w:rPr>
                <w:bCs/>
                <w:szCs w:val="24"/>
              </w:rPr>
              <w:t xml:space="preserve">Elbern et al. </w:t>
            </w:r>
            <w:r w:rsidRPr="00D50CF9">
              <w:rPr>
                <w:bCs/>
                <w:szCs w:val="24"/>
              </w:rPr>
              <w:fldChar w:fldCharType="begin"/>
            </w:r>
            <w:r w:rsidR="003232C6" w:rsidRPr="00D50CF9">
              <w:rPr>
                <w:bCs/>
                <w:szCs w:val="24"/>
              </w:rPr>
              <w:instrText xml:space="preserve"> ADDIN ZOTERO_ITEM CSL_CITATION {"citationID":"MZg8501j","properties":{"formattedCitation":"\\super 37\\nosupersub{}","plainCitation":"37","noteIndex":0},"citationItems":[{"id":"K1HJXOxR/uXbO76hz","uris":["http://zotero.org/users/3789855/items/92JNQUH9"],"itemData":{"id":449,"type":"article-journal","abstract":"&lt;p&gt;&lt;strong&gt;Abstract.&lt;/strong&gt; This study aims to assess the potential and limits of an advanced inversion method to estimate pollutant precursor sources mainly from observations. Ozone, sulphur dioxide, and partly nitrogen oxides observations are taken to infer source strength estimates. As methodology, the four-dimensional variational data assimilation technique has been generalised and employed to include emission rate optimisation, in addition to chemical state estimates as usual objective of data assimilation. To this end, the optimisation space of the variational assimilation system has been complemented by emission rate correction factors of 19 emitted species at each emitting grid point, involving the University of Cologne mesoscale EURAD model. For validation, predictive skills were assessed for an August 1997 ozone episode, comparing forecast performances of pure initial value optimisation, pure emission rate optimisation, and joint emission rate/initial value optimisation. &lt;br&gt;&lt;br&gt; Validation procedures rest on both measurements withheld from data assimilation and prediction skill evaluation of forecasts after the inversion procedures. Results show that excellent improvements can be claimed for sulphur dioxide forecasts, after emission rate optimisation. Significant improvements can be claimed for ozone forecasts after initial value and joint emission rate/initial value optimisation of precursor constituents. The additional benefits applying joint emission rate/initial value optimisation are moderate, and very useful in typical cases, where upwind emission rate optimisation is essential. In consequence of the coarse horizontal model grid resolution of 54 km, applied in this study, comparisons indicate that the inversion improvements can rest on assimilating ozone observations only, as the inclusion of NO&lt;sub&gt;x&lt;/sub&gt; observations does not provide additional forecast skill. Emission estimates were found to be largely independent from initial guesses from emission inventories, demonstrating the potential of the 4D-var method to infer emission rate improvements. The study also points to the need for improved horizontal model resolution to more efficient use of NO&lt;sub&gt;x&lt;/sub&gt; observations.&lt;/p&gt;","container-title":"Atmospheric Chemistry and Physics","DOI":"https://doi.org/10.5194/acp-7-3749-2007","ISSN":"1680-7316","issue":"14","language":"English","page":"3749-3769","source":"www.atmos-chem-phys.net","title":"Emission rate and chemical state estimation by 4-dimensional variational inversion","volume":"7","author":[{"family":"Elbern","given":"H."},{"family":"Strunk","given":"A."},{"family":"Schmidt","given":"H."},{"family":"Talagrand","given":"O."}],"issued":{"date-parts":[["2007",7,19]]}}}],"schema":"https://github.com/citation-style-language/schema/raw/master/csl-citation.json"} </w:instrText>
            </w:r>
            <w:r w:rsidRPr="00D50CF9">
              <w:rPr>
                <w:bCs/>
                <w:szCs w:val="24"/>
              </w:rPr>
              <w:fldChar w:fldCharType="separate"/>
            </w:r>
            <w:r w:rsidR="003232C6" w:rsidRPr="00D50CF9">
              <w:rPr>
                <w:szCs w:val="24"/>
                <w:vertAlign w:val="superscript"/>
              </w:rPr>
              <w:t>37</w:t>
            </w:r>
            <w:r w:rsidRPr="00D50CF9">
              <w:rPr>
                <w:bCs/>
                <w:szCs w:val="24"/>
              </w:rPr>
              <w:fldChar w:fldCharType="end"/>
            </w:r>
          </w:p>
        </w:tc>
      </w:tr>
      <w:tr w:rsidR="00792DCE" w:rsidRPr="00D50CF9" w:rsidTr="005C212D">
        <w:trPr>
          <w:trHeight w:val="567"/>
        </w:trPr>
        <w:tc>
          <w:tcPr>
            <w:tcW w:w="1598" w:type="dxa"/>
            <w:vAlign w:val="center"/>
          </w:tcPr>
          <w:p w:rsidR="00792DCE" w:rsidRPr="00D50CF9" w:rsidRDefault="00792DCE" w:rsidP="00FF6C9B">
            <w:pPr>
              <w:pStyle w:val="SMcaption"/>
              <w:jc w:val="center"/>
              <w:rPr>
                <w:bCs/>
                <w:szCs w:val="24"/>
              </w:rPr>
            </w:pPr>
            <w:r w:rsidRPr="00D50CF9">
              <w:rPr>
                <w:bCs/>
                <w:szCs w:val="24"/>
              </w:rPr>
              <w:t>GOCI AOD</w:t>
            </w:r>
          </w:p>
        </w:tc>
        <w:tc>
          <w:tcPr>
            <w:tcW w:w="2933" w:type="dxa"/>
            <w:vAlign w:val="center"/>
          </w:tcPr>
          <w:p w:rsidR="00792DCE" w:rsidRPr="00D50CF9" w:rsidRDefault="00792DCE" w:rsidP="00FF6C9B">
            <w:pPr>
              <w:pStyle w:val="SMcaption"/>
              <w:jc w:val="center"/>
              <w:rPr>
                <w:bCs/>
                <w:szCs w:val="24"/>
              </w:rPr>
            </w:pPr>
            <m:oMathPara>
              <m:oMath>
                <m:r>
                  <w:rPr>
                    <w:rFonts w:ascii="Cambria Math" w:hAnsi="Cambria Math"/>
                    <w:szCs w:val="24"/>
                  </w:rPr>
                  <m:t>0.184×</m:t>
                </m:r>
                <m:sSub>
                  <m:sSubPr>
                    <m:ctrlPr>
                      <w:rPr>
                        <w:rFonts w:ascii="Cambria Math" w:hAnsi="Cambria Math"/>
                        <w:bCs/>
                        <w:i/>
                        <w:iCs/>
                        <w:szCs w:val="24"/>
                      </w:rPr>
                    </m:ctrlPr>
                  </m:sSubPr>
                  <m:e>
                    <m:r>
                      <w:rPr>
                        <w:rFonts w:ascii="Cambria Math" w:hAnsi="Cambria Math"/>
                        <w:szCs w:val="24"/>
                      </w:rPr>
                      <m:t>τ</m:t>
                    </m:r>
                  </m:e>
                  <m:sub>
                    <m:r>
                      <m:rPr>
                        <m:sty m:val="p"/>
                      </m:rPr>
                      <w:rPr>
                        <w:rFonts w:ascii="Cambria Math" w:hAnsi="Cambria Math"/>
                        <w:szCs w:val="24"/>
                      </w:rPr>
                      <m:t>GOCI</m:t>
                    </m:r>
                  </m:sub>
                </m:sSub>
                <m:r>
                  <w:rPr>
                    <w:rFonts w:ascii="Cambria Math" w:hAnsi="Cambria Math"/>
                    <w:szCs w:val="24"/>
                  </w:rPr>
                  <m:t>+0.061</m:t>
                </m:r>
              </m:oMath>
            </m:oMathPara>
          </w:p>
        </w:tc>
        <w:tc>
          <w:tcPr>
            <w:tcW w:w="2835" w:type="dxa"/>
            <w:vAlign w:val="center"/>
          </w:tcPr>
          <w:p w:rsidR="00792DCE" w:rsidRPr="00D50CF9" w:rsidRDefault="00792DCE" w:rsidP="00FF6C9B">
            <w:pPr>
              <w:pStyle w:val="SMcaption"/>
              <w:jc w:val="center"/>
              <w:rPr>
                <w:bCs/>
                <w:szCs w:val="24"/>
              </w:rPr>
            </w:pPr>
            <m:oMathPara>
              <m:oMath>
                <m:r>
                  <w:rPr>
                    <w:rFonts w:ascii="Cambria Math" w:hAnsi="Cambria Math"/>
                    <w:szCs w:val="24"/>
                  </w:rPr>
                  <m:t>0.206×</m:t>
                </m:r>
                <m:sSub>
                  <m:sSubPr>
                    <m:ctrlPr>
                      <w:rPr>
                        <w:rFonts w:ascii="Cambria Math" w:hAnsi="Cambria Math"/>
                        <w:bCs/>
                        <w:i/>
                        <w:iCs/>
                        <w:szCs w:val="24"/>
                      </w:rPr>
                    </m:ctrlPr>
                  </m:sSubPr>
                  <m:e>
                    <m:r>
                      <w:rPr>
                        <w:rFonts w:ascii="Cambria Math" w:hAnsi="Cambria Math"/>
                        <w:szCs w:val="24"/>
                      </w:rPr>
                      <m:t>τ</m:t>
                    </m:r>
                  </m:e>
                  <m:sub>
                    <m:r>
                      <m:rPr>
                        <m:sty m:val="p"/>
                      </m:rPr>
                      <w:rPr>
                        <w:rFonts w:ascii="Cambria Math" w:hAnsi="Cambria Math"/>
                        <w:szCs w:val="24"/>
                      </w:rPr>
                      <m:t>GOCI</m:t>
                    </m:r>
                  </m:sub>
                </m:sSub>
                <m:r>
                  <w:rPr>
                    <w:rFonts w:ascii="Cambria Math" w:hAnsi="Cambria Math"/>
                    <w:szCs w:val="24"/>
                  </w:rPr>
                  <m:t>+0.030</m:t>
                </m:r>
              </m:oMath>
            </m:oMathPara>
          </w:p>
        </w:tc>
        <w:tc>
          <w:tcPr>
            <w:tcW w:w="1650" w:type="dxa"/>
            <w:vAlign w:val="center"/>
          </w:tcPr>
          <w:p w:rsidR="00792DCE" w:rsidRPr="00D50CF9" w:rsidRDefault="00792DCE" w:rsidP="003232C6">
            <w:pPr>
              <w:pStyle w:val="SMcaption"/>
              <w:jc w:val="center"/>
              <w:rPr>
                <w:bCs/>
                <w:szCs w:val="24"/>
              </w:rPr>
            </w:pPr>
            <w:r w:rsidRPr="00D50CF9">
              <w:rPr>
                <w:bCs/>
                <w:szCs w:val="24"/>
              </w:rPr>
              <w:t xml:space="preserve">Choi et al. </w:t>
            </w:r>
            <w:r w:rsidRPr="00D50CF9">
              <w:rPr>
                <w:bCs/>
                <w:szCs w:val="24"/>
              </w:rPr>
              <w:fldChar w:fldCharType="begin"/>
            </w:r>
            <w:r w:rsidR="003232C6" w:rsidRPr="00D50CF9">
              <w:rPr>
                <w:bCs/>
                <w:szCs w:val="24"/>
              </w:rPr>
              <w:instrText xml:space="preserve"> ADDIN ZOTERO_ITEM CSL_CITATION {"citationID":"AuSj2OC3","properties":{"formattedCitation":"\\super 35\\nosupersub{}","plainCitation":"35","noteIndex":0},"citationItems":[{"id":1001,"uris":["http://zotero.org/users/3789855/items/M8W7RLJW"],"itemData":{"id":1001,"type":"article-journal","abstract":"&lt;p&gt;&lt;strong class=\"journal-contentHeaderColor\"&gt;Abstract.&lt;/strong&gt; The Geostationary Ocean Color Imager (GOCI) Yonsei aerosol retrieval (YAER) version 1 algorithm was developed to retrieve hourly aerosol optical depth at 550&amp;thinsp;nm (AOD) and other subsidiary aerosol optical properties over East Asia. The GOCI YAER AOD had accuracy comparable to ground-based and other satellite-based observations but still had errors because of uncertainties in surface reflectance and simple cloud masking. In addition, near-real-time (NRT) processing was not possible because a monthly database for each year encompassing the day of retrieval was required for the determination of surface reflectance. This study describes the improved GOCI YAER algorithm version 2 (V2) for NRT processing with improved accuracy based on updates to the cloud-masking and surface-reflectance calculations using a multi-year Rayleigh-corrected reflectance and wind speed database, and inversion channels for surface conditions. The improved GOCI AOD &lt;span class=\"inline-formula\"&gt;&lt;i&gt;τ&lt;/i&gt;&lt;sub&gt;G&lt;/sub&gt;&lt;/span&gt; is closer to that of the Moderate Resolution Imaging Spectroradiometer (MODIS) and Visible Infrared Imaging Radiometer Suite (VIIRS) AOD than was the case for AOD from the YAER V1 algorithm. The V2 &lt;span class=\"inline-formula\"&gt;&lt;i&gt;τ&lt;/i&gt;&lt;sub&gt;G&lt;/sub&gt;&lt;/span&gt; has a lower median bias and higher ratio within the MODIS expected error range (0.60 for land and 0.71 for ocean) compared with V1 (0.49 for land and 0.62 for ocean) in a validation test against Aerosol Robotic Network (AERONET) AOD &lt;span class=\"inline-formula\"&gt;&lt;i&gt;τ&lt;/i&gt;&lt;sub&gt;A&lt;/sub&gt;&lt;/span&gt; from 2011 to 2016. A validation using the Sun-Sky Radiometer Observation Network (SONET) over China shows similar results. The bias of error (&lt;span class=\"inline-formula\"&gt;&lt;i&gt;τ&lt;/i&gt;&lt;sub&gt;G&lt;/sub&gt;−&lt;i&gt;τ&lt;/i&gt;&lt;sub&gt;A&lt;/sub&gt;)&lt;/span&gt; is within &lt;span class=\"inline-formula\"&gt;−&lt;/span&gt;0.1 and 0.1, and it is a function of AERONET AOD and Ångström exponent (AE), scattering angle, normalized difference vegetation index (NDVI), cloud fraction and homogeneity of retrieved AOD, and observation time, month, and year. In addition, the diagnostic and prognostic expected error (PEE) of &lt;span class=\"inline-formula\"&gt;&lt;i&gt;τ&lt;/i&gt;&lt;sub&gt;G&lt;/sub&gt;&lt;/span&gt; are estimated. The estimated PEE of GOCI V2 AOD is well correlated with the actual error over East Asia, and the GOCI V2 AOD over South Korea has a higher ratio within PEE than that over China and Japan.&lt;/p&gt;","container-title":"Atmospheric Measurement Techniques","DOI":"10.5194/amt-11-385-2018","ISSN":"1867-1381","issue":"1","language":"English","note":"publisher: Copernicus GmbH","page":"385-408","source":"amt.copernicus.org","title":"GOCI Yonsei aerosol retrieval version 2 products: an improved algorithm and error analysis with uncertainty estimation from 5-year validation over East Asia","title-short":"GOCI Yonsei aerosol retrieval version 2 products","volume":"11","author":[{"family":"Choi","given":"Myungje"},{"family":"Kim","given":"Jhoon"},{"family":"Lee","given":"Jaehwa"},{"family":"Kim","given":"Mijin"},{"family":"Park","given":"Young-Je"},{"family":"Holben","given":"Brent"},{"family":"Eck","given":"Thomas F."},{"family":"Li","given":"Zhengqiang"},{"family":"Song","given":"Chul H."}],"issued":{"date-parts":[["2018",1,17]]}}}],"schema":"https://github.com/citation-style-language/schema/raw/master/csl-citation.json"} </w:instrText>
            </w:r>
            <w:r w:rsidRPr="00D50CF9">
              <w:rPr>
                <w:bCs/>
                <w:szCs w:val="24"/>
              </w:rPr>
              <w:fldChar w:fldCharType="separate"/>
            </w:r>
            <w:r w:rsidR="003232C6" w:rsidRPr="00D50CF9">
              <w:rPr>
                <w:szCs w:val="24"/>
                <w:vertAlign w:val="superscript"/>
              </w:rPr>
              <w:t>35</w:t>
            </w:r>
            <w:r w:rsidRPr="00D50CF9">
              <w:rPr>
                <w:bCs/>
                <w:szCs w:val="24"/>
              </w:rPr>
              <w:fldChar w:fldCharType="end"/>
            </w:r>
          </w:p>
        </w:tc>
      </w:tr>
      <w:tr w:rsidR="00792DCE" w:rsidRPr="00D50CF9" w:rsidTr="005C212D">
        <w:trPr>
          <w:trHeight w:val="567"/>
        </w:trPr>
        <w:tc>
          <w:tcPr>
            <w:tcW w:w="1598" w:type="dxa"/>
            <w:vAlign w:val="center"/>
          </w:tcPr>
          <w:p w:rsidR="00792DCE" w:rsidRPr="00D50CF9" w:rsidRDefault="00792DCE" w:rsidP="00FF6C9B">
            <w:pPr>
              <w:pStyle w:val="SMcaption"/>
              <w:jc w:val="center"/>
              <w:rPr>
                <w:bCs/>
                <w:szCs w:val="24"/>
              </w:rPr>
            </w:pPr>
            <w:r w:rsidRPr="00D50CF9">
              <w:rPr>
                <w:bCs/>
                <w:szCs w:val="24"/>
              </w:rPr>
              <w:t>RF PM</w:t>
            </w:r>
          </w:p>
        </w:tc>
        <w:tc>
          <w:tcPr>
            <w:tcW w:w="2933" w:type="dxa"/>
            <w:vAlign w:val="center"/>
          </w:tcPr>
          <w:p w:rsidR="00792DCE" w:rsidRPr="00D50CF9" w:rsidRDefault="00792DCE" w:rsidP="00FF6C9B">
            <w:pPr>
              <w:pStyle w:val="SMcaption"/>
              <w:jc w:val="center"/>
              <w:rPr>
                <w:bCs/>
                <w:szCs w:val="24"/>
              </w:rPr>
            </w:pPr>
            <m:oMathPara>
              <m:oMath>
                <m:r>
                  <m:rPr>
                    <m:sty m:val="p"/>
                  </m:rPr>
                  <w:rPr>
                    <w:rFonts w:ascii="Cambria Math" w:hAnsi="Cambria Math"/>
                    <w:szCs w:val="24"/>
                  </w:rPr>
                  <m:t>0.341</m:t>
                </m:r>
                <m:r>
                  <w:rPr>
                    <w:rFonts w:ascii="Cambria Math" w:hAnsi="Cambria Math"/>
                    <w:szCs w:val="24"/>
                  </w:rPr>
                  <m:t>×</m:t>
                </m:r>
                <m:sSub>
                  <m:sSubPr>
                    <m:ctrlPr>
                      <w:rPr>
                        <w:rFonts w:ascii="Cambria Math" w:hAnsi="Cambria Math"/>
                        <w:bCs/>
                        <w:i/>
                        <w:iCs/>
                        <w:szCs w:val="24"/>
                      </w:rPr>
                    </m:ctrlPr>
                  </m:sSubPr>
                  <m:e>
                    <m:r>
                      <w:rPr>
                        <w:rFonts w:ascii="Cambria Math" w:hAnsi="Cambria Math"/>
                        <w:szCs w:val="24"/>
                      </w:rPr>
                      <m:t>C</m:t>
                    </m:r>
                  </m:e>
                  <m:sub>
                    <m:r>
                      <m:rPr>
                        <m:sty m:val="p"/>
                      </m:rPr>
                      <w:rPr>
                        <w:rFonts w:ascii="Cambria Math" w:hAnsi="Cambria Math"/>
                        <w:szCs w:val="24"/>
                      </w:rPr>
                      <m:t>RF PM</m:t>
                    </m:r>
                  </m:sub>
                </m:sSub>
              </m:oMath>
            </m:oMathPara>
          </w:p>
        </w:tc>
        <w:tc>
          <w:tcPr>
            <w:tcW w:w="2835" w:type="dxa"/>
            <w:vAlign w:val="center"/>
          </w:tcPr>
          <w:p w:rsidR="00792DCE" w:rsidRPr="00D50CF9" w:rsidRDefault="00792DCE" w:rsidP="00FF6C9B">
            <w:pPr>
              <w:pStyle w:val="SMcaption"/>
              <w:jc w:val="center"/>
              <w:rPr>
                <w:bCs/>
                <w:szCs w:val="24"/>
              </w:rPr>
            </w:pPr>
            <w:r w:rsidRPr="00D50CF9">
              <w:rPr>
                <w:bCs/>
                <w:szCs w:val="24"/>
              </w:rPr>
              <w:t>-</w:t>
            </w:r>
          </w:p>
        </w:tc>
        <w:tc>
          <w:tcPr>
            <w:tcW w:w="1650" w:type="dxa"/>
            <w:vAlign w:val="center"/>
          </w:tcPr>
          <w:p w:rsidR="00792DCE" w:rsidRPr="00D50CF9" w:rsidRDefault="00792DCE" w:rsidP="003232C6">
            <w:pPr>
              <w:pStyle w:val="SMcaption"/>
              <w:jc w:val="center"/>
              <w:rPr>
                <w:bCs/>
                <w:szCs w:val="24"/>
              </w:rPr>
            </w:pPr>
            <w:r w:rsidRPr="00D50CF9">
              <w:rPr>
                <w:bCs/>
                <w:szCs w:val="24"/>
              </w:rPr>
              <w:t xml:space="preserve">Park et al. </w:t>
            </w:r>
            <w:r w:rsidRPr="00D50CF9">
              <w:rPr>
                <w:bCs/>
                <w:szCs w:val="24"/>
              </w:rPr>
              <w:fldChar w:fldCharType="begin"/>
            </w:r>
            <w:r w:rsidR="003232C6" w:rsidRPr="00D50CF9">
              <w:rPr>
                <w:bCs/>
                <w:szCs w:val="24"/>
              </w:rPr>
              <w:instrText xml:space="preserve"> ADDIN ZOTERO_ITEM CSL_CITATION {"citationID":"I5MXxxdI","properties":{"formattedCitation":"\\super 36\\nosupersub{}","plainCitation":"36","noteIndex":0},"citationItems":[{"id":798,"uris":["http://zotero.org/users/3789855/items/MCK3NIAS"],"itemData":{"id":798,"type":"article-journal","abstract":"&lt;p&gt;&lt;strong class=\"journal-contentHeaderColor\"&gt;Abstract.&lt;/strong&gt; Long-term exposure to particulate matter (PM) with aerodynamic diameters &amp;lt;&amp;thinsp;10 (PM&lt;span class=\"inline-formula\"&gt;&lt;sub&gt;10&lt;/sub&gt;&lt;/span&gt;) and 2.5&amp;thinsp;&lt;span class=\"inline-formula\"&gt;µ&lt;/span&gt;m (PM&lt;span class=\"inline-formula\"&gt;&lt;sub&gt;2.5&lt;/sub&gt;&lt;/span&gt;) has negative effects on human health. Although station-based PM monitoring has been conducted around the world, it is still challenging to provide spatially continuous PM information for vast areas at high spatial resolution. Satellite-derived aerosol information such as aerosol optical depth (AOD) has been frequently used to investigate ground-level PM concentrations. In this study, we combined multiple satellite-derived products including AOD with model-based meteorological parameters (i.e., dew-point temperature, wind speed, surface pressure, planetary boundary layer height, and relative humidity) and emission parameters (i.e., NO, &lt;span class=\"inline-formula\"&gt;NH&lt;sub&gt;3&lt;/sub&gt;&lt;/span&gt;, &lt;span class=\"inline-formula\"&gt;SO&lt;sub&gt;2&lt;/sub&gt;&lt;/span&gt;, primary organic aerosol (POA), and HCHO) to estimate surface PM concentrations over South Korea. Random forest (RF) machine learning was used to estimate both PM&lt;span class=\"inline-formula\"&gt;&lt;sub&gt;10&lt;/sub&gt;&lt;/span&gt; and PM&lt;span class=\"inline-formula\"&gt;&lt;sub&gt;2.5&lt;/sub&gt;&lt;/span&gt; concentrations with a total of 32 parameters for 2015–2016. The results show that the RF-based models produced good performance resulting in &lt;span class=\"inline-formula\"&gt;&lt;i&gt;R&lt;/i&gt;&lt;sup&gt;2&lt;/sup&gt;&lt;/span&gt; values of 0.78 and 0.73 and root mean square errors (RMSEs) of 17.08 and 8.25&amp;thinsp;&lt;span class=\"inline-formula\"&gt;µ&lt;/span&gt;g&amp;thinsp;m&lt;span class=\"inline-formula\"&gt;&lt;sup&gt;−3&lt;/sup&gt;&lt;/span&gt; for PM&lt;span class=\"inline-formula\"&gt;&lt;sub&gt;10&lt;/sub&gt;&lt;/span&gt; and PM&lt;span class=\"inline-formula\"&gt;&lt;sub&gt;2.5&lt;/sub&gt;&lt;/span&gt;, respectively. In particular, the proposed models successfully estimated high PM concentrations. AOD was identified as the most significant for estimating ground-level PM concentrations, followed by wind speed, solar radiation, and dew-point temperature. The use of aerosol information derived from a geostationary satellite sensor (i.e., Geostationary Ocean Color Imager, GOCI) resulted in slightly higher accuracy for estimating PM concentrations than that from a polar-orbiting sensor system (i.e., the Moderate Resolution Imaging Spectroradiometer, MODIS). The proposed RF models yielded better performance than the process-based approaches, particularly in improving on the underestimation of the process-based models (i.e., GEOS-Chem and the Community Multiscale Air Quality Modeling System, CMAQ).&lt;/p&gt;","container-title":"Atmospheric Chemistry and Physics","DOI":"10.5194/acp-19-1097-2019","ISSN":"1680-7316","issue":"2","language":"English","note":"publisher: Copernicus GmbH","page":"1097-1113","source":"acp.copernicus.org","title":"Estimation of ground-level particulate matter concentrations through the synergistic use of satellite observations and process-based models over South Korea","volume":"19","author":[{"family":"Park","given":"Seohui"},{"family":"Shin","given":"Minso"},{"family":"Im","given":"Jungho"},{"family":"Song","given":"Chang-Keun"},{"family":"Choi","given":"Myungje"},{"family":"Kim","given":"Jhoon"},{"family":"Lee","given":"Seungun"},{"family":"Park","given":"Rokjin"},{"family":"Kim","given":"Jiyoung"},{"family":"Lee","given":"Dong-Won"},{"family":"Kim","given":"Sang-Kyun"}],"issued":{"date-parts":[["2019",1,28]]}}}],"schema":"https://github.com/citation-style-language/schema/raw/master/csl-citation.json"} </w:instrText>
            </w:r>
            <w:r w:rsidRPr="00D50CF9">
              <w:rPr>
                <w:bCs/>
                <w:szCs w:val="24"/>
              </w:rPr>
              <w:fldChar w:fldCharType="separate"/>
            </w:r>
            <w:r w:rsidR="003232C6" w:rsidRPr="00D50CF9">
              <w:rPr>
                <w:szCs w:val="24"/>
                <w:vertAlign w:val="superscript"/>
              </w:rPr>
              <w:t>36</w:t>
            </w:r>
            <w:r w:rsidRPr="00D50CF9">
              <w:rPr>
                <w:bCs/>
                <w:szCs w:val="24"/>
              </w:rPr>
              <w:fldChar w:fldCharType="end"/>
            </w:r>
          </w:p>
        </w:tc>
      </w:tr>
      <w:tr w:rsidR="00792DCE" w:rsidRPr="00D50CF9" w:rsidTr="005C212D">
        <w:trPr>
          <w:trHeight w:val="567"/>
        </w:trPr>
        <w:tc>
          <w:tcPr>
            <w:tcW w:w="1598" w:type="dxa"/>
            <w:vAlign w:val="center"/>
          </w:tcPr>
          <w:p w:rsidR="00792DCE" w:rsidRPr="00D50CF9" w:rsidRDefault="00792DCE" w:rsidP="00FF6C9B">
            <w:pPr>
              <w:pStyle w:val="SMcaption"/>
              <w:jc w:val="center"/>
              <w:rPr>
                <w:bCs/>
                <w:szCs w:val="24"/>
              </w:rPr>
            </w:pPr>
            <w:r w:rsidRPr="00D50CF9">
              <w:rPr>
                <w:bCs/>
                <w:szCs w:val="24"/>
              </w:rPr>
              <w:t>MODIS AOD</w:t>
            </w:r>
          </w:p>
        </w:tc>
        <w:tc>
          <w:tcPr>
            <w:tcW w:w="2933" w:type="dxa"/>
            <w:vAlign w:val="center"/>
          </w:tcPr>
          <w:p w:rsidR="00792DCE" w:rsidRPr="00D50CF9" w:rsidRDefault="00792DCE" w:rsidP="00FF6C9B">
            <w:pPr>
              <w:pStyle w:val="SMcaption"/>
              <w:jc w:val="center"/>
              <w:rPr>
                <w:bCs/>
                <w:szCs w:val="24"/>
              </w:rPr>
            </w:pPr>
            <m:oMathPara>
              <m:oMath>
                <m:r>
                  <w:rPr>
                    <w:rFonts w:ascii="Cambria Math" w:hAnsi="Cambria Math"/>
                    <w:szCs w:val="24"/>
                  </w:rPr>
                  <m:t>0.154×</m:t>
                </m:r>
                <m:sSub>
                  <m:sSubPr>
                    <m:ctrlPr>
                      <w:rPr>
                        <w:rFonts w:ascii="Cambria Math" w:hAnsi="Cambria Math"/>
                        <w:bCs/>
                        <w:i/>
                        <w:iCs/>
                        <w:szCs w:val="24"/>
                      </w:rPr>
                    </m:ctrlPr>
                  </m:sSubPr>
                  <m:e>
                    <m:r>
                      <w:rPr>
                        <w:rFonts w:ascii="Cambria Math" w:hAnsi="Cambria Math"/>
                        <w:szCs w:val="24"/>
                      </w:rPr>
                      <m:t>τ</m:t>
                    </m:r>
                  </m:e>
                  <m:sub>
                    <m:r>
                      <m:rPr>
                        <m:sty m:val="p"/>
                      </m:rPr>
                      <w:rPr>
                        <w:rFonts w:ascii="Cambria Math" w:hAnsi="Cambria Math"/>
                        <w:szCs w:val="24"/>
                      </w:rPr>
                      <m:t>MODIS</m:t>
                    </m:r>
                  </m:sub>
                </m:sSub>
                <m:r>
                  <w:rPr>
                    <w:rFonts w:ascii="Cambria Math" w:hAnsi="Cambria Math"/>
                    <w:szCs w:val="24"/>
                  </w:rPr>
                  <m:t>+0.05</m:t>
                </m:r>
              </m:oMath>
            </m:oMathPara>
          </w:p>
        </w:tc>
        <w:tc>
          <w:tcPr>
            <w:tcW w:w="2835" w:type="dxa"/>
            <w:vAlign w:val="center"/>
          </w:tcPr>
          <w:p w:rsidR="00792DCE" w:rsidRPr="00D50CF9" w:rsidRDefault="00792DCE" w:rsidP="00FF6C9B">
            <w:pPr>
              <w:pStyle w:val="SMcaption"/>
              <w:jc w:val="center"/>
              <w:rPr>
                <w:bCs/>
                <w:szCs w:val="24"/>
              </w:rPr>
            </w:pPr>
            <m:oMathPara>
              <m:oMath>
                <m:r>
                  <w:rPr>
                    <w:rFonts w:ascii="Cambria Math" w:hAnsi="Cambria Math"/>
                    <w:szCs w:val="24"/>
                  </w:rPr>
                  <m:t>0.05×</m:t>
                </m:r>
                <m:sSub>
                  <m:sSubPr>
                    <m:ctrlPr>
                      <w:rPr>
                        <w:rFonts w:ascii="Cambria Math" w:hAnsi="Cambria Math"/>
                        <w:bCs/>
                        <w:i/>
                        <w:iCs/>
                        <w:szCs w:val="24"/>
                      </w:rPr>
                    </m:ctrlPr>
                  </m:sSubPr>
                  <m:e>
                    <m:r>
                      <w:rPr>
                        <w:rFonts w:ascii="Cambria Math" w:hAnsi="Cambria Math"/>
                        <w:szCs w:val="24"/>
                      </w:rPr>
                      <m:t>τ</m:t>
                    </m:r>
                  </m:e>
                  <m:sub>
                    <m:r>
                      <m:rPr>
                        <m:sty m:val="p"/>
                      </m:rPr>
                      <w:rPr>
                        <w:rFonts w:ascii="Cambria Math" w:hAnsi="Cambria Math"/>
                        <w:szCs w:val="24"/>
                      </w:rPr>
                      <m:t>MODIS</m:t>
                    </m:r>
                  </m:sub>
                </m:sSub>
                <m:r>
                  <w:rPr>
                    <w:rFonts w:ascii="Cambria Math" w:hAnsi="Cambria Math"/>
                    <w:szCs w:val="24"/>
                  </w:rPr>
                  <m:t>+0.03</m:t>
                </m:r>
              </m:oMath>
            </m:oMathPara>
          </w:p>
        </w:tc>
        <w:tc>
          <w:tcPr>
            <w:tcW w:w="1650" w:type="dxa"/>
            <w:vAlign w:val="center"/>
          </w:tcPr>
          <w:p w:rsidR="00792DCE" w:rsidRPr="00D50CF9" w:rsidRDefault="00792DCE" w:rsidP="003232C6">
            <w:pPr>
              <w:pStyle w:val="SMcaption"/>
              <w:jc w:val="center"/>
              <w:rPr>
                <w:bCs/>
                <w:szCs w:val="24"/>
              </w:rPr>
            </w:pPr>
            <w:r w:rsidRPr="00D50CF9">
              <w:rPr>
                <w:bCs/>
                <w:szCs w:val="24"/>
              </w:rPr>
              <w:t xml:space="preserve">Remer et al. </w:t>
            </w:r>
            <w:r w:rsidRPr="00D50CF9">
              <w:rPr>
                <w:bCs/>
                <w:szCs w:val="24"/>
              </w:rPr>
              <w:fldChar w:fldCharType="begin"/>
            </w:r>
            <w:r w:rsidR="003232C6" w:rsidRPr="00D50CF9">
              <w:rPr>
                <w:bCs/>
                <w:szCs w:val="24"/>
              </w:rPr>
              <w:instrText xml:space="preserve"> ADDIN ZOTERO_ITEM CSL_CITATION {"citationID":"pKqph2Y4","properties":{"formattedCitation":"\\super 38\\nosupersub{}","plainCitation":"38","noteIndex":0},"citationItems":[{"id":861,"uris":["http://zotero.org/users/3789855/items/T7IDTJXC"],"itemData":{"id":861,"type":"article-journal","abstract":"&lt;section class=\"abstract\"&gt;&lt;h2 class=\"abstractTitle text-title my-1\" id=\"d109227225e256\"&gt;Abstract&lt;/h2&gt;&lt;p&gt;The Moderate Resolution Imaging Spectroradiometer (MODIS) aboard both NASA’s &lt;em&gt;Terra&lt;/em&gt; and &lt;em&gt;Aqua&lt;/em&gt; satellites is making near-global daily observations of the earth in a wide spectral range (0.41–15 &lt;em&gt;μ&lt;/em&gt;m). These measurements are used to derive spectral aerosol optical thickness and aerosol size parameters over both land and ocean. The aerosol products available over land include aerosol optical thickness at three visible wavelengths, a measure of the fraction of aerosol optical thickness attributed to the fine mode, and several derived parameters including reflected spectral solar flux at the top of the atmosphere. Over the ocean, the aerosol optical thickness is provided in seven wavelengths from 0.47 to 2.13 &lt;em&gt;μ&lt;/em&gt;m. In addition, quantitative aerosol size information includes effective radius of the aerosol and quantitative fraction of optical thickness attributed to the fine mode. Spectral irradiance contributed by the aerosol, mass concentration, and number of cloud condensation nuclei round out the list of available aerosol products over the ocean. The spectral optical thickness and effective radius of the aerosol over the ocean are validated by comparison with two years of Aerosol Robotic Network (AERONET) data gleaned from 132 AERONET stations. Eight thousand MODIS aerosol retrievals collocated with AERONET measurements confirm that one standard deviation of MODIS optical thickness retrievals fall within the predicted uncertainty of Δ&lt;em&gt;τ&lt;/em&gt; = ±0.03 ±0.05&lt;em&gt;τ&lt;/em&gt; over ocean and Δ&lt;em&gt;τ&lt;/em&gt; = ±0.05 ± 0.15&lt;em&gt;τ&lt;/em&gt; over land. Two hundred and seventy-one MODIS aerosol retrievals collocated with AERONET inversions at island and coastal sites suggest that one standard deviation of MODIS effective radius retrievals falls within Δ&lt;em&gt;r&lt;/em&gt;&lt;sub&gt;eff&lt;/sub&gt; = ±0.11 &lt;em&gt;μ&lt;/em&gt;m. The accuracy of the MODIS retrievals suggests that the product can be used to help narrow the uncertainties associated with aerosol radiative forcing of global climate.&lt;/p&gt;&lt;/section&gt;","container-title":"Journal of the Atmospheric Sciences","DOI":"10.1175/JAS3385.1","ISSN":"0022-4928, 1520-0469","issue":"4","language":"EN","note":"publisher: American Meteorological Society\nsection: Journal of the Atmospheric Sciences","page":"947-973","source":"journals.ametsoc.org","title":"The MODIS Aerosol Algorithm, Products, and Validation","volume":"62","author":[{"family":"Remer","given":"L. A."},{"family":"Kaufman","given":"Y. J."},{"family":"Tanré","given":"D."},{"family":"Mattoo","given":"S."},{"family":"Chu","given":"D. A."},{"family":"Martins","given":"J. V."},{"family":"Li","given":"R.-R."},{"family":"Ichoku","given":"C."},{"family":"Levy","given":"R. C."},{"family":"Kleidman","given":"R. G."},{"family":"Eck","given":"T. F."},{"family":"Vermote","given":"E."},{"family":"Holben","given":"B. N."}],"issued":{"date-parts":[["2005",4,1]]}}}],"schema":"https://github.com/citation-style-language/schema/raw/master/csl-citation.json"} </w:instrText>
            </w:r>
            <w:r w:rsidRPr="00D50CF9">
              <w:rPr>
                <w:bCs/>
                <w:szCs w:val="24"/>
              </w:rPr>
              <w:fldChar w:fldCharType="separate"/>
            </w:r>
            <w:r w:rsidR="003232C6" w:rsidRPr="00D50CF9">
              <w:rPr>
                <w:szCs w:val="24"/>
                <w:vertAlign w:val="superscript"/>
              </w:rPr>
              <w:t>38</w:t>
            </w:r>
            <w:r w:rsidRPr="00D50CF9">
              <w:rPr>
                <w:bCs/>
                <w:szCs w:val="24"/>
              </w:rPr>
              <w:fldChar w:fldCharType="end"/>
            </w:r>
            <w:r w:rsidRPr="00D50CF9">
              <w:rPr>
                <w:bCs/>
                <w:szCs w:val="24"/>
              </w:rPr>
              <w:fldChar w:fldCharType="begin"/>
            </w:r>
            <w:r w:rsidRPr="00D50CF9">
              <w:rPr>
                <w:bCs/>
                <w:szCs w:val="24"/>
              </w:rPr>
              <w:instrText xml:space="preserve"> ADDIN ZOTERO_ITEM CSL_CITATION {"citationID":"n0EFqpTE","properties":{"formattedCitation":"(2)","plainCitation":"(2)","dontUpdate":true,"noteIndex":0},"citationItems":[{"id":861,"uris":["http://zotero.org/users/3789855/items/T7IDTJXC"],"itemData":{"id":861,"type":"article-journal","abstract":"&lt;section class=\"abstract\"&gt;&lt;h2 class=\"abstractTitle text-title my-1\" id=\"d109227225e256\"&gt;Abstract&lt;/h2&gt;&lt;p&gt;The Moderate Resolution Imaging Spectroradiometer (MODIS) aboard both NASA’s &lt;em&gt;Terra&lt;/em&gt; and &lt;em&gt;Aqua&lt;/em&gt; satellites is making near-global daily observations of the earth in a wide spectral range (0.41–15 &lt;em&gt;μ&lt;/em&gt;m). These measurements are used to derive spectral aerosol optical thickness and aerosol size parameters over both land and ocean. The aerosol products available over land include aerosol optical thickness at three visible wavelengths, a measure of the fraction of aerosol optical thickness attributed to the fine mode, and several derived parameters including reflected spectral solar flux at the top of the atmosphere. Over the ocean, the aerosol optical thickness is provided in seven wavelengths from 0.47 to 2.13 &lt;em&gt;μ&lt;/em&gt;m. In addition, quantitative aerosol size information includes effective radius of the aerosol and quantitative fraction of optical thickness attributed to the fine mode. Spectral irradiance contributed by the aerosol, mass concentration, and number of cloud condensation nuclei round out the list of available aerosol products over the ocean. The spectral optical thickness and effective radius of the aerosol over the ocean are validated by comparison with two years of Aerosol Robotic Network (AERONET) data gleaned from 132 AERONET stations. Eight thousand MODIS aerosol retrievals collocated with AERONET measurements confirm that one standard deviation of MODIS optical thickness retrievals fall within the predicted uncertainty of Δ&lt;em&gt;τ&lt;/em&gt; = ±0.03 ±0.05&lt;em&gt;τ&lt;/em&gt; over ocean and Δ&lt;em&gt;τ&lt;/em&gt; = ±0.05 ± 0.15&lt;em&gt;τ&lt;/em&gt; over land. Two hundred and seventy-one MODIS aerosol retrievals collocated with AERONET inversions at island and coastal sites suggest that one standard deviation of MODIS effective radius retrievals falls within Δ&lt;em&gt;r&lt;/em&gt;&lt;sub&gt;eff&lt;/sub&gt; = ±0.11 &lt;em&gt;μ&lt;/em&gt;m. The accuracy of the MODIS retrievals suggests that the product can be used to help narrow the uncertainties associated with aerosol radiative forcing of global climate.&lt;/p&gt;&lt;/section&gt;","container-title":"Journal of the Atmospheric Sciences","DOI":"10.1175/JAS3385.1","ISSN":"0022-4928, 1520-0469","issue":"4","language":"EN","note":"publisher: American Meteorological Society\nsection: Journal of the Atmospheric Sciences","page":"947-973","source":"journals.ametsoc.org","title":"The MODIS Aerosol Algorithm, Products, and Validation","volume":"62","author":[{"family":"Remer","given":"L. A."},{"family":"Kaufman","given":"Y. J."},{"family":"Tanré","given":"D."},{"family":"Mattoo","given":"S."},{"family":"Chu","given":"D. A."},{"family":"Martins","given":"J. V."},{"family":"Li","given":"R.-R."},{"family":"Ichoku","given":"C."},{"family":"Levy","given":"R. C."},{"family":"Kleidman","given":"R. G."},{"family":"Eck","given":"T. F."},{"family":"Vermote","given":"E."},{"family":"Holben","given":"B. N."}],"issued":{"date-parts":[["2005",4,1]]}}}],"schema":"https://github.com/citation-style-language/schema/raw/master/csl-citation.json"} </w:instrText>
            </w:r>
            <w:r w:rsidRPr="00D50CF9">
              <w:rPr>
                <w:bCs/>
                <w:szCs w:val="24"/>
              </w:rPr>
              <w:fldChar w:fldCharType="end"/>
            </w:r>
          </w:p>
        </w:tc>
      </w:tr>
    </w:tbl>
    <w:p w:rsidR="00792DCE" w:rsidRPr="00D50CF9" w:rsidRDefault="00B32EF8" w:rsidP="00792DCE">
      <w:pPr>
        <w:rPr>
          <w:szCs w:val="24"/>
        </w:rPr>
      </w:pPr>
      <m:oMath>
        <m:sSub>
          <m:sSubPr>
            <m:ctrlPr>
              <w:rPr>
                <w:rFonts w:ascii="Cambria Math" w:hAnsi="Cambria Math"/>
                <w:i/>
                <w:iCs/>
                <w:szCs w:val="24"/>
              </w:rPr>
            </m:ctrlPr>
          </m:sSubPr>
          <m:e>
            <m:r>
              <w:rPr>
                <w:rFonts w:ascii="Cambria Math" w:hAnsi="Cambria Math"/>
                <w:szCs w:val="24"/>
              </w:rPr>
              <m:t>ϵ</m:t>
            </m:r>
          </m:e>
          <m:sub>
            <m:r>
              <m:rPr>
                <m:sty m:val="p"/>
              </m:rPr>
              <w:rPr>
                <w:rFonts w:ascii="Cambria Math" w:hAnsi="Cambria Math"/>
                <w:szCs w:val="24"/>
              </w:rPr>
              <m:t>o</m:t>
            </m:r>
          </m:sub>
        </m:sSub>
      </m:oMath>
      <w:r w:rsidR="00792DCE" w:rsidRPr="00D50CF9">
        <w:rPr>
          <w:szCs w:val="24"/>
        </w:rPr>
        <w:t xml:space="preserve">: Measurement error; </w:t>
      </w:r>
      <m:oMath>
        <m:sSub>
          <m:sSubPr>
            <m:ctrlPr>
              <w:rPr>
                <w:rFonts w:ascii="Cambria Math" w:hAnsi="Cambria Math"/>
                <w:i/>
                <w:iCs/>
                <w:szCs w:val="24"/>
              </w:rPr>
            </m:ctrlPr>
          </m:sSubPr>
          <m:e>
            <m:r>
              <w:rPr>
                <w:rFonts w:ascii="Cambria Math" w:hAnsi="Cambria Math"/>
                <w:szCs w:val="24"/>
              </w:rPr>
              <m:t>ϵ</m:t>
            </m:r>
          </m:e>
          <m:sub>
            <m:r>
              <m:rPr>
                <m:sty m:val="p"/>
              </m:rPr>
              <w:rPr>
                <w:rFonts w:ascii="Cambria Math" w:hAnsi="Cambria Math"/>
                <w:szCs w:val="24"/>
              </w:rPr>
              <m:t>r</m:t>
            </m:r>
          </m:sub>
        </m:sSub>
      </m:oMath>
      <w:r w:rsidR="00792DCE" w:rsidRPr="00D50CF9">
        <w:rPr>
          <w:szCs w:val="24"/>
        </w:rPr>
        <w:t xml:space="preserve">: Representative error; </w:t>
      </w:r>
      <m:oMath>
        <m:sSub>
          <m:sSubPr>
            <m:ctrlPr>
              <w:rPr>
                <w:rFonts w:ascii="Cambria Math" w:hAnsi="Cambria Math"/>
                <w:i/>
                <w:iCs/>
                <w:szCs w:val="24"/>
              </w:rPr>
            </m:ctrlPr>
          </m:sSubPr>
          <m:e>
            <m:r>
              <w:rPr>
                <w:rFonts w:ascii="Cambria Math" w:hAnsi="Cambria Math"/>
                <w:szCs w:val="24"/>
              </w:rPr>
              <m:t>x</m:t>
            </m:r>
          </m:e>
          <m:sub>
            <m:r>
              <m:rPr>
                <m:sty m:val="p"/>
              </m:rPr>
              <w:rPr>
                <w:rFonts w:ascii="Cambria Math" w:hAnsi="Cambria Math"/>
                <w:szCs w:val="24"/>
              </w:rPr>
              <m:t>o</m:t>
            </m:r>
          </m:sub>
        </m:sSub>
      </m:oMath>
      <w:r w:rsidR="00792DCE" w:rsidRPr="00D50CF9">
        <w:rPr>
          <w:szCs w:val="24"/>
        </w:rPr>
        <w:t>: Observed value;</w:t>
      </w:r>
      <m:oMath>
        <m:r>
          <m:rPr>
            <m:sty m:val="p"/>
          </m:rPr>
          <w:rPr>
            <w:rFonts w:ascii="Cambria Math" w:hAnsi="Cambria Math"/>
            <w:szCs w:val="24"/>
          </w:rPr>
          <m:t> Δ</m:t>
        </m:r>
        <m:r>
          <w:rPr>
            <w:rFonts w:ascii="Cambria Math" w:hAnsi="Cambria Math"/>
            <w:szCs w:val="24"/>
          </w:rPr>
          <m:t>x</m:t>
        </m:r>
      </m:oMath>
      <w:r w:rsidR="00792DCE" w:rsidRPr="00D50CF9">
        <w:rPr>
          <w:szCs w:val="24"/>
        </w:rPr>
        <w:t xml:space="preserve">: Grid spacing; </w:t>
      </w:r>
      <m:oMath>
        <m:r>
          <w:rPr>
            <w:rFonts w:ascii="Cambria Math" w:hAnsi="Cambria Math"/>
            <w:szCs w:val="24"/>
          </w:rPr>
          <m:t>L</m:t>
        </m:r>
      </m:oMath>
      <w:r w:rsidR="00792DCE" w:rsidRPr="00D50CF9">
        <w:rPr>
          <w:szCs w:val="24"/>
        </w:rPr>
        <w:t xml:space="preserve">: Scaling factor; </w:t>
      </w:r>
      <m:oMath>
        <m:sSub>
          <m:sSubPr>
            <m:ctrlPr>
              <w:rPr>
                <w:rFonts w:ascii="Cambria Math" w:hAnsi="Cambria Math"/>
                <w:i/>
                <w:iCs/>
                <w:szCs w:val="24"/>
              </w:rPr>
            </m:ctrlPr>
          </m:sSubPr>
          <m:e>
            <m:r>
              <w:rPr>
                <w:rFonts w:ascii="Cambria Math" w:hAnsi="Cambria Math"/>
                <w:szCs w:val="24"/>
              </w:rPr>
              <m:t>τ</m:t>
            </m:r>
          </m:e>
          <m:sub>
            <m:r>
              <m:rPr>
                <m:sty m:val="p"/>
              </m:rPr>
              <w:rPr>
                <w:rFonts w:ascii="Cambria Math" w:hAnsi="Cambria Math"/>
                <w:szCs w:val="24"/>
              </w:rPr>
              <m:t>GOCI</m:t>
            </m:r>
          </m:sub>
        </m:sSub>
      </m:oMath>
      <w:r w:rsidR="00792DCE" w:rsidRPr="00D50CF9">
        <w:rPr>
          <w:szCs w:val="24"/>
        </w:rPr>
        <w:t>: GOCI-retrieved AOD;</w:t>
      </w:r>
      <m:oMath>
        <m:r>
          <w:rPr>
            <w:rFonts w:ascii="Cambria Math" w:hAnsi="Cambria Math"/>
            <w:szCs w:val="24"/>
          </w:rPr>
          <m:t xml:space="preserve"> </m:t>
        </m:r>
        <m:sSub>
          <m:sSubPr>
            <m:ctrlPr>
              <w:rPr>
                <w:rFonts w:ascii="Cambria Math" w:hAnsi="Cambria Math"/>
                <w:i/>
                <w:iCs/>
                <w:szCs w:val="24"/>
              </w:rPr>
            </m:ctrlPr>
          </m:sSubPr>
          <m:e>
            <m:r>
              <w:rPr>
                <w:rFonts w:ascii="Cambria Math" w:hAnsi="Cambria Math"/>
                <w:szCs w:val="24"/>
              </w:rPr>
              <m:t>C</m:t>
            </m:r>
          </m:e>
          <m:sub>
            <m:r>
              <m:rPr>
                <m:sty m:val="p"/>
              </m:rPr>
              <w:rPr>
                <w:rFonts w:ascii="Cambria Math" w:hAnsi="Cambria Math"/>
                <w:szCs w:val="24"/>
              </w:rPr>
              <m:t>RF PM</m:t>
            </m:r>
          </m:sub>
        </m:sSub>
      </m:oMath>
      <w:r w:rsidR="00792DCE" w:rsidRPr="00D50CF9">
        <w:rPr>
          <w:szCs w:val="24"/>
        </w:rPr>
        <w:t xml:space="preserve">: RF-derived PM; </w:t>
      </w:r>
      <m:oMath>
        <m:sSub>
          <m:sSubPr>
            <m:ctrlPr>
              <w:rPr>
                <w:rFonts w:ascii="Cambria Math" w:hAnsi="Cambria Math"/>
                <w:i/>
                <w:iCs/>
                <w:szCs w:val="24"/>
              </w:rPr>
            </m:ctrlPr>
          </m:sSubPr>
          <m:e>
            <m:r>
              <w:rPr>
                <w:rFonts w:ascii="Cambria Math" w:hAnsi="Cambria Math"/>
                <w:szCs w:val="24"/>
              </w:rPr>
              <m:t>τ</m:t>
            </m:r>
          </m:e>
          <m:sub>
            <m:r>
              <m:rPr>
                <m:sty m:val="p"/>
              </m:rPr>
              <w:rPr>
                <w:rFonts w:ascii="Cambria Math" w:hAnsi="Cambria Math"/>
                <w:szCs w:val="24"/>
              </w:rPr>
              <m:t>MODIS</m:t>
            </m:r>
          </m:sub>
        </m:sSub>
      </m:oMath>
      <w:r w:rsidR="00792DCE" w:rsidRPr="00D50CF9">
        <w:rPr>
          <w:szCs w:val="24"/>
        </w:rPr>
        <w:t>: MODIS-retrieved AOD</w:t>
      </w:r>
    </w:p>
    <w:p w:rsidR="00792DCE" w:rsidRPr="00D50CF9" w:rsidRDefault="00792DCE" w:rsidP="00792DCE">
      <w:pPr>
        <w:rPr>
          <w:sz w:val="20"/>
        </w:rPr>
      </w:pPr>
      <w:r w:rsidRPr="00D50CF9">
        <w:rPr>
          <w:sz w:val="20"/>
        </w:rPr>
        <w:br w:type="page"/>
      </w:r>
    </w:p>
    <w:p w:rsidR="00792DCE" w:rsidRPr="00D50CF9" w:rsidRDefault="001D0A5C" w:rsidP="00792DCE">
      <w:pPr>
        <w:pStyle w:val="SMHeading"/>
        <w:jc w:val="both"/>
        <w:rPr>
          <w:b w:val="0"/>
        </w:rPr>
      </w:pPr>
      <w:r w:rsidRPr="00D50CF9">
        <w:lastRenderedPageBreak/>
        <w:t xml:space="preserve">Supplementary </w:t>
      </w:r>
      <w:r w:rsidR="00792DCE" w:rsidRPr="00D50CF9">
        <w:t xml:space="preserve">Table </w:t>
      </w:r>
      <w:r w:rsidR="00792DCE" w:rsidRPr="00D50CF9">
        <w:rPr>
          <w:lang w:eastAsia="ko-KR"/>
        </w:rPr>
        <w:t>5</w:t>
      </w:r>
      <w:r w:rsidRPr="00D50CF9">
        <w:rPr>
          <w:lang w:eastAsia="ko-KR"/>
        </w:rPr>
        <w:t xml:space="preserve"> |</w:t>
      </w:r>
      <w:r w:rsidR="00792DCE" w:rsidRPr="00D50CF9">
        <w:t xml:space="preserve"> </w:t>
      </w:r>
      <w:r w:rsidR="00792DCE" w:rsidRPr="00D50CF9">
        <w:rPr>
          <w:b w:val="0"/>
        </w:rPr>
        <w:t>Air quality standards of South Korea.</w:t>
      </w:r>
    </w:p>
    <w:tbl>
      <w:tblPr>
        <w:tblStyle w:val="afff1"/>
        <w:tblW w:w="0" w:type="auto"/>
        <w:tblInd w:w="0" w:type="dxa"/>
        <w:tblLook w:val="04A0" w:firstRow="1" w:lastRow="0" w:firstColumn="1" w:lastColumn="0" w:noHBand="0" w:noVBand="1"/>
      </w:tblPr>
      <w:tblGrid>
        <w:gridCol w:w="1129"/>
        <w:gridCol w:w="1971"/>
        <w:gridCol w:w="1972"/>
        <w:gridCol w:w="1972"/>
        <w:gridCol w:w="1972"/>
      </w:tblGrid>
      <w:tr w:rsidR="00792DCE" w:rsidRPr="00D50CF9" w:rsidTr="00BB3934">
        <w:trPr>
          <w:trHeight w:val="454"/>
        </w:trPr>
        <w:tc>
          <w:tcPr>
            <w:tcW w:w="1129" w:type="dxa"/>
          </w:tcPr>
          <w:p w:rsidR="00792DCE" w:rsidRPr="00D50CF9" w:rsidRDefault="00792DCE" w:rsidP="00FF6C9B">
            <w:pPr>
              <w:pStyle w:val="SMcaption"/>
              <w:jc w:val="center"/>
              <w:rPr>
                <w:szCs w:val="24"/>
              </w:rPr>
            </w:pPr>
          </w:p>
        </w:tc>
        <w:tc>
          <w:tcPr>
            <w:tcW w:w="1971" w:type="dxa"/>
            <w:vAlign w:val="center"/>
          </w:tcPr>
          <w:p w:rsidR="00792DCE" w:rsidRPr="00D50CF9" w:rsidRDefault="00792DCE" w:rsidP="00BB3934">
            <w:pPr>
              <w:pStyle w:val="SMcaption"/>
              <w:jc w:val="center"/>
              <w:rPr>
                <w:b/>
                <w:szCs w:val="24"/>
              </w:rPr>
            </w:pPr>
            <w:r w:rsidRPr="00D50CF9">
              <w:rPr>
                <w:b/>
                <w:szCs w:val="24"/>
              </w:rPr>
              <w:t>Good</w:t>
            </w:r>
          </w:p>
          <w:p w:rsidR="00BF7917" w:rsidRPr="00D50CF9" w:rsidRDefault="00BF7917" w:rsidP="00BB3934">
            <w:pPr>
              <w:pStyle w:val="SMcaption"/>
              <w:jc w:val="center"/>
              <w:rPr>
                <w:b/>
                <w:szCs w:val="24"/>
              </w:rPr>
            </w:pPr>
          </w:p>
        </w:tc>
        <w:tc>
          <w:tcPr>
            <w:tcW w:w="1972" w:type="dxa"/>
            <w:vAlign w:val="center"/>
          </w:tcPr>
          <w:p w:rsidR="00792DCE" w:rsidRPr="00D50CF9" w:rsidRDefault="00792DCE" w:rsidP="00BB3934">
            <w:pPr>
              <w:pStyle w:val="SMcaption"/>
              <w:jc w:val="center"/>
              <w:rPr>
                <w:b/>
                <w:szCs w:val="24"/>
              </w:rPr>
            </w:pPr>
            <w:r w:rsidRPr="00D50CF9">
              <w:rPr>
                <w:b/>
                <w:szCs w:val="24"/>
              </w:rPr>
              <w:t>Moderate</w:t>
            </w:r>
          </w:p>
          <w:p w:rsidR="00BF7917" w:rsidRPr="00D50CF9" w:rsidRDefault="00BF7917" w:rsidP="00BB3934">
            <w:pPr>
              <w:pStyle w:val="SMcaption"/>
              <w:jc w:val="center"/>
              <w:rPr>
                <w:b/>
                <w:szCs w:val="24"/>
              </w:rPr>
            </w:pPr>
          </w:p>
        </w:tc>
        <w:tc>
          <w:tcPr>
            <w:tcW w:w="1972" w:type="dxa"/>
            <w:vAlign w:val="center"/>
          </w:tcPr>
          <w:p w:rsidR="00792DCE" w:rsidRPr="00D50CF9" w:rsidRDefault="00792DCE" w:rsidP="00BB3934">
            <w:pPr>
              <w:pStyle w:val="SMcaption"/>
              <w:jc w:val="center"/>
              <w:rPr>
                <w:b/>
                <w:szCs w:val="24"/>
              </w:rPr>
            </w:pPr>
            <w:r w:rsidRPr="00D50CF9">
              <w:rPr>
                <w:b/>
                <w:szCs w:val="24"/>
              </w:rPr>
              <w:t>Bad</w:t>
            </w:r>
          </w:p>
          <w:p w:rsidR="00792DCE" w:rsidRPr="00D50CF9" w:rsidRDefault="00792DCE" w:rsidP="00BB3934">
            <w:pPr>
              <w:pStyle w:val="SMcaption"/>
              <w:jc w:val="center"/>
              <w:rPr>
                <w:b/>
                <w:szCs w:val="24"/>
              </w:rPr>
            </w:pPr>
            <w:r w:rsidRPr="00D50CF9">
              <w:rPr>
                <w:b/>
                <w:szCs w:val="24"/>
              </w:rPr>
              <w:t>(unhealthy)</w:t>
            </w:r>
          </w:p>
        </w:tc>
        <w:tc>
          <w:tcPr>
            <w:tcW w:w="1972" w:type="dxa"/>
            <w:vAlign w:val="center"/>
          </w:tcPr>
          <w:p w:rsidR="00792DCE" w:rsidRPr="00D50CF9" w:rsidRDefault="00792DCE" w:rsidP="00BB3934">
            <w:pPr>
              <w:pStyle w:val="SMcaption"/>
              <w:jc w:val="center"/>
              <w:rPr>
                <w:b/>
                <w:szCs w:val="24"/>
              </w:rPr>
            </w:pPr>
            <w:r w:rsidRPr="00D50CF9">
              <w:rPr>
                <w:b/>
                <w:szCs w:val="24"/>
              </w:rPr>
              <w:t>Very Bad</w:t>
            </w:r>
          </w:p>
          <w:p w:rsidR="00792DCE" w:rsidRPr="00D50CF9" w:rsidRDefault="00792DCE" w:rsidP="00BB3934">
            <w:pPr>
              <w:pStyle w:val="SMcaption"/>
              <w:jc w:val="center"/>
              <w:rPr>
                <w:b/>
                <w:szCs w:val="24"/>
              </w:rPr>
            </w:pPr>
            <w:r w:rsidRPr="00D50CF9">
              <w:rPr>
                <w:b/>
                <w:szCs w:val="24"/>
              </w:rPr>
              <w:t>(very unhealthy)</w:t>
            </w:r>
          </w:p>
        </w:tc>
      </w:tr>
      <w:tr w:rsidR="00792DCE" w:rsidRPr="00D50CF9" w:rsidTr="00BB3934">
        <w:trPr>
          <w:trHeight w:val="454"/>
        </w:trPr>
        <w:tc>
          <w:tcPr>
            <w:tcW w:w="1129" w:type="dxa"/>
          </w:tcPr>
          <w:p w:rsidR="007A6314" w:rsidRPr="00D50CF9" w:rsidRDefault="00792DCE" w:rsidP="00FF6C9B">
            <w:pPr>
              <w:pStyle w:val="SMcaption"/>
              <w:jc w:val="center"/>
              <w:rPr>
                <w:szCs w:val="24"/>
              </w:rPr>
            </w:pPr>
            <w:r w:rsidRPr="00D50CF9">
              <w:rPr>
                <w:szCs w:val="24"/>
              </w:rPr>
              <w:t>PM</w:t>
            </w:r>
            <w:r w:rsidRPr="00D50CF9">
              <w:rPr>
                <w:szCs w:val="24"/>
                <w:vertAlign w:val="subscript"/>
              </w:rPr>
              <w:t>2.5</w:t>
            </w:r>
          </w:p>
          <w:p w:rsidR="00792DCE" w:rsidRPr="00D50CF9" w:rsidRDefault="00792DCE" w:rsidP="00FF6C9B">
            <w:pPr>
              <w:pStyle w:val="SMcaption"/>
              <w:jc w:val="center"/>
              <w:rPr>
                <w:szCs w:val="24"/>
              </w:rPr>
            </w:pPr>
            <w:r w:rsidRPr="00D50CF9">
              <w:rPr>
                <w:szCs w:val="24"/>
              </w:rPr>
              <w:t>(</w:t>
            </w:r>
            <w:r w:rsidRPr="00D50CF9">
              <w:rPr>
                <w:i/>
                <w:szCs w:val="24"/>
              </w:rPr>
              <w:t>μ</w:t>
            </w:r>
            <w:r w:rsidRPr="00D50CF9">
              <w:rPr>
                <w:szCs w:val="24"/>
              </w:rPr>
              <w:t>g/m</w:t>
            </w:r>
            <w:r w:rsidRPr="00D50CF9">
              <w:rPr>
                <w:szCs w:val="24"/>
                <w:vertAlign w:val="superscript"/>
              </w:rPr>
              <w:t>3</w:t>
            </w:r>
            <w:r w:rsidRPr="00D50CF9">
              <w:rPr>
                <w:szCs w:val="24"/>
              </w:rPr>
              <w:t>)</w:t>
            </w:r>
          </w:p>
        </w:tc>
        <w:tc>
          <w:tcPr>
            <w:tcW w:w="1971" w:type="dxa"/>
            <w:vAlign w:val="center"/>
          </w:tcPr>
          <w:p w:rsidR="00792DCE" w:rsidRPr="00D50CF9" w:rsidRDefault="00792DCE" w:rsidP="00BB3934">
            <w:pPr>
              <w:pStyle w:val="SMcaption"/>
              <w:jc w:val="center"/>
              <w:rPr>
                <w:szCs w:val="24"/>
              </w:rPr>
            </w:pPr>
            <w:r w:rsidRPr="00D50CF9">
              <w:rPr>
                <w:szCs w:val="24"/>
              </w:rPr>
              <w:t>0</w:t>
            </w:r>
            <w:r w:rsidRPr="00D50CF9">
              <w:rPr>
                <w:rFonts w:eastAsia="맑은 고딕"/>
                <w:szCs w:val="24"/>
              </w:rPr>
              <w:t>–</w:t>
            </w:r>
            <w:r w:rsidRPr="00D50CF9">
              <w:rPr>
                <w:szCs w:val="24"/>
              </w:rPr>
              <w:t>15</w:t>
            </w:r>
          </w:p>
        </w:tc>
        <w:tc>
          <w:tcPr>
            <w:tcW w:w="1972" w:type="dxa"/>
            <w:vAlign w:val="center"/>
          </w:tcPr>
          <w:p w:rsidR="00792DCE" w:rsidRPr="00D50CF9" w:rsidRDefault="00792DCE" w:rsidP="00BB3934">
            <w:pPr>
              <w:pStyle w:val="SMcaption"/>
              <w:jc w:val="center"/>
              <w:rPr>
                <w:szCs w:val="24"/>
              </w:rPr>
            </w:pPr>
            <w:r w:rsidRPr="00D50CF9">
              <w:rPr>
                <w:szCs w:val="24"/>
              </w:rPr>
              <w:t>16</w:t>
            </w:r>
            <w:r w:rsidRPr="00D50CF9">
              <w:rPr>
                <w:rFonts w:eastAsia="맑은 고딕"/>
                <w:szCs w:val="24"/>
              </w:rPr>
              <w:t>–</w:t>
            </w:r>
            <w:r w:rsidRPr="00D50CF9">
              <w:rPr>
                <w:szCs w:val="24"/>
              </w:rPr>
              <w:t>35</w:t>
            </w:r>
          </w:p>
        </w:tc>
        <w:tc>
          <w:tcPr>
            <w:tcW w:w="1972" w:type="dxa"/>
            <w:vAlign w:val="center"/>
          </w:tcPr>
          <w:p w:rsidR="00792DCE" w:rsidRPr="00D50CF9" w:rsidRDefault="00792DCE" w:rsidP="00BB3934">
            <w:pPr>
              <w:pStyle w:val="SMcaption"/>
              <w:jc w:val="center"/>
              <w:rPr>
                <w:szCs w:val="24"/>
              </w:rPr>
            </w:pPr>
            <w:r w:rsidRPr="00D50CF9">
              <w:rPr>
                <w:szCs w:val="24"/>
              </w:rPr>
              <w:t>36</w:t>
            </w:r>
            <w:r w:rsidRPr="00D50CF9">
              <w:rPr>
                <w:rFonts w:eastAsia="맑은 고딕"/>
                <w:szCs w:val="24"/>
              </w:rPr>
              <w:t>–</w:t>
            </w:r>
            <w:r w:rsidRPr="00D50CF9">
              <w:rPr>
                <w:szCs w:val="24"/>
              </w:rPr>
              <w:t>75</w:t>
            </w:r>
          </w:p>
        </w:tc>
        <w:tc>
          <w:tcPr>
            <w:tcW w:w="1972" w:type="dxa"/>
            <w:vAlign w:val="center"/>
          </w:tcPr>
          <w:p w:rsidR="00792DCE" w:rsidRPr="00D50CF9" w:rsidRDefault="00792DCE" w:rsidP="00BB3934">
            <w:pPr>
              <w:pStyle w:val="SMcaption"/>
              <w:jc w:val="center"/>
              <w:rPr>
                <w:szCs w:val="24"/>
              </w:rPr>
            </w:pPr>
            <w:r w:rsidRPr="00D50CF9">
              <w:rPr>
                <w:szCs w:val="24"/>
              </w:rPr>
              <w:t>&gt; 76</w:t>
            </w:r>
          </w:p>
        </w:tc>
      </w:tr>
      <w:tr w:rsidR="00792DCE" w:rsidRPr="00D50CF9" w:rsidTr="00BB3934">
        <w:trPr>
          <w:trHeight w:val="454"/>
        </w:trPr>
        <w:tc>
          <w:tcPr>
            <w:tcW w:w="1129" w:type="dxa"/>
          </w:tcPr>
          <w:p w:rsidR="007A6314" w:rsidRPr="00D50CF9" w:rsidRDefault="00792DCE" w:rsidP="00FF6C9B">
            <w:pPr>
              <w:pStyle w:val="SMcaption"/>
              <w:jc w:val="center"/>
              <w:rPr>
                <w:szCs w:val="24"/>
              </w:rPr>
            </w:pPr>
            <w:r w:rsidRPr="00D50CF9">
              <w:rPr>
                <w:szCs w:val="24"/>
              </w:rPr>
              <w:t>PM</w:t>
            </w:r>
            <w:r w:rsidRPr="00D50CF9">
              <w:rPr>
                <w:szCs w:val="24"/>
                <w:vertAlign w:val="subscript"/>
              </w:rPr>
              <w:t>10</w:t>
            </w:r>
          </w:p>
          <w:p w:rsidR="00792DCE" w:rsidRPr="00D50CF9" w:rsidRDefault="00792DCE" w:rsidP="00FF6C9B">
            <w:pPr>
              <w:pStyle w:val="SMcaption"/>
              <w:jc w:val="center"/>
              <w:rPr>
                <w:szCs w:val="24"/>
              </w:rPr>
            </w:pPr>
            <w:r w:rsidRPr="00D50CF9">
              <w:rPr>
                <w:szCs w:val="24"/>
              </w:rPr>
              <w:t>(</w:t>
            </w:r>
            <w:r w:rsidRPr="00D50CF9">
              <w:rPr>
                <w:i/>
                <w:szCs w:val="24"/>
              </w:rPr>
              <w:t>μ</w:t>
            </w:r>
            <w:r w:rsidRPr="00D50CF9">
              <w:rPr>
                <w:szCs w:val="24"/>
              </w:rPr>
              <w:t>g/m</w:t>
            </w:r>
            <w:r w:rsidRPr="00D50CF9">
              <w:rPr>
                <w:szCs w:val="24"/>
                <w:vertAlign w:val="superscript"/>
              </w:rPr>
              <w:t>3</w:t>
            </w:r>
            <w:r w:rsidRPr="00D50CF9">
              <w:rPr>
                <w:szCs w:val="24"/>
              </w:rPr>
              <w:t>)</w:t>
            </w:r>
          </w:p>
        </w:tc>
        <w:tc>
          <w:tcPr>
            <w:tcW w:w="1971" w:type="dxa"/>
            <w:vAlign w:val="center"/>
          </w:tcPr>
          <w:p w:rsidR="00792DCE" w:rsidRPr="00D50CF9" w:rsidRDefault="00792DCE" w:rsidP="00BB3934">
            <w:pPr>
              <w:pStyle w:val="SMcaption"/>
              <w:jc w:val="center"/>
              <w:rPr>
                <w:szCs w:val="24"/>
              </w:rPr>
            </w:pPr>
            <w:r w:rsidRPr="00D50CF9">
              <w:rPr>
                <w:szCs w:val="24"/>
              </w:rPr>
              <w:t>0</w:t>
            </w:r>
            <w:r w:rsidRPr="00D50CF9">
              <w:rPr>
                <w:rFonts w:eastAsia="맑은 고딕"/>
                <w:szCs w:val="24"/>
              </w:rPr>
              <w:t>–</w:t>
            </w:r>
            <w:r w:rsidRPr="00D50CF9">
              <w:rPr>
                <w:szCs w:val="24"/>
              </w:rPr>
              <w:t>30</w:t>
            </w:r>
          </w:p>
        </w:tc>
        <w:tc>
          <w:tcPr>
            <w:tcW w:w="1972" w:type="dxa"/>
            <w:vAlign w:val="center"/>
          </w:tcPr>
          <w:p w:rsidR="00792DCE" w:rsidRPr="00D50CF9" w:rsidRDefault="00792DCE" w:rsidP="00BB3934">
            <w:pPr>
              <w:pStyle w:val="SMcaption"/>
              <w:jc w:val="center"/>
              <w:rPr>
                <w:szCs w:val="24"/>
              </w:rPr>
            </w:pPr>
            <w:r w:rsidRPr="00D50CF9">
              <w:rPr>
                <w:szCs w:val="24"/>
              </w:rPr>
              <w:t>31</w:t>
            </w:r>
            <w:r w:rsidRPr="00D50CF9">
              <w:rPr>
                <w:rFonts w:eastAsia="맑은 고딕"/>
                <w:szCs w:val="24"/>
              </w:rPr>
              <w:t>–</w:t>
            </w:r>
            <w:r w:rsidRPr="00D50CF9">
              <w:rPr>
                <w:szCs w:val="24"/>
              </w:rPr>
              <w:t>80</w:t>
            </w:r>
          </w:p>
        </w:tc>
        <w:tc>
          <w:tcPr>
            <w:tcW w:w="1972" w:type="dxa"/>
            <w:vAlign w:val="center"/>
          </w:tcPr>
          <w:p w:rsidR="00792DCE" w:rsidRPr="00D50CF9" w:rsidRDefault="00792DCE" w:rsidP="00BB3934">
            <w:pPr>
              <w:pStyle w:val="SMcaption"/>
              <w:jc w:val="center"/>
              <w:rPr>
                <w:szCs w:val="24"/>
              </w:rPr>
            </w:pPr>
            <w:r w:rsidRPr="00D50CF9">
              <w:rPr>
                <w:szCs w:val="24"/>
              </w:rPr>
              <w:t>81</w:t>
            </w:r>
            <w:r w:rsidRPr="00D50CF9">
              <w:rPr>
                <w:rFonts w:eastAsia="맑은 고딕"/>
                <w:szCs w:val="24"/>
              </w:rPr>
              <w:t>–</w:t>
            </w:r>
            <w:r w:rsidRPr="00D50CF9">
              <w:rPr>
                <w:szCs w:val="24"/>
              </w:rPr>
              <w:t>150</w:t>
            </w:r>
          </w:p>
        </w:tc>
        <w:tc>
          <w:tcPr>
            <w:tcW w:w="1972" w:type="dxa"/>
            <w:vAlign w:val="center"/>
          </w:tcPr>
          <w:p w:rsidR="00792DCE" w:rsidRPr="00D50CF9" w:rsidRDefault="00792DCE" w:rsidP="00BB3934">
            <w:pPr>
              <w:pStyle w:val="SMcaption"/>
              <w:jc w:val="center"/>
              <w:rPr>
                <w:szCs w:val="24"/>
              </w:rPr>
            </w:pPr>
            <w:r w:rsidRPr="00D50CF9">
              <w:rPr>
                <w:szCs w:val="24"/>
              </w:rPr>
              <w:t>&gt; 151</w:t>
            </w:r>
          </w:p>
        </w:tc>
      </w:tr>
      <w:tr w:rsidR="00792DCE" w:rsidRPr="00D50CF9" w:rsidTr="00BB3934">
        <w:trPr>
          <w:trHeight w:val="454"/>
        </w:trPr>
        <w:tc>
          <w:tcPr>
            <w:tcW w:w="1129" w:type="dxa"/>
          </w:tcPr>
          <w:p w:rsidR="007A6314" w:rsidRPr="00D50CF9" w:rsidRDefault="00792DCE" w:rsidP="007A6314">
            <w:pPr>
              <w:pStyle w:val="SMcaption"/>
              <w:jc w:val="center"/>
              <w:rPr>
                <w:szCs w:val="24"/>
                <w:vertAlign w:val="subscript"/>
              </w:rPr>
            </w:pPr>
            <w:r w:rsidRPr="00D50CF9">
              <w:rPr>
                <w:szCs w:val="24"/>
              </w:rPr>
              <w:t>O</w:t>
            </w:r>
            <w:r w:rsidRPr="00D50CF9">
              <w:rPr>
                <w:szCs w:val="24"/>
                <w:vertAlign w:val="subscript"/>
              </w:rPr>
              <w:t>3</w:t>
            </w:r>
          </w:p>
          <w:p w:rsidR="00792DCE" w:rsidRPr="00D50CF9" w:rsidRDefault="00792DCE" w:rsidP="007A6314">
            <w:pPr>
              <w:pStyle w:val="SMcaption"/>
              <w:jc w:val="center"/>
              <w:rPr>
                <w:szCs w:val="24"/>
              </w:rPr>
            </w:pPr>
            <w:r w:rsidRPr="00D50CF9">
              <w:rPr>
                <w:szCs w:val="24"/>
              </w:rPr>
              <w:t>(ppm)</w:t>
            </w:r>
          </w:p>
        </w:tc>
        <w:tc>
          <w:tcPr>
            <w:tcW w:w="1971" w:type="dxa"/>
            <w:vAlign w:val="center"/>
          </w:tcPr>
          <w:p w:rsidR="00792DCE" w:rsidRPr="00D50CF9" w:rsidRDefault="00792DCE" w:rsidP="00BB3934">
            <w:pPr>
              <w:pStyle w:val="SMcaption"/>
              <w:jc w:val="center"/>
              <w:rPr>
                <w:szCs w:val="24"/>
              </w:rPr>
            </w:pPr>
            <w:r w:rsidRPr="00D50CF9">
              <w:rPr>
                <w:szCs w:val="24"/>
              </w:rPr>
              <w:t>0</w:t>
            </w:r>
            <w:r w:rsidRPr="00D50CF9">
              <w:rPr>
                <w:rFonts w:eastAsia="맑은 고딕"/>
                <w:szCs w:val="24"/>
              </w:rPr>
              <w:t>–</w:t>
            </w:r>
            <w:r w:rsidRPr="00D50CF9">
              <w:rPr>
                <w:szCs w:val="24"/>
              </w:rPr>
              <w:t>0.03</w:t>
            </w:r>
          </w:p>
        </w:tc>
        <w:tc>
          <w:tcPr>
            <w:tcW w:w="1972" w:type="dxa"/>
            <w:vAlign w:val="center"/>
          </w:tcPr>
          <w:p w:rsidR="00792DCE" w:rsidRPr="00D50CF9" w:rsidRDefault="00792DCE" w:rsidP="00BB3934">
            <w:pPr>
              <w:pStyle w:val="SMcaption"/>
              <w:jc w:val="center"/>
              <w:rPr>
                <w:szCs w:val="24"/>
              </w:rPr>
            </w:pPr>
            <w:r w:rsidRPr="00D50CF9">
              <w:rPr>
                <w:szCs w:val="24"/>
              </w:rPr>
              <w:t>0.031</w:t>
            </w:r>
            <w:r w:rsidRPr="00D50CF9">
              <w:rPr>
                <w:rFonts w:eastAsia="맑은 고딕"/>
                <w:szCs w:val="24"/>
              </w:rPr>
              <w:t>–</w:t>
            </w:r>
            <w:r w:rsidRPr="00D50CF9">
              <w:rPr>
                <w:szCs w:val="24"/>
              </w:rPr>
              <w:t>0.09</w:t>
            </w:r>
          </w:p>
        </w:tc>
        <w:tc>
          <w:tcPr>
            <w:tcW w:w="1972" w:type="dxa"/>
            <w:vAlign w:val="center"/>
          </w:tcPr>
          <w:p w:rsidR="00792DCE" w:rsidRPr="00D50CF9" w:rsidRDefault="00792DCE" w:rsidP="00BB3934">
            <w:pPr>
              <w:pStyle w:val="SMcaption"/>
              <w:jc w:val="center"/>
              <w:rPr>
                <w:szCs w:val="24"/>
              </w:rPr>
            </w:pPr>
            <w:r w:rsidRPr="00D50CF9">
              <w:rPr>
                <w:szCs w:val="24"/>
              </w:rPr>
              <w:t>0.091</w:t>
            </w:r>
            <w:r w:rsidRPr="00D50CF9">
              <w:rPr>
                <w:rFonts w:eastAsia="맑은 고딕"/>
                <w:szCs w:val="24"/>
              </w:rPr>
              <w:t>–</w:t>
            </w:r>
            <w:r w:rsidRPr="00D50CF9">
              <w:rPr>
                <w:szCs w:val="24"/>
              </w:rPr>
              <w:t>0.15</w:t>
            </w:r>
          </w:p>
        </w:tc>
        <w:tc>
          <w:tcPr>
            <w:tcW w:w="1972" w:type="dxa"/>
            <w:vAlign w:val="center"/>
          </w:tcPr>
          <w:p w:rsidR="00792DCE" w:rsidRPr="00D50CF9" w:rsidRDefault="00792DCE" w:rsidP="00BB3934">
            <w:pPr>
              <w:pStyle w:val="SMcaption"/>
              <w:jc w:val="center"/>
              <w:rPr>
                <w:szCs w:val="24"/>
              </w:rPr>
            </w:pPr>
            <w:r w:rsidRPr="00D50CF9">
              <w:rPr>
                <w:szCs w:val="24"/>
              </w:rPr>
              <w:t>&gt; 0.151</w:t>
            </w:r>
          </w:p>
        </w:tc>
      </w:tr>
      <w:tr w:rsidR="00792DCE" w:rsidRPr="00D50CF9" w:rsidTr="00BB3934">
        <w:trPr>
          <w:trHeight w:val="454"/>
        </w:trPr>
        <w:tc>
          <w:tcPr>
            <w:tcW w:w="1129" w:type="dxa"/>
          </w:tcPr>
          <w:p w:rsidR="007A6314" w:rsidRPr="00D50CF9" w:rsidRDefault="00792DCE" w:rsidP="007A6314">
            <w:pPr>
              <w:pStyle w:val="SMcaption"/>
              <w:jc w:val="center"/>
              <w:rPr>
                <w:szCs w:val="24"/>
                <w:vertAlign w:val="subscript"/>
              </w:rPr>
            </w:pPr>
            <w:r w:rsidRPr="00D50CF9">
              <w:rPr>
                <w:szCs w:val="24"/>
              </w:rPr>
              <w:t>NO</w:t>
            </w:r>
            <w:r w:rsidRPr="00D50CF9">
              <w:rPr>
                <w:szCs w:val="24"/>
                <w:vertAlign w:val="subscript"/>
              </w:rPr>
              <w:t>2</w:t>
            </w:r>
          </w:p>
          <w:p w:rsidR="00792DCE" w:rsidRPr="00D50CF9" w:rsidRDefault="00792DCE" w:rsidP="007A6314">
            <w:pPr>
              <w:pStyle w:val="SMcaption"/>
              <w:jc w:val="center"/>
              <w:rPr>
                <w:szCs w:val="24"/>
              </w:rPr>
            </w:pPr>
            <w:r w:rsidRPr="00D50CF9">
              <w:rPr>
                <w:szCs w:val="24"/>
              </w:rPr>
              <w:t>(ppm)</w:t>
            </w:r>
          </w:p>
        </w:tc>
        <w:tc>
          <w:tcPr>
            <w:tcW w:w="1971" w:type="dxa"/>
            <w:vAlign w:val="center"/>
          </w:tcPr>
          <w:p w:rsidR="00792DCE" w:rsidRPr="00D50CF9" w:rsidRDefault="00792DCE" w:rsidP="00BB3934">
            <w:pPr>
              <w:pStyle w:val="SMcaption"/>
              <w:jc w:val="center"/>
              <w:rPr>
                <w:szCs w:val="24"/>
              </w:rPr>
            </w:pPr>
            <w:r w:rsidRPr="00D50CF9">
              <w:rPr>
                <w:szCs w:val="24"/>
              </w:rPr>
              <w:t>0</w:t>
            </w:r>
            <w:r w:rsidRPr="00D50CF9">
              <w:rPr>
                <w:rFonts w:eastAsia="맑은 고딕"/>
                <w:szCs w:val="24"/>
              </w:rPr>
              <w:t>–</w:t>
            </w:r>
            <w:r w:rsidRPr="00D50CF9">
              <w:rPr>
                <w:szCs w:val="24"/>
              </w:rPr>
              <w:t>0.03</w:t>
            </w:r>
          </w:p>
        </w:tc>
        <w:tc>
          <w:tcPr>
            <w:tcW w:w="1972" w:type="dxa"/>
            <w:vAlign w:val="center"/>
          </w:tcPr>
          <w:p w:rsidR="00792DCE" w:rsidRPr="00D50CF9" w:rsidRDefault="00792DCE" w:rsidP="00BB3934">
            <w:pPr>
              <w:pStyle w:val="SMcaption"/>
              <w:jc w:val="center"/>
              <w:rPr>
                <w:szCs w:val="24"/>
              </w:rPr>
            </w:pPr>
            <w:r w:rsidRPr="00D50CF9">
              <w:rPr>
                <w:szCs w:val="24"/>
              </w:rPr>
              <w:t>0.031</w:t>
            </w:r>
            <w:r w:rsidRPr="00D50CF9">
              <w:rPr>
                <w:rFonts w:eastAsia="맑은 고딕"/>
                <w:szCs w:val="24"/>
              </w:rPr>
              <w:t>–</w:t>
            </w:r>
            <w:r w:rsidRPr="00D50CF9">
              <w:rPr>
                <w:szCs w:val="24"/>
              </w:rPr>
              <w:t>0.06</w:t>
            </w:r>
          </w:p>
        </w:tc>
        <w:tc>
          <w:tcPr>
            <w:tcW w:w="1972" w:type="dxa"/>
            <w:vAlign w:val="center"/>
          </w:tcPr>
          <w:p w:rsidR="00792DCE" w:rsidRPr="00D50CF9" w:rsidRDefault="00792DCE" w:rsidP="00BB3934">
            <w:pPr>
              <w:pStyle w:val="SMcaption"/>
              <w:jc w:val="center"/>
              <w:rPr>
                <w:szCs w:val="24"/>
              </w:rPr>
            </w:pPr>
            <w:r w:rsidRPr="00D50CF9">
              <w:rPr>
                <w:szCs w:val="24"/>
              </w:rPr>
              <w:t>0.061</w:t>
            </w:r>
            <w:r w:rsidRPr="00D50CF9">
              <w:rPr>
                <w:rFonts w:eastAsia="맑은 고딕"/>
                <w:szCs w:val="24"/>
              </w:rPr>
              <w:t>–</w:t>
            </w:r>
            <w:r w:rsidRPr="00D50CF9">
              <w:rPr>
                <w:szCs w:val="24"/>
              </w:rPr>
              <w:t>0.2</w:t>
            </w:r>
          </w:p>
        </w:tc>
        <w:tc>
          <w:tcPr>
            <w:tcW w:w="1972" w:type="dxa"/>
            <w:vAlign w:val="center"/>
          </w:tcPr>
          <w:p w:rsidR="00792DCE" w:rsidRPr="00D50CF9" w:rsidRDefault="00792DCE" w:rsidP="00BB3934">
            <w:pPr>
              <w:pStyle w:val="SMcaption"/>
              <w:jc w:val="center"/>
              <w:rPr>
                <w:szCs w:val="24"/>
              </w:rPr>
            </w:pPr>
            <w:r w:rsidRPr="00D50CF9">
              <w:rPr>
                <w:szCs w:val="24"/>
              </w:rPr>
              <w:t>&gt; 0.201</w:t>
            </w:r>
          </w:p>
        </w:tc>
      </w:tr>
      <w:tr w:rsidR="00792DCE" w:rsidRPr="00D50CF9" w:rsidTr="00BB3934">
        <w:trPr>
          <w:trHeight w:val="454"/>
        </w:trPr>
        <w:tc>
          <w:tcPr>
            <w:tcW w:w="1129" w:type="dxa"/>
          </w:tcPr>
          <w:p w:rsidR="007A6314" w:rsidRPr="00D50CF9" w:rsidRDefault="00792DCE" w:rsidP="007A6314">
            <w:pPr>
              <w:pStyle w:val="SMcaption"/>
              <w:jc w:val="center"/>
              <w:rPr>
                <w:szCs w:val="24"/>
              </w:rPr>
            </w:pPr>
            <w:r w:rsidRPr="00D50CF9">
              <w:rPr>
                <w:szCs w:val="24"/>
              </w:rPr>
              <w:t>CO</w:t>
            </w:r>
          </w:p>
          <w:p w:rsidR="00792DCE" w:rsidRPr="00D50CF9" w:rsidRDefault="00792DCE" w:rsidP="007A6314">
            <w:pPr>
              <w:pStyle w:val="SMcaption"/>
              <w:jc w:val="center"/>
              <w:rPr>
                <w:szCs w:val="24"/>
              </w:rPr>
            </w:pPr>
            <w:r w:rsidRPr="00D50CF9">
              <w:rPr>
                <w:szCs w:val="24"/>
              </w:rPr>
              <w:t>(ppm)</w:t>
            </w:r>
          </w:p>
        </w:tc>
        <w:tc>
          <w:tcPr>
            <w:tcW w:w="1971" w:type="dxa"/>
            <w:vAlign w:val="center"/>
          </w:tcPr>
          <w:p w:rsidR="00792DCE" w:rsidRPr="00D50CF9" w:rsidRDefault="00792DCE" w:rsidP="00BB3934">
            <w:pPr>
              <w:pStyle w:val="SMcaption"/>
              <w:jc w:val="center"/>
              <w:rPr>
                <w:szCs w:val="24"/>
              </w:rPr>
            </w:pPr>
            <w:r w:rsidRPr="00D50CF9">
              <w:rPr>
                <w:szCs w:val="24"/>
              </w:rPr>
              <w:t>0</w:t>
            </w:r>
            <w:r w:rsidRPr="00D50CF9">
              <w:rPr>
                <w:rFonts w:eastAsia="맑은 고딕"/>
                <w:szCs w:val="24"/>
              </w:rPr>
              <w:t>–</w:t>
            </w:r>
            <w:r w:rsidRPr="00D50CF9">
              <w:rPr>
                <w:szCs w:val="24"/>
              </w:rPr>
              <w:t>2</w:t>
            </w:r>
          </w:p>
        </w:tc>
        <w:tc>
          <w:tcPr>
            <w:tcW w:w="1972" w:type="dxa"/>
            <w:vAlign w:val="center"/>
          </w:tcPr>
          <w:p w:rsidR="00792DCE" w:rsidRPr="00D50CF9" w:rsidRDefault="00792DCE" w:rsidP="00BB3934">
            <w:pPr>
              <w:pStyle w:val="SMcaption"/>
              <w:jc w:val="center"/>
              <w:rPr>
                <w:szCs w:val="24"/>
              </w:rPr>
            </w:pPr>
            <w:r w:rsidRPr="00D50CF9">
              <w:rPr>
                <w:szCs w:val="24"/>
              </w:rPr>
              <w:t>2.1</w:t>
            </w:r>
            <w:r w:rsidRPr="00D50CF9">
              <w:rPr>
                <w:rFonts w:eastAsia="맑은 고딕"/>
                <w:szCs w:val="24"/>
              </w:rPr>
              <w:t>–</w:t>
            </w:r>
            <w:r w:rsidRPr="00D50CF9">
              <w:rPr>
                <w:szCs w:val="24"/>
              </w:rPr>
              <w:t>9</w:t>
            </w:r>
          </w:p>
        </w:tc>
        <w:tc>
          <w:tcPr>
            <w:tcW w:w="1972" w:type="dxa"/>
            <w:vAlign w:val="center"/>
          </w:tcPr>
          <w:p w:rsidR="00792DCE" w:rsidRPr="00D50CF9" w:rsidRDefault="00792DCE" w:rsidP="00BB3934">
            <w:pPr>
              <w:pStyle w:val="SMcaption"/>
              <w:jc w:val="center"/>
              <w:rPr>
                <w:szCs w:val="24"/>
              </w:rPr>
            </w:pPr>
            <w:r w:rsidRPr="00D50CF9">
              <w:rPr>
                <w:szCs w:val="24"/>
              </w:rPr>
              <w:t>9.1</w:t>
            </w:r>
            <w:r w:rsidRPr="00D50CF9">
              <w:rPr>
                <w:rFonts w:eastAsia="맑은 고딕"/>
                <w:szCs w:val="24"/>
              </w:rPr>
              <w:t>–</w:t>
            </w:r>
            <w:r w:rsidRPr="00D50CF9">
              <w:rPr>
                <w:szCs w:val="24"/>
              </w:rPr>
              <w:t>15</w:t>
            </w:r>
          </w:p>
        </w:tc>
        <w:tc>
          <w:tcPr>
            <w:tcW w:w="1972" w:type="dxa"/>
            <w:vAlign w:val="center"/>
          </w:tcPr>
          <w:p w:rsidR="00792DCE" w:rsidRPr="00D50CF9" w:rsidRDefault="00792DCE" w:rsidP="00BB3934">
            <w:pPr>
              <w:pStyle w:val="SMcaption"/>
              <w:jc w:val="center"/>
              <w:rPr>
                <w:szCs w:val="24"/>
              </w:rPr>
            </w:pPr>
            <w:r w:rsidRPr="00D50CF9">
              <w:rPr>
                <w:szCs w:val="24"/>
              </w:rPr>
              <w:t>&gt; 15.1</w:t>
            </w:r>
          </w:p>
        </w:tc>
      </w:tr>
      <w:tr w:rsidR="00792DCE" w:rsidRPr="00D50CF9" w:rsidTr="00BB3934">
        <w:trPr>
          <w:trHeight w:val="454"/>
        </w:trPr>
        <w:tc>
          <w:tcPr>
            <w:tcW w:w="1129" w:type="dxa"/>
          </w:tcPr>
          <w:p w:rsidR="007A6314" w:rsidRPr="00D50CF9" w:rsidRDefault="00792DCE" w:rsidP="007A6314">
            <w:pPr>
              <w:pStyle w:val="SMcaption"/>
              <w:jc w:val="center"/>
              <w:rPr>
                <w:szCs w:val="24"/>
                <w:vertAlign w:val="subscript"/>
              </w:rPr>
            </w:pPr>
            <w:r w:rsidRPr="00D50CF9">
              <w:rPr>
                <w:szCs w:val="24"/>
              </w:rPr>
              <w:t>SO</w:t>
            </w:r>
            <w:r w:rsidRPr="00D50CF9">
              <w:rPr>
                <w:szCs w:val="24"/>
                <w:vertAlign w:val="subscript"/>
              </w:rPr>
              <w:t>2</w:t>
            </w:r>
          </w:p>
          <w:p w:rsidR="00792DCE" w:rsidRPr="00D50CF9" w:rsidRDefault="00792DCE" w:rsidP="007A6314">
            <w:pPr>
              <w:pStyle w:val="SMcaption"/>
              <w:jc w:val="center"/>
              <w:rPr>
                <w:szCs w:val="24"/>
              </w:rPr>
            </w:pPr>
            <w:r w:rsidRPr="00D50CF9">
              <w:rPr>
                <w:szCs w:val="24"/>
              </w:rPr>
              <w:t>(ppm)</w:t>
            </w:r>
          </w:p>
        </w:tc>
        <w:tc>
          <w:tcPr>
            <w:tcW w:w="1971" w:type="dxa"/>
            <w:vAlign w:val="center"/>
          </w:tcPr>
          <w:p w:rsidR="00792DCE" w:rsidRPr="00D50CF9" w:rsidRDefault="00792DCE" w:rsidP="00BB3934">
            <w:pPr>
              <w:pStyle w:val="SMcaption"/>
              <w:jc w:val="center"/>
              <w:rPr>
                <w:szCs w:val="24"/>
              </w:rPr>
            </w:pPr>
            <w:r w:rsidRPr="00D50CF9">
              <w:rPr>
                <w:szCs w:val="24"/>
              </w:rPr>
              <w:t>0</w:t>
            </w:r>
            <w:r w:rsidRPr="00D50CF9">
              <w:rPr>
                <w:rFonts w:eastAsia="맑은 고딕"/>
                <w:szCs w:val="24"/>
              </w:rPr>
              <w:t>–</w:t>
            </w:r>
            <w:r w:rsidRPr="00D50CF9">
              <w:rPr>
                <w:szCs w:val="24"/>
              </w:rPr>
              <w:t>0.02</w:t>
            </w:r>
          </w:p>
        </w:tc>
        <w:tc>
          <w:tcPr>
            <w:tcW w:w="1972" w:type="dxa"/>
            <w:vAlign w:val="center"/>
          </w:tcPr>
          <w:p w:rsidR="00792DCE" w:rsidRPr="00D50CF9" w:rsidRDefault="00792DCE" w:rsidP="00BB3934">
            <w:pPr>
              <w:pStyle w:val="SMcaption"/>
              <w:jc w:val="center"/>
              <w:rPr>
                <w:szCs w:val="24"/>
              </w:rPr>
            </w:pPr>
            <w:r w:rsidRPr="00D50CF9">
              <w:rPr>
                <w:szCs w:val="24"/>
              </w:rPr>
              <w:t>0.021</w:t>
            </w:r>
            <w:r w:rsidRPr="00D50CF9">
              <w:rPr>
                <w:rFonts w:eastAsia="맑은 고딕"/>
                <w:szCs w:val="24"/>
              </w:rPr>
              <w:t>–</w:t>
            </w:r>
            <w:r w:rsidRPr="00D50CF9">
              <w:rPr>
                <w:szCs w:val="24"/>
              </w:rPr>
              <w:t>0.05</w:t>
            </w:r>
          </w:p>
        </w:tc>
        <w:tc>
          <w:tcPr>
            <w:tcW w:w="1972" w:type="dxa"/>
            <w:vAlign w:val="center"/>
          </w:tcPr>
          <w:p w:rsidR="00792DCE" w:rsidRPr="00D50CF9" w:rsidRDefault="00792DCE" w:rsidP="00BB3934">
            <w:pPr>
              <w:pStyle w:val="SMcaption"/>
              <w:jc w:val="center"/>
              <w:rPr>
                <w:szCs w:val="24"/>
              </w:rPr>
            </w:pPr>
            <w:r w:rsidRPr="00D50CF9">
              <w:rPr>
                <w:szCs w:val="24"/>
              </w:rPr>
              <w:t>0.051</w:t>
            </w:r>
            <w:r w:rsidRPr="00D50CF9">
              <w:rPr>
                <w:rFonts w:eastAsia="맑은 고딕"/>
                <w:szCs w:val="24"/>
              </w:rPr>
              <w:t>–</w:t>
            </w:r>
            <w:r w:rsidRPr="00D50CF9">
              <w:rPr>
                <w:szCs w:val="24"/>
              </w:rPr>
              <w:t>0.15</w:t>
            </w:r>
          </w:p>
        </w:tc>
        <w:tc>
          <w:tcPr>
            <w:tcW w:w="1972" w:type="dxa"/>
            <w:vAlign w:val="center"/>
          </w:tcPr>
          <w:p w:rsidR="00792DCE" w:rsidRPr="00D50CF9" w:rsidRDefault="00792DCE" w:rsidP="00BB3934">
            <w:pPr>
              <w:pStyle w:val="SMcaption"/>
              <w:jc w:val="center"/>
              <w:rPr>
                <w:szCs w:val="24"/>
              </w:rPr>
            </w:pPr>
            <w:r w:rsidRPr="00D50CF9">
              <w:rPr>
                <w:szCs w:val="24"/>
              </w:rPr>
              <w:t>&gt; 0.151</w:t>
            </w:r>
          </w:p>
        </w:tc>
      </w:tr>
    </w:tbl>
    <w:p w:rsidR="00792DCE" w:rsidRPr="00D50CF9" w:rsidRDefault="00792DCE" w:rsidP="00792DCE">
      <w:pPr>
        <w:pStyle w:val="SMcaption"/>
        <w:rPr>
          <w:sz w:val="20"/>
        </w:rPr>
      </w:pPr>
    </w:p>
    <w:p w:rsidR="00792DCE" w:rsidRPr="00D50CF9" w:rsidRDefault="00792DCE" w:rsidP="00792DCE">
      <w:pPr>
        <w:rPr>
          <w:sz w:val="20"/>
        </w:rPr>
      </w:pPr>
      <w:r w:rsidRPr="00D50CF9">
        <w:rPr>
          <w:sz w:val="20"/>
        </w:rPr>
        <w:br w:type="page"/>
      </w:r>
    </w:p>
    <w:p w:rsidR="00792DCE" w:rsidRPr="00D50CF9" w:rsidRDefault="001D0A5C" w:rsidP="00792DCE">
      <w:pPr>
        <w:pStyle w:val="SMHeading"/>
        <w:jc w:val="both"/>
        <w:rPr>
          <w:b w:val="0"/>
        </w:rPr>
      </w:pPr>
      <w:r w:rsidRPr="00D50CF9">
        <w:lastRenderedPageBreak/>
        <w:t xml:space="preserve">Supplementary </w:t>
      </w:r>
      <w:r w:rsidR="00792DCE" w:rsidRPr="00D50CF9">
        <w:t xml:space="preserve">Table </w:t>
      </w:r>
      <w:r w:rsidR="00792DCE" w:rsidRPr="00D50CF9">
        <w:rPr>
          <w:lang w:eastAsia="ko-KR"/>
        </w:rPr>
        <w:t>6</w:t>
      </w:r>
      <w:r w:rsidRPr="00D50CF9">
        <w:rPr>
          <w:lang w:eastAsia="ko-KR"/>
        </w:rPr>
        <w:t xml:space="preserve"> |</w:t>
      </w:r>
      <w:r w:rsidR="00792DCE" w:rsidRPr="00D50CF9">
        <w:t xml:space="preserve"> </w:t>
      </w:r>
      <w:r w:rsidR="00792DCE" w:rsidRPr="00D50CF9">
        <w:rPr>
          <w:b w:val="0"/>
        </w:rPr>
        <w:t>Categories of air pollution in South Korea</w:t>
      </w:r>
      <w:r w:rsidR="00792DCE" w:rsidRPr="00D50CF9">
        <w:rPr>
          <w:b w:val="0"/>
          <w:lang w:eastAsia="ko-KR"/>
        </w:rPr>
        <w:t>.</w:t>
      </w:r>
    </w:p>
    <w:tbl>
      <w:tblPr>
        <w:tblW w:w="8500" w:type="dxa"/>
        <w:jc w:val="center"/>
        <w:tblCellMar>
          <w:left w:w="0" w:type="dxa"/>
          <w:right w:w="0" w:type="dxa"/>
        </w:tblCellMar>
        <w:tblLook w:val="0420" w:firstRow="1" w:lastRow="0" w:firstColumn="0" w:lastColumn="0" w:noHBand="0" w:noVBand="1"/>
      </w:tblPr>
      <w:tblGrid>
        <w:gridCol w:w="1853"/>
        <w:gridCol w:w="1264"/>
        <w:gridCol w:w="1345"/>
        <w:gridCol w:w="1346"/>
        <w:gridCol w:w="1346"/>
        <w:gridCol w:w="1346"/>
      </w:tblGrid>
      <w:tr w:rsidR="00792DCE" w:rsidRPr="00D50CF9" w:rsidTr="00FF6C9B">
        <w:trPr>
          <w:trHeight w:val="567"/>
          <w:jc w:val="center"/>
        </w:trPr>
        <w:tc>
          <w:tcPr>
            <w:tcW w:w="1853" w:type="dxa"/>
            <w:vMerge w:val="restart"/>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b/>
                <w:szCs w:val="24"/>
              </w:rPr>
            </w:pPr>
            <w:r w:rsidRPr="00D50CF9">
              <w:rPr>
                <w:b/>
                <w:szCs w:val="24"/>
              </w:rPr>
              <w:t>Model</w:t>
            </w:r>
          </w:p>
        </w:tc>
        <w:tc>
          <w:tcPr>
            <w:tcW w:w="1264"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tcPr>
          <w:p w:rsidR="00792DCE" w:rsidRPr="00D50CF9" w:rsidRDefault="00792DCE" w:rsidP="00FF6C9B">
            <w:pPr>
              <w:pStyle w:val="SMcaption"/>
              <w:jc w:val="center"/>
              <w:rPr>
                <w:b/>
                <w:szCs w:val="24"/>
              </w:rPr>
            </w:pPr>
            <w:r w:rsidRPr="00D50CF9">
              <w:rPr>
                <w:b/>
                <w:szCs w:val="24"/>
              </w:rPr>
              <w:t>Very Bad</w:t>
            </w:r>
          </w:p>
        </w:tc>
        <w:tc>
          <w:tcPr>
            <w:tcW w:w="1345"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A4</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B4</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C4</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D4</w:t>
            </w:r>
          </w:p>
        </w:tc>
      </w:tr>
      <w:tr w:rsidR="00792DCE" w:rsidRPr="00D50CF9" w:rsidTr="00FF6C9B">
        <w:trPr>
          <w:trHeight w:val="567"/>
          <w:jc w:val="center"/>
        </w:trPr>
        <w:tc>
          <w:tcPr>
            <w:tcW w:w="185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92DCE" w:rsidRPr="00D50CF9" w:rsidRDefault="00792DCE" w:rsidP="00FF6C9B">
            <w:pPr>
              <w:pStyle w:val="SMcaption"/>
              <w:jc w:val="center"/>
              <w:rPr>
                <w:szCs w:val="24"/>
              </w:rPr>
            </w:pPr>
          </w:p>
        </w:tc>
        <w:tc>
          <w:tcPr>
            <w:tcW w:w="1264"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b/>
                <w:szCs w:val="24"/>
              </w:rPr>
            </w:pPr>
            <w:r w:rsidRPr="00D50CF9">
              <w:rPr>
                <w:b/>
                <w:szCs w:val="24"/>
              </w:rPr>
              <w:t>Bad</w:t>
            </w:r>
          </w:p>
        </w:tc>
        <w:tc>
          <w:tcPr>
            <w:tcW w:w="1345"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A3</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B3</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C3</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D3</w:t>
            </w:r>
          </w:p>
        </w:tc>
      </w:tr>
      <w:tr w:rsidR="00792DCE" w:rsidRPr="00D50CF9" w:rsidTr="00FF6C9B">
        <w:trPr>
          <w:trHeight w:val="567"/>
          <w:jc w:val="center"/>
        </w:trPr>
        <w:tc>
          <w:tcPr>
            <w:tcW w:w="185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92DCE" w:rsidRPr="00D50CF9" w:rsidRDefault="00792DCE" w:rsidP="00FF6C9B">
            <w:pPr>
              <w:pStyle w:val="SMcaption"/>
              <w:jc w:val="center"/>
              <w:rPr>
                <w:szCs w:val="24"/>
              </w:rPr>
            </w:pPr>
          </w:p>
        </w:tc>
        <w:tc>
          <w:tcPr>
            <w:tcW w:w="1264"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b/>
                <w:szCs w:val="24"/>
              </w:rPr>
            </w:pPr>
            <w:r w:rsidRPr="00D50CF9">
              <w:rPr>
                <w:b/>
                <w:szCs w:val="24"/>
              </w:rPr>
              <w:t>Moderate</w:t>
            </w:r>
          </w:p>
        </w:tc>
        <w:tc>
          <w:tcPr>
            <w:tcW w:w="1345"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A2</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B2</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C2</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D2</w:t>
            </w:r>
          </w:p>
        </w:tc>
      </w:tr>
      <w:tr w:rsidR="00792DCE" w:rsidRPr="00D50CF9" w:rsidTr="00FF6C9B">
        <w:trPr>
          <w:trHeight w:val="567"/>
          <w:jc w:val="center"/>
        </w:trPr>
        <w:tc>
          <w:tcPr>
            <w:tcW w:w="185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92DCE" w:rsidRPr="00D50CF9" w:rsidRDefault="00792DCE" w:rsidP="00FF6C9B">
            <w:pPr>
              <w:pStyle w:val="SMcaption"/>
              <w:jc w:val="center"/>
              <w:rPr>
                <w:szCs w:val="24"/>
              </w:rPr>
            </w:pPr>
          </w:p>
        </w:tc>
        <w:tc>
          <w:tcPr>
            <w:tcW w:w="1264"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b/>
                <w:szCs w:val="24"/>
              </w:rPr>
            </w:pPr>
            <w:r w:rsidRPr="00D50CF9">
              <w:rPr>
                <w:b/>
                <w:szCs w:val="24"/>
              </w:rPr>
              <w:t>Good</w:t>
            </w:r>
          </w:p>
        </w:tc>
        <w:tc>
          <w:tcPr>
            <w:tcW w:w="1345"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A1</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B1</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C1</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hideMark/>
          </w:tcPr>
          <w:p w:rsidR="00792DCE" w:rsidRPr="00D50CF9" w:rsidRDefault="00792DCE" w:rsidP="00FF6C9B">
            <w:pPr>
              <w:pStyle w:val="SMcaption"/>
              <w:jc w:val="center"/>
              <w:rPr>
                <w:szCs w:val="24"/>
              </w:rPr>
            </w:pPr>
            <w:r w:rsidRPr="00D50CF9">
              <w:rPr>
                <w:szCs w:val="24"/>
              </w:rPr>
              <w:t>D1</w:t>
            </w:r>
          </w:p>
        </w:tc>
      </w:tr>
      <w:tr w:rsidR="00792DCE" w:rsidRPr="00D50CF9" w:rsidTr="00FF6C9B">
        <w:trPr>
          <w:trHeight w:val="510"/>
          <w:jc w:val="center"/>
        </w:trPr>
        <w:tc>
          <w:tcPr>
            <w:tcW w:w="3117" w:type="dxa"/>
            <w:gridSpan w:val="2"/>
            <w:vMerge w:val="restart"/>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tcPr>
          <w:p w:rsidR="00792DCE" w:rsidRPr="00D50CF9" w:rsidRDefault="00792DCE" w:rsidP="00FF6C9B">
            <w:pPr>
              <w:pStyle w:val="SMcaption"/>
              <w:jc w:val="center"/>
              <w:rPr>
                <w:szCs w:val="24"/>
              </w:rPr>
            </w:pPr>
          </w:p>
        </w:tc>
        <w:tc>
          <w:tcPr>
            <w:tcW w:w="1345"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tcPr>
          <w:p w:rsidR="00792DCE" w:rsidRPr="00D50CF9" w:rsidRDefault="00792DCE" w:rsidP="00FF6C9B">
            <w:pPr>
              <w:pStyle w:val="SMcaption"/>
              <w:jc w:val="center"/>
              <w:rPr>
                <w:b/>
                <w:szCs w:val="24"/>
              </w:rPr>
            </w:pPr>
            <w:r w:rsidRPr="00D50CF9">
              <w:rPr>
                <w:b/>
                <w:szCs w:val="24"/>
              </w:rPr>
              <w:t>Good</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tcPr>
          <w:p w:rsidR="00792DCE" w:rsidRPr="00D50CF9" w:rsidRDefault="00792DCE" w:rsidP="00FF6C9B">
            <w:pPr>
              <w:pStyle w:val="SMcaption"/>
              <w:jc w:val="center"/>
              <w:rPr>
                <w:b/>
                <w:szCs w:val="24"/>
              </w:rPr>
            </w:pPr>
            <w:r w:rsidRPr="00D50CF9">
              <w:rPr>
                <w:b/>
                <w:szCs w:val="24"/>
              </w:rPr>
              <w:t>Moderate</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tcPr>
          <w:p w:rsidR="00792DCE" w:rsidRPr="00D50CF9" w:rsidRDefault="00792DCE" w:rsidP="00FF6C9B">
            <w:pPr>
              <w:pStyle w:val="SMcaption"/>
              <w:jc w:val="center"/>
              <w:rPr>
                <w:b/>
                <w:szCs w:val="24"/>
              </w:rPr>
            </w:pPr>
            <w:r w:rsidRPr="00D50CF9">
              <w:rPr>
                <w:b/>
                <w:szCs w:val="24"/>
              </w:rPr>
              <w:t>Bad</w:t>
            </w:r>
          </w:p>
        </w:tc>
        <w:tc>
          <w:tcPr>
            <w:tcW w:w="1346" w:type="dxa"/>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tcPr>
          <w:p w:rsidR="00792DCE" w:rsidRPr="00D50CF9" w:rsidRDefault="00792DCE" w:rsidP="00FF6C9B">
            <w:pPr>
              <w:pStyle w:val="SMcaption"/>
              <w:jc w:val="center"/>
              <w:rPr>
                <w:b/>
                <w:szCs w:val="24"/>
              </w:rPr>
            </w:pPr>
            <w:r w:rsidRPr="00D50CF9">
              <w:rPr>
                <w:b/>
                <w:szCs w:val="24"/>
              </w:rPr>
              <w:t>Very Bad</w:t>
            </w:r>
          </w:p>
        </w:tc>
      </w:tr>
      <w:tr w:rsidR="00792DCE" w:rsidRPr="00D50CF9" w:rsidTr="00FF6C9B">
        <w:trPr>
          <w:trHeight w:val="510"/>
          <w:jc w:val="center"/>
        </w:trPr>
        <w:tc>
          <w:tcPr>
            <w:tcW w:w="3117" w:type="dxa"/>
            <w:gridSpan w:val="2"/>
            <w:vMerge/>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tcPr>
          <w:p w:rsidR="00792DCE" w:rsidRPr="00D50CF9" w:rsidRDefault="00792DCE" w:rsidP="00FF6C9B">
            <w:pPr>
              <w:pStyle w:val="SMcaption"/>
              <w:jc w:val="center"/>
              <w:rPr>
                <w:szCs w:val="24"/>
              </w:rPr>
            </w:pPr>
          </w:p>
        </w:tc>
        <w:tc>
          <w:tcPr>
            <w:tcW w:w="5383" w:type="dxa"/>
            <w:gridSpan w:val="4"/>
            <w:tcBorders>
              <w:top w:val="single" w:sz="4" w:space="0" w:color="auto"/>
              <w:left w:val="single" w:sz="4" w:space="0" w:color="auto"/>
              <w:bottom w:val="single" w:sz="4" w:space="0" w:color="auto"/>
              <w:right w:val="single" w:sz="4" w:space="0" w:color="auto"/>
            </w:tcBorders>
            <w:shd w:val="clear" w:color="auto" w:fill="auto"/>
            <w:tcMar>
              <w:top w:w="58" w:type="dxa"/>
              <w:left w:w="115" w:type="dxa"/>
              <w:bottom w:w="58" w:type="dxa"/>
              <w:right w:w="115" w:type="dxa"/>
            </w:tcMar>
            <w:vAlign w:val="center"/>
          </w:tcPr>
          <w:p w:rsidR="00792DCE" w:rsidRPr="00D50CF9" w:rsidRDefault="00792DCE" w:rsidP="00FF6C9B">
            <w:pPr>
              <w:pStyle w:val="SMcaption"/>
              <w:jc w:val="center"/>
              <w:rPr>
                <w:b/>
                <w:szCs w:val="24"/>
              </w:rPr>
            </w:pPr>
            <w:r w:rsidRPr="00D50CF9">
              <w:rPr>
                <w:b/>
                <w:szCs w:val="24"/>
              </w:rPr>
              <w:t>Observation</w:t>
            </w:r>
          </w:p>
        </w:tc>
      </w:tr>
    </w:tbl>
    <w:p w:rsidR="00792DCE" w:rsidRPr="00D50CF9" w:rsidRDefault="00792DCE" w:rsidP="00792DCE">
      <w:pPr>
        <w:rPr>
          <w:szCs w:val="24"/>
        </w:rPr>
      </w:pPr>
      <w:r w:rsidRPr="00D50CF9">
        <w:rPr>
          <w:szCs w:val="24"/>
        </w:rPr>
        <w:t>I=A1+A2+B1+B2; II=C1+C2+D1+D2; III=A3+A4+B3+B4; IV=C3+C4+D3+D4.</w:t>
      </w:r>
    </w:p>
    <w:p w:rsidR="00792DCE" w:rsidRPr="00D50CF9" w:rsidRDefault="00792DCE" w:rsidP="00792DCE">
      <w:pPr>
        <w:rPr>
          <w:sz w:val="20"/>
        </w:rPr>
      </w:pPr>
      <w:r w:rsidRPr="00D50CF9">
        <w:rPr>
          <w:sz w:val="20"/>
        </w:rPr>
        <w:br w:type="page"/>
      </w:r>
    </w:p>
    <w:p w:rsidR="00792DCE" w:rsidRPr="00D50CF9" w:rsidRDefault="001D0A5C" w:rsidP="00792DCE">
      <w:pPr>
        <w:pStyle w:val="SMHeading"/>
        <w:jc w:val="both"/>
      </w:pPr>
      <w:r w:rsidRPr="00D50CF9">
        <w:lastRenderedPageBreak/>
        <w:t xml:space="preserve">Supplementary </w:t>
      </w:r>
      <w:r w:rsidR="00792DCE" w:rsidRPr="00D50CF9">
        <w:t xml:space="preserve">Table </w:t>
      </w:r>
      <w:r w:rsidR="00792DCE" w:rsidRPr="00D50CF9">
        <w:rPr>
          <w:lang w:eastAsia="ko-KR"/>
        </w:rPr>
        <w:t>7</w:t>
      </w:r>
      <w:r w:rsidRPr="00D50CF9">
        <w:rPr>
          <w:lang w:eastAsia="ko-KR"/>
        </w:rPr>
        <w:t xml:space="preserve"> |</w:t>
      </w:r>
      <w:r w:rsidR="00792DCE" w:rsidRPr="00D50CF9">
        <w:t xml:space="preserve"> </w:t>
      </w:r>
      <w:r w:rsidR="00792DCE" w:rsidRPr="00D50CF9">
        <w:rPr>
          <w:b w:val="0"/>
        </w:rPr>
        <w:t xml:space="preserve">Comparison between CAMS </w:t>
      </w:r>
      <w:r w:rsidR="00792DCE" w:rsidRPr="00D50CF9">
        <w:rPr>
          <w:b w:val="0"/>
          <w:lang w:eastAsia="ko-KR"/>
        </w:rPr>
        <w:t>(CY</w:t>
      </w:r>
      <w:r w:rsidR="00792DCE" w:rsidRPr="00D50CF9">
        <w:rPr>
          <w:b w:val="0"/>
        </w:rPr>
        <w:t>47</w:t>
      </w:r>
      <w:r w:rsidR="00792DCE" w:rsidRPr="00D50CF9">
        <w:rPr>
          <w:b w:val="0"/>
          <w:lang w:eastAsia="ko-KR"/>
        </w:rPr>
        <w:t>R</w:t>
      </w:r>
      <w:r w:rsidR="00792DCE" w:rsidRPr="00D50CF9">
        <w:rPr>
          <w:b w:val="0"/>
        </w:rPr>
        <w:t>3</w:t>
      </w:r>
      <w:r w:rsidR="00792DCE" w:rsidRPr="00D50CF9">
        <w:rPr>
          <w:b w:val="0"/>
          <w:lang w:eastAsia="ko-KR"/>
        </w:rPr>
        <w:t>)</w:t>
      </w:r>
      <w:r w:rsidR="00792DCE" w:rsidRPr="00D50CF9">
        <w:rPr>
          <w:b w:val="0"/>
        </w:rPr>
        <w:t xml:space="preserve"> </w:t>
      </w:r>
      <w:r w:rsidR="00792DCE" w:rsidRPr="00D50CF9">
        <w:rPr>
          <w:b w:val="0"/>
          <w:lang w:eastAsia="ko-KR"/>
        </w:rPr>
        <w:t>NRT</w:t>
      </w:r>
      <w:r w:rsidR="00792DCE" w:rsidRPr="00D50CF9">
        <w:rPr>
          <w:b w:val="0"/>
        </w:rPr>
        <w:t xml:space="preserve"> and K_ACheMS v2.0 PM</w:t>
      </w:r>
      <w:r w:rsidR="00792DCE" w:rsidRPr="00D50CF9">
        <w:rPr>
          <w:b w:val="0"/>
          <w:vertAlign w:val="subscript"/>
        </w:rPr>
        <w:t>2.5</w:t>
      </w:r>
      <w:r w:rsidR="00792DCE" w:rsidRPr="00D50CF9">
        <w:rPr>
          <w:b w:val="0"/>
        </w:rPr>
        <w:t xml:space="preserve"> predictions in terms of scientific statistical metrics. </w:t>
      </w:r>
    </w:p>
    <w:tbl>
      <w:tblPr>
        <w:tblStyle w:val="afff1"/>
        <w:tblW w:w="8647" w:type="dxa"/>
        <w:tblInd w:w="-5" w:type="dxa"/>
        <w:tblLook w:val="0420" w:firstRow="1" w:lastRow="0" w:firstColumn="0" w:lastColumn="0" w:noHBand="0" w:noVBand="1"/>
      </w:tblPr>
      <w:tblGrid>
        <w:gridCol w:w="2552"/>
        <w:gridCol w:w="1523"/>
        <w:gridCol w:w="1524"/>
        <w:gridCol w:w="1524"/>
        <w:gridCol w:w="1524"/>
      </w:tblGrid>
      <w:tr w:rsidR="00792DCE" w:rsidRPr="00D50CF9" w:rsidTr="00BF7917">
        <w:trPr>
          <w:trHeight w:val="454"/>
        </w:trPr>
        <w:tc>
          <w:tcPr>
            <w:tcW w:w="2552" w:type="dxa"/>
            <w:vAlign w:val="center"/>
            <w:hideMark/>
          </w:tcPr>
          <w:p w:rsidR="00792DCE" w:rsidRPr="00D50CF9" w:rsidRDefault="00792DCE" w:rsidP="00FF6C9B">
            <w:pPr>
              <w:pStyle w:val="SMcaption"/>
              <w:jc w:val="center"/>
              <w:rPr>
                <w:b/>
                <w:szCs w:val="24"/>
              </w:rPr>
            </w:pPr>
            <w:r w:rsidRPr="00D50CF9">
              <w:rPr>
                <w:b/>
                <w:szCs w:val="24"/>
              </w:rPr>
              <w:t>Models</w:t>
            </w:r>
          </w:p>
        </w:tc>
        <w:tc>
          <w:tcPr>
            <w:tcW w:w="1523" w:type="dxa"/>
            <w:vAlign w:val="center"/>
            <w:hideMark/>
          </w:tcPr>
          <w:p w:rsidR="00792DCE" w:rsidRPr="00D50CF9" w:rsidRDefault="00792DCE" w:rsidP="00FF6C9B">
            <w:pPr>
              <w:pStyle w:val="SMcaption"/>
              <w:jc w:val="center"/>
              <w:rPr>
                <w:b/>
                <w:szCs w:val="24"/>
              </w:rPr>
            </w:pPr>
            <w:r w:rsidRPr="00D50CF9">
              <w:rPr>
                <w:b/>
                <w:szCs w:val="24"/>
              </w:rPr>
              <w:t>IOA</w:t>
            </w:r>
          </w:p>
        </w:tc>
        <w:tc>
          <w:tcPr>
            <w:tcW w:w="1524" w:type="dxa"/>
            <w:vAlign w:val="center"/>
            <w:hideMark/>
          </w:tcPr>
          <w:p w:rsidR="00792DCE" w:rsidRPr="00D50CF9" w:rsidRDefault="00792DCE" w:rsidP="00FF6C9B">
            <w:pPr>
              <w:pStyle w:val="SMcaption"/>
              <w:jc w:val="center"/>
              <w:rPr>
                <w:b/>
                <w:szCs w:val="24"/>
              </w:rPr>
            </w:pPr>
            <w:r w:rsidRPr="00D50CF9">
              <w:rPr>
                <w:b/>
                <w:szCs w:val="24"/>
              </w:rPr>
              <w:t>R</w:t>
            </w:r>
          </w:p>
        </w:tc>
        <w:tc>
          <w:tcPr>
            <w:tcW w:w="1524" w:type="dxa"/>
            <w:vAlign w:val="center"/>
            <w:hideMark/>
          </w:tcPr>
          <w:p w:rsidR="00792DCE" w:rsidRPr="00D50CF9" w:rsidRDefault="00792DCE" w:rsidP="00FF6C9B">
            <w:pPr>
              <w:pStyle w:val="SMcaption"/>
              <w:jc w:val="center"/>
              <w:rPr>
                <w:b/>
                <w:szCs w:val="24"/>
              </w:rPr>
            </w:pPr>
            <w:r w:rsidRPr="00D50CF9">
              <w:rPr>
                <w:b/>
                <w:szCs w:val="24"/>
              </w:rPr>
              <w:t>RMSE</w:t>
            </w:r>
            <w:r w:rsidR="00B42C4F">
              <w:rPr>
                <w:szCs w:val="24"/>
                <w:vertAlign w:val="superscript"/>
              </w:rPr>
              <w:t>*</w:t>
            </w:r>
          </w:p>
        </w:tc>
        <w:tc>
          <w:tcPr>
            <w:tcW w:w="1524" w:type="dxa"/>
            <w:vAlign w:val="center"/>
            <w:hideMark/>
          </w:tcPr>
          <w:p w:rsidR="00792DCE" w:rsidRPr="00D50CF9" w:rsidRDefault="00792DCE" w:rsidP="00FF6C9B">
            <w:pPr>
              <w:pStyle w:val="SMcaption"/>
              <w:jc w:val="center"/>
              <w:rPr>
                <w:b/>
                <w:szCs w:val="24"/>
              </w:rPr>
            </w:pPr>
            <w:r w:rsidRPr="00D50CF9">
              <w:rPr>
                <w:b/>
                <w:szCs w:val="24"/>
              </w:rPr>
              <w:t>MB</w:t>
            </w:r>
            <w:r w:rsidRPr="00D50CF9">
              <w:rPr>
                <w:b/>
                <w:szCs w:val="24"/>
                <w:vertAlign w:val="superscript"/>
              </w:rPr>
              <w:t>*</w:t>
            </w:r>
          </w:p>
        </w:tc>
      </w:tr>
      <w:tr w:rsidR="00792DCE" w:rsidRPr="00D50CF9" w:rsidTr="00BF7917">
        <w:trPr>
          <w:trHeight w:val="454"/>
        </w:trPr>
        <w:tc>
          <w:tcPr>
            <w:tcW w:w="2552" w:type="dxa"/>
            <w:vAlign w:val="center"/>
            <w:hideMark/>
          </w:tcPr>
          <w:p w:rsidR="00792DCE" w:rsidRPr="00D50CF9" w:rsidRDefault="00792DCE" w:rsidP="00FF6C9B">
            <w:pPr>
              <w:pStyle w:val="SMcaption"/>
              <w:jc w:val="center"/>
              <w:rPr>
                <w:szCs w:val="24"/>
              </w:rPr>
            </w:pPr>
            <w:r w:rsidRPr="00D50CF9">
              <w:rPr>
                <w:szCs w:val="24"/>
              </w:rPr>
              <w:t>CAMS (CY47R3) NRT</w:t>
            </w:r>
          </w:p>
        </w:tc>
        <w:tc>
          <w:tcPr>
            <w:tcW w:w="1523" w:type="dxa"/>
            <w:vAlign w:val="center"/>
            <w:hideMark/>
          </w:tcPr>
          <w:p w:rsidR="00792DCE" w:rsidRPr="00D50CF9" w:rsidRDefault="00792DCE" w:rsidP="00FF6C9B">
            <w:pPr>
              <w:pStyle w:val="SMcaption"/>
              <w:jc w:val="right"/>
              <w:rPr>
                <w:szCs w:val="24"/>
              </w:rPr>
            </w:pPr>
            <w:r w:rsidRPr="00D50CF9">
              <w:rPr>
                <w:szCs w:val="24"/>
              </w:rPr>
              <w:t>0.76</w:t>
            </w:r>
          </w:p>
        </w:tc>
        <w:tc>
          <w:tcPr>
            <w:tcW w:w="1524" w:type="dxa"/>
            <w:vAlign w:val="center"/>
            <w:hideMark/>
          </w:tcPr>
          <w:p w:rsidR="00792DCE" w:rsidRPr="00D50CF9" w:rsidRDefault="00792DCE" w:rsidP="00FF6C9B">
            <w:pPr>
              <w:pStyle w:val="SMcaption"/>
              <w:jc w:val="right"/>
              <w:rPr>
                <w:szCs w:val="24"/>
              </w:rPr>
            </w:pPr>
            <w:r w:rsidRPr="00D50CF9">
              <w:rPr>
                <w:szCs w:val="24"/>
              </w:rPr>
              <w:t>0.61</w:t>
            </w:r>
          </w:p>
        </w:tc>
        <w:tc>
          <w:tcPr>
            <w:tcW w:w="1524" w:type="dxa"/>
            <w:vAlign w:val="center"/>
            <w:hideMark/>
          </w:tcPr>
          <w:p w:rsidR="00792DCE" w:rsidRPr="00D50CF9" w:rsidRDefault="00792DCE" w:rsidP="00FF6C9B">
            <w:pPr>
              <w:pStyle w:val="SMcaption"/>
              <w:jc w:val="right"/>
              <w:rPr>
                <w:szCs w:val="24"/>
              </w:rPr>
            </w:pPr>
            <w:r w:rsidRPr="00D50CF9">
              <w:rPr>
                <w:szCs w:val="24"/>
              </w:rPr>
              <w:t>12.86</w:t>
            </w:r>
          </w:p>
        </w:tc>
        <w:tc>
          <w:tcPr>
            <w:tcW w:w="1524" w:type="dxa"/>
            <w:vAlign w:val="center"/>
            <w:hideMark/>
          </w:tcPr>
          <w:p w:rsidR="00792DCE" w:rsidRPr="00D50CF9" w:rsidRDefault="00792DCE" w:rsidP="00FF6C9B">
            <w:pPr>
              <w:pStyle w:val="SMcaption"/>
              <w:jc w:val="right"/>
              <w:rPr>
                <w:szCs w:val="24"/>
              </w:rPr>
            </w:pPr>
            <w:r w:rsidRPr="00D50CF9">
              <w:rPr>
                <w:szCs w:val="24"/>
              </w:rPr>
              <w:t>2.95</w:t>
            </w:r>
          </w:p>
        </w:tc>
      </w:tr>
      <w:tr w:rsidR="00792DCE" w:rsidRPr="00D50CF9" w:rsidTr="00BF7917">
        <w:trPr>
          <w:trHeight w:val="454"/>
        </w:trPr>
        <w:tc>
          <w:tcPr>
            <w:tcW w:w="2552" w:type="dxa"/>
            <w:vAlign w:val="center"/>
            <w:hideMark/>
          </w:tcPr>
          <w:p w:rsidR="00792DCE" w:rsidRPr="00D50CF9" w:rsidRDefault="00792DCE" w:rsidP="00FF6C9B">
            <w:pPr>
              <w:pStyle w:val="SMcaption"/>
              <w:jc w:val="center"/>
              <w:rPr>
                <w:szCs w:val="24"/>
              </w:rPr>
            </w:pPr>
            <w:r w:rsidRPr="00D50CF9">
              <w:rPr>
                <w:szCs w:val="24"/>
              </w:rPr>
              <w:t>K_ACheMS v2.0</w:t>
            </w:r>
          </w:p>
        </w:tc>
        <w:tc>
          <w:tcPr>
            <w:tcW w:w="1523" w:type="dxa"/>
            <w:vAlign w:val="center"/>
            <w:hideMark/>
          </w:tcPr>
          <w:p w:rsidR="00792DCE" w:rsidRPr="00D50CF9" w:rsidRDefault="00792DCE" w:rsidP="00FF6C9B">
            <w:pPr>
              <w:pStyle w:val="SMcaption"/>
              <w:jc w:val="right"/>
              <w:rPr>
                <w:szCs w:val="24"/>
              </w:rPr>
            </w:pPr>
            <w:r w:rsidRPr="00D50CF9">
              <w:rPr>
                <w:szCs w:val="24"/>
              </w:rPr>
              <w:t>0.78</w:t>
            </w:r>
          </w:p>
        </w:tc>
        <w:tc>
          <w:tcPr>
            <w:tcW w:w="1524" w:type="dxa"/>
            <w:vAlign w:val="center"/>
            <w:hideMark/>
          </w:tcPr>
          <w:p w:rsidR="00792DCE" w:rsidRPr="00D50CF9" w:rsidRDefault="00792DCE" w:rsidP="00FF6C9B">
            <w:pPr>
              <w:pStyle w:val="SMcaption"/>
              <w:jc w:val="right"/>
              <w:rPr>
                <w:szCs w:val="24"/>
              </w:rPr>
            </w:pPr>
            <w:r w:rsidRPr="00D50CF9">
              <w:rPr>
                <w:szCs w:val="24"/>
              </w:rPr>
              <w:t>0.62</w:t>
            </w:r>
          </w:p>
        </w:tc>
        <w:tc>
          <w:tcPr>
            <w:tcW w:w="1524" w:type="dxa"/>
            <w:vAlign w:val="center"/>
            <w:hideMark/>
          </w:tcPr>
          <w:p w:rsidR="00792DCE" w:rsidRPr="00D50CF9" w:rsidRDefault="00792DCE" w:rsidP="00FF6C9B">
            <w:pPr>
              <w:pStyle w:val="SMcaption"/>
              <w:jc w:val="right"/>
              <w:rPr>
                <w:szCs w:val="24"/>
              </w:rPr>
            </w:pPr>
            <w:r w:rsidRPr="00D50CF9">
              <w:rPr>
                <w:szCs w:val="24"/>
              </w:rPr>
              <w:t>13.80</w:t>
            </w:r>
          </w:p>
        </w:tc>
        <w:tc>
          <w:tcPr>
            <w:tcW w:w="1524" w:type="dxa"/>
            <w:vAlign w:val="center"/>
            <w:hideMark/>
          </w:tcPr>
          <w:p w:rsidR="00792DCE" w:rsidRPr="00D50CF9" w:rsidRDefault="00792DCE" w:rsidP="00FF6C9B">
            <w:pPr>
              <w:pStyle w:val="SMcaption"/>
              <w:jc w:val="right"/>
              <w:rPr>
                <w:szCs w:val="24"/>
              </w:rPr>
            </w:pPr>
            <w:r w:rsidRPr="00D50CF9">
              <w:rPr>
                <w:szCs w:val="24"/>
              </w:rPr>
              <w:t>1.35</w:t>
            </w:r>
          </w:p>
        </w:tc>
      </w:tr>
    </w:tbl>
    <w:p w:rsidR="00792DCE" w:rsidRPr="00D50CF9" w:rsidRDefault="00792DCE" w:rsidP="00792DCE">
      <w:pPr>
        <w:rPr>
          <w:szCs w:val="24"/>
        </w:rPr>
      </w:pPr>
      <w:r w:rsidRPr="00D50CF9">
        <w:rPr>
          <w:szCs w:val="24"/>
          <w:vertAlign w:val="superscript"/>
          <w:lang w:eastAsia="ko-KR"/>
        </w:rPr>
        <w:t>*</w:t>
      </w:r>
      <w:r w:rsidRPr="00D50CF9">
        <w:rPr>
          <w:szCs w:val="24"/>
        </w:rPr>
        <w:t xml:space="preserve"> The unit is </w:t>
      </w:r>
      <w:r w:rsidRPr="00D50CF9">
        <w:rPr>
          <w:i/>
          <w:szCs w:val="24"/>
        </w:rPr>
        <w:t>μ</w:t>
      </w:r>
      <w:r w:rsidRPr="00D50CF9">
        <w:rPr>
          <w:szCs w:val="24"/>
        </w:rPr>
        <w:t>g/m</w:t>
      </w:r>
      <w:r w:rsidRPr="00D50CF9">
        <w:rPr>
          <w:szCs w:val="24"/>
          <w:vertAlign w:val="superscript"/>
        </w:rPr>
        <w:t>3</w:t>
      </w:r>
      <w:r w:rsidRPr="00D50CF9">
        <w:rPr>
          <w:szCs w:val="24"/>
        </w:rPr>
        <w:t>.</w:t>
      </w:r>
    </w:p>
    <w:p w:rsidR="00792DCE" w:rsidRPr="00D50CF9" w:rsidRDefault="00792DCE" w:rsidP="00792DCE">
      <w:pPr>
        <w:rPr>
          <w:sz w:val="20"/>
        </w:rPr>
      </w:pPr>
      <w:r w:rsidRPr="00D50CF9">
        <w:rPr>
          <w:sz w:val="20"/>
        </w:rPr>
        <w:br w:type="page"/>
      </w:r>
    </w:p>
    <w:p w:rsidR="00792DCE" w:rsidRPr="00D50CF9" w:rsidRDefault="001D0A5C" w:rsidP="00792DCE">
      <w:pPr>
        <w:pStyle w:val="SMHeading"/>
        <w:rPr>
          <w:lang w:eastAsia="ko-KR"/>
        </w:rPr>
      </w:pPr>
      <w:r w:rsidRPr="00D50CF9">
        <w:lastRenderedPageBreak/>
        <w:t xml:space="preserve">Supplementary </w:t>
      </w:r>
      <w:r w:rsidR="00792DCE" w:rsidRPr="00D50CF9">
        <w:t xml:space="preserve">Table </w:t>
      </w:r>
      <w:r w:rsidR="00792DCE" w:rsidRPr="00D50CF9">
        <w:rPr>
          <w:lang w:eastAsia="ko-KR"/>
        </w:rPr>
        <w:t>8</w:t>
      </w:r>
      <w:r w:rsidRPr="00D50CF9">
        <w:rPr>
          <w:lang w:eastAsia="ko-KR"/>
        </w:rPr>
        <w:t xml:space="preserve"> |</w:t>
      </w:r>
      <w:r w:rsidR="00792DCE" w:rsidRPr="00D50CF9">
        <w:t xml:space="preserve"> </w:t>
      </w:r>
      <w:r w:rsidR="00792DCE" w:rsidRPr="00D50CF9">
        <w:rPr>
          <w:b w:val="0"/>
        </w:rPr>
        <w:t xml:space="preserve">Comparison between CAMS </w:t>
      </w:r>
      <w:r w:rsidR="00792DCE" w:rsidRPr="00D50CF9">
        <w:rPr>
          <w:b w:val="0"/>
          <w:lang w:eastAsia="ko-KR"/>
        </w:rPr>
        <w:t>(CY</w:t>
      </w:r>
      <w:r w:rsidR="00792DCE" w:rsidRPr="00D50CF9">
        <w:rPr>
          <w:b w:val="0"/>
        </w:rPr>
        <w:t>47</w:t>
      </w:r>
      <w:r w:rsidR="00792DCE" w:rsidRPr="00D50CF9">
        <w:rPr>
          <w:b w:val="0"/>
          <w:lang w:eastAsia="ko-KR"/>
        </w:rPr>
        <w:t>R</w:t>
      </w:r>
      <w:r w:rsidR="00792DCE" w:rsidRPr="00D50CF9">
        <w:rPr>
          <w:b w:val="0"/>
        </w:rPr>
        <w:t>3</w:t>
      </w:r>
      <w:r w:rsidR="00792DCE" w:rsidRPr="00D50CF9">
        <w:rPr>
          <w:b w:val="0"/>
          <w:lang w:eastAsia="ko-KR"/>
        </w:rPr>
        <w:t>)</w:t>
      </w:r>
      <w:r w:rsidR="00792DCE" w:rsidRPr="00D50CF9">
        <w:rPr>
          <w:b w:val="0"/>
        </w:rPr>
        <w:t xml:space="preserve"> </w:t>
      </w:r>
      <w:r w:rsidR="00792DCE" w:rsidRPr="00D50CF9">
        <w:rPr>
          <w:b w:val="0"/>
          <w:lang w:eastAsia="ko-KR"/>
        </w:rPr>
        <w:t>NRT</w:t>
      </w:r>
      <w:r w:rsidR="00792DCE" w:rsidRPr="00D50CF9">
        <w:rPr>
          <w:b w:val="0"/>
        </w:rPr>
        <w:t xml:space="preserve"> and K_ACheMS v2.0 PM</w:t>
      </w:r>
      <w:r w:rsidR="00792DCE" w:rsidRPr="00D50CF9">
        <w:rPr>
          <w:b w:val="0"/>
          <w:vertAlign w:val="subscript"/>
        </w:rPr>
        <w:t>2.5</w:t>
      </w:r>
      <w:r w:rsidR="00792DCE" w:rsidRPr="00D50CF9">
        <w:rPr>
          <w:b w:val="0"/>
        </w:rPr>
        <w:t xml:space="preserve"> predictions in terms of administrative statistical metrics.</w:t>
      </w:r>
    </w:p>
    <w:tbl>
      <w:tblPr>
        <w:tblStyle w:val="afff1"/>
        <w:tblW w:w="8647" w:type="dxa"/>
        <w:tblInd w:w="-5" w:type="dxa"/>
        <w:tblLook w:val="0420" w:firstRow="1" w:lastRow="0" w:firstColumn="0" w:lastColumn="0" w:noHBand="0" w:noVBand="1"/>
      </w:tblPr>
      <w:tblGrid>
        <w:gridCol w:w="2552"/>
        <w:gridCol w:w="1523"/>
        <w:gridCol w:w="1524"/>
        <w:gridCol w:w="1524"/>
        <w:gridCol w:w="1524"/>
      </w:tblGrid>
      <w:tr w:rsidR="00792DCE" w:rsidRPr="00D50CF9" w:rsidTr="00BF7917">
        <w:trPr>
          <w:trHeight w:val="454"/>
        </w:trPr>
        <w:tc>
          <w:tcPr>
            <w:tcW w:w="2552" w:type="dxa"/>
            <w:vAlign w:val="center"/>
            <w:hideMark/>
          </w:tcPr>
          <w:p w:rsidR="00792DCE" w:rsidRPr="00D50CF9" w:rsidRDefault="00792DCE" w:rsidP="00FF6C9B">
            <w:pPr>
              <w:pStyle w:val="SMcaption"/>
              <w:jc w:val="center"/>
              <w:rPr>
                <w:b/>
                <w:szCs w:val="24"/>
              </w:rPr>
            </w:pPr>
            <w:r w:rsidRPr="00D50CF9">
              <w:rPr>
                <w:b/>
                <w:szCs w:val="24"/>
              </w:rPr>
              <w:t>Models</w:t>
            </w:r>
          </w:p>
        </w:tc>
        <w:tc>
          <w:tcPr>
            <w:tcW w:w="1523" w:type="dxa"/>
            <w:vAlign w:val="center"/>
            <w:hideMark/>
          </w:tcPr>
          <w:p w:rsidR="00792DCE" w:rsidRPr="00D50CF9" w:rsidRDefault="00792DCE" w:rsidP="00FF6C9B">
            <w:pPr>
              <w:pStyle w:val="SMcaption"/>
              <w:jc w:val="center"/>
              <w:rPr>
                <w:b/>
                <w:szCs w:val="24"/>
              </w:rPr>
            </w:pPr>
            <w:r w:rsidRPr="00D50CF9">
              <w:rPr>
                <w:b/>
                <w:szCs w:val="24"/>
              </w:rPr>
              <w:t>ACC</w:t>
            </w:r>
            <w:r w:rsidRPr="00D50CF9">
              <w:rPr>
                <w:b/>
                <w:szCs w:val="24"/>
                <w:vertAlign w:val="superscript"/>
              </w:rPr>
              <w:t>*</w:t>
            </w:r>
          </w:p>
        </w:tc>
        <w:tc>
          <w:tcPr>
            <w:tcW w:w="1524" w:type="dxa"/>
            <w:vAlign w:val="center"/>
            <w:hideMark/>
          </w:tcPr>
          <w:p w:rsidR="00792DCE" w:rsidRPr="00D50CF9" w:rsidRDefault="00792DCE" w:rsidP="00FF6C9B">
            <w:pPr>
              <w:pStyle w:val="SMcaption"/>
              <w:jc w:val="center"/>
              <w:rPr>
                <w:b/>
                <w:szCs w:val="24"/>
              </w:rPr>
            </w:pPr>
            <w:r w:rsidRPr="00D50CF9">
              <w:rPr>
                <w:b/>
                <w:szCs w:val="24"/>
              </w:rPr>
              <w:t>HR</w:t>
            </w:r>
            <w:r w:rsidRPr="00D50CF9">
              <w:rPr>
                <w:b/>
                <w:szCs w:val="24"/>
                <w:vertAlign w:val="superscript"/>
              </w:rPr>
              <w:t>*</w:t>
            </w:r>
          </w:p>
        </w:tc>
        <w:tc>
          <w:tcPr>
            <w:tcW w:w="1524" w:type="dxa"/>
            <w:vAlign w:val="center"/>
            <w:hideMark/>
          </w:tcPr>
          <w:p w:rsidR="00792DCE" w:rsidRPr="00D50CF9" w:rsidRDefault="00792DCE" w:rsidP="00FF6C9B">
            <w:pPr>
              <w:pStyle w:val="SMcaption"/>
              <w:jc w:val="center"/>
              <w:rPr>
                <w:b/>
                <w:szCs w:val="24"/>
              </w:rPr>
            </w:pPr>
            <w:r w:rsidRPr="00D50CF9">
              <w:rPr>
                <w:b/>
                <w:szCs w:val="24"/>
              </w:rPr>
              <w:t>POD</w:t>
            </w:r>
            <w:r w:rsidRPr="00D50CF9">
              <w:rPr>
                <w:b/>
                <w:szCs w:val="24"/>
                <w:vertAlign w:val="superscript"/>
              </w:rPr>
              <w:t>*</w:t>
            </w:r>
          </w:p>
        </w:tc>
        <w:tc>
          <w:tcPr>
            <w:tcW w:w="1524" w:type="dxa"/>
            <w:vAlign w:val="center"/>
            <w:hideMark/>
          </w:tcPr>
          <w:p w:rsidR="00792DCE" w:rsidRPr="00D50CF9" w:rsidRDefault="00792DCE" w:rsidP="00FF6C9B">
            <w:pPr>
              <w:pStyle w:val="SMcaption"/>
              <w:jc w:val="center"/>
              <w:rPr>
                <w:b/>
                <w:szCs w:val="24"/>
              </w:rPr>
            </w:pPr>
            <w:r w:rsidRPr="00D50CF9">
              <w:rPr>
                <w:b/>
                <w:szCs w:val="24"/>
              </w:rPr>
              <w:t>FAR</w:t>
            </w:r>
            <w:r w:rsidRPr="00D50CF9">
              <w:rPr>
                <w:b/>
                <w:szCs w:val="24"/>
                <w:vertAlign w:val="superscript"/>
              </w:rPr>
              <w:t>*</w:t>
            </w:r>
          </w:p>
        </w:tc>
      </w:tr>
      <w:tr w:rsidR="00792DCE" w:rsidRPr="00D50CF9" w:rsidTr="00BF7917">
        <w:trPr>
          <w:trHeight w:val="454"/>
        </w:trPr>
        <w:tc>
          <w:tcPr>
            <w:tcW w:w="2552" w:type="dxa"/>
            <w:vAlign w:val="center"/>
            <w:hideMark/>
          </w:tcPr>
          <w:p w:rsidR="00792DCE" w:rsidRPr="00D50CF9" w:rsidRDefault="00792DCE" w:rsidP="00FF6C9B">
            <w:pPr>
              <w:pStyle w:val="SMcaption"/>
              <w:jc w:val="center"/>
              <w:rPr>
                <w:szCs w:val="24"/>
              </w:rPr>
            </w:pPr>
            <w:r w:rsidRPr="00D50CF9">
              <w:rPr>
                <w:szCs w:val="24"/>
              </w:rPr>
              <w:t>CAMS (CY47R3) NRT</w:t>
            </w:r>
          </w:p>
        </w:tc>
        <w:tc>
          <w:tcPr>
            <w:tcW w:w="1523" w:type="dxa"/>
            <w:vAlign w:val="center"/>
            <w:hideMark/>
          </w:tcPr>
          <w:p w:rsidR="00792DCE" w:rsidRPr="00D50CF9" w:rsidRDefault="00792DCE" w:rsidP="00FF6C9B">
            <w:pPr>
              <w:pStyle w:val="SMcaption"/>
              <w:jc w:val="right"/>
              <w:rPr>
                <w:szCs w:val="24"/>
              </w:rPr>
            </w:pPr>
            <w:r w:rsidRPr="00D50CF9">
              <w:rPr>
                <w:rFonts w:eastAsia="굴림"/>
                <w:kern w:val="24"/>
                <w:szCs w:val="24"/>
              </w:rPr>
              <w:t>67.70</w:t>
            </w:r>
          </w:p>
        </w:tc>
        <w:tc>
          <w:tcPr>
            <w:tcW w:w="1524" w:type="dxa"/>
            <w:vAlign w:val="center"/>
            <w:hideMark/>
          </w:tcPr>
          <w:p w:rsidR="00792DCE" w:rsidRPr="00D50CF9" w:rsidRDefault="00792DCE" w:rsidP="00FF6C9B">
            <w:pPr>
              <w:pStyle w:val="SMcaption"/>
              <w:jc w:val="right"/>
              <w:rPr>
                <w:szCs w:val="24"/>
              </w:rPr>
            </w:pPr>
            <w:r w:rsidRPr="00D50CF9">
              <w:rPr>
                <w:rFonts w:eastAsia="굴림"/>
                <w:kern w:val="24"/>
                <w:szCs w:val="24"/>
              </w:rPr>
              <w:t>54.08</w:t>
            </w:r>
          </w:p>
        </w:tc>
        <w:tc>
          <w:tcPr>
            <w:tcW w:w="1524" w:type="dxa"/>
            <w:vAlign w:val="center"/>
            <w:hideMark/>
          </w:tcPr>
          <w:p w:rsidR="00792DCE" w:rsidRPr="00D50CF9" w:rsidRDefault="00792DCE" w:rsidP="00FF6C9B">
            <w:pPr>
              <w:pStyle w:val="SMcaption"/>
              <w:jc w:val="right"/>
              <w:rPr>
                <w:szCs w:val="24"/>
              </w:rPr>
            </w:pPr>
            <w:r w:rsidRPr="00D50CF9">
              <w:rPr>
                <w:rFonts w:eastAsia="굴림"/>
                <w:kern w:val="24"/>
                <w:szCs w:val="24"/>
              </w:rPr>
              <w:t>56.46</w:t>
            </w:r>
          </w:p>
        </w:tc>
        <w:tc>
          <w:tcPr>
            <w:tcW w:w="1524" w:type="dxa"/>
            <w:vAlign w:val="center"/>
            <w:hideMark/>
          </w:tcPr>
          <w:p w:rsidR="00792DCE" w:rsidRPr="00D50CF9" w:rsidRDefault="00792DCE" w:rsidP="00FF6C9B">
            <w:pPr>
              <w:pStyle w:val="SMcaption"/>
              <w:jc w:val="right"/>
              <w:rPr>
                <w:szCs w:val="24"/>
              </w:rPr>
            </w:pPr>
            <w:r w:rsidRPr="00D50CF9">
              <w:rPr>
                <w:rFonts w:eastAsia="굴림"/>
                <w:kern w:val="24"/>
                <w:szCs w:val="24"/>
              </w:rPr>
              <w:t>46.28</w:t>
            </w:r>
          </w:p>
        </w:tc>
      </w:tr>
      <w:tr w:rsidR="00792DCE" w:rsidRPr="00D50CF9" w:rsidTr="00BF7917">
        <w:trPr>
          <w:trHeight w:val="454"/>
        </w:trPr>
        <w:tc>
          <w:tcPr>
            <w:tcW w:w="2552" w:type="dxa"/>
            <w:vAlign w:val="center"/>
            <w:hideMark/>
          </w:tcPr>
          <w:p w:rsidR="00792DCE" w:rsidRPr="00D50CF9" w:rsidRDefault="00792DCE" w:rsidP="00FF6C9B">
            <w:pPr>
              <w:pStyle w:val="SMcaption"/>
              <w:jc w:val="center"/>
              <w:rPr>
                <w:szCs w:val="24"/>
              </w:rPr>
            </w:pPr>
            <w:r w:rsidRPr="00D50CF9">
              <w:rPr>
                <w:szCs w:val="24"/>
              </w:rPr>
              <w:t>K_ACheMS v2.0</w:t>
            </w:r>
          </w:p>
        </w:tc>
        <w:tc>
          <w:tcPr>
            <w:tcW w:w="1523" w:type="dxa"/>
            <w:vAlign w:val="center"/>
            <w:hideMark/>
          </w:tcPr>
          <w:p w:rsidR="00792DCE" w:rsidRPr="00D50CF9" w:rsidRDefault="00792DCE" w:rsidP="00FF6C9B">
            <w:pPr>
              <w:pStyle w:val="SMcaption"/>
              <w:jc w:val="right"/>
              <w:rPr>
                <w:szCs w:val="24"/>
              </w:rPr>
            </w:pPr>
            <w:r w:rsidRPr="00D50CF9">
              <w:rPr>
                <w:rFonts w:eastAsia="굴림"/>
                <w:kern w:val="24"/>
                <w:szCs w:val="24"/>
              </w:rPr>
              <w:t>72.25</w:t>
            </w:r>
          </w:p>
        </w:tc>
        <w:tc>
          <w:tcPr>
            <w:tcW w:w="1524" w:type="dxa"/>
            <w:vAlign w:val="center"/>
            <w:hideMark/>
          </w:tcPr>
          <w:p w:rsidR="00792DCE" w:rsidRPr="00D50CF9" w:rsidRDefault="00792DCE" w:rsidP="00FF6C9B">
            <w:pPr>
              <w:pStyle w:val="SMcaption"/>
              <w:jc w:val="right"/>
              <w:rPr>
                <w:szCs w:val="24"/>
              </w:rPr>
            </w:pPr>
            <w:r w:rsidRPr="00D50CF9">
              <w:rPr>
                <w:rFonts w:eastAsia="굴림"/>
                <w:kern w:val="24"/>
                <w:szCs w:val="24"/>
              </w:rPr>
              <w:t>66.78</w:t>
            </w:r>
          </w:p>
        </w:tc>
        <w:tc>
          <w:tcPr>
            <w:tcW w:w="1524" w:type="dxa"/>
            <w:vAlign w:val="center"/>
            <w:hideMark/>
          </w:tcPr>
          <w:p w:rsidR="00792DCE" w:rsidRPr="00D50CF9" w:rsidRDefault="00792DCE" w:rsidP="00FF6C9B">
            <w:pPr>
              <w:pStyle w:val="SMcaption"/>
              <w:jc w:val="right"/>
              <w:rPr>
                <w:szCs w:val="24"/>
              </w:rPr>
            </w:pPr>
            <w:r w:rsidRPr="00D50CF9">
              <w:rPr>
                <w:rFonts w:eastAsia="굴림"/>
                <w:kern w:val="24"/>
                <w:szCs w:val="24"/>
              </w:rPr>
              <w:t>70.89</w:t>
            </w:r>
          </w:p>
        </w:tc>
        <w:tc>
          <w:tcPr>
            <w:tcW w:w="1524" w:type="dxa"/>
            <w:vAlign w:val="center"/>
            <w:hideMark/>
          </w:tcPr>
          <w:p w:rsidR="00792DCE" w:rsidRPr="00D50CF9" w:rsidRDefault="00792DCE" w:rsidP="00FF6C9B">
            <w:pPr>
              <w:pStyle w:val="SMcaption"/>
              <w:jc w:val="right"/>
              <w:rPr>
                <w:szCs w:val="24"/>
              </w:rPr>
            </w:pPr>
            <w:r w:rsidRPr="00D50CF9">
              <w:rPr>
                <w:rFonts w:eastAsia="굴림"/>
                <w:kern w:val="24"/>
                <w:szCs w:val="24"/>
              </w:rPr>
              <w:t>36.70</w:t>
            </w:r>
          </w:p>
        </w:tc>
      </w:tr>
    </w:tbl>
    <w:p w:rsidR="00792DCE" w:rsidRPr="00D50CF9" w:rsidRDefault="00792DCE" w:rsidP="00792DCE">
      <w:pPr>
        <w:rPr>
          <w:szCs w:val="24"/>
        </w:rPr>
      </w:pPr>
      <w:r w:rsidRPr="00D50CF9">
        <w:rPr>
          <w:szCs w:val="24"/>
          <w:vertAlign w:val="superscript"/>
          <w:lang w:eastAsia="ko-KR"/>
        </w:rPr>
        <w:t>*</w:t>
      </w:r>
      <w:r w:rsidRPr="00D50CF9">
        <w:rPr>
          <w:szCs w:val="24"/>
        </w:rPr>
        <w:t xml:space="preserve"> The unit is </w:t>
      </w:r>
      <w:r w:rsidRPr="00D50CF9">
        <w:rPr>
          <w:szCs w:val="24"/>
          <w:lang w:eastAsia="ko-KR"/>
        </w:rPr>
        <w:t>%</w:t>
      </w:r>
      <w:r w:rsidRPr="00D50CF9">
        <w:rPr>
          <w:szCs w:val="24"/>
        </w:rPr>
        <w:t>.</w:t>
      </w:r>
    </w:p>
    <w:p w:rsidR="00792DCE" w:rsidRPr="00D50CF9" w:rsidRDefault="00792DCE" w:rsidP="00792DCE">
      <w:pPr>
        <w:rPr>
          <w:sz w:val="20"/>
        </w:rPr>
      </w:pPr>
      <w:r w:rsidRPr="00D50CF9">
        <w:rPr>
          <w:sz w:val="20"/>
        </w:rPr>
        <w:br w:type="page"/>
      </w:r>
    </w:p>
    <w:p w:rsidR="00792DCE" w:rsidRPr="00D50CF9" w:rsidRDefault="001D0A5C" w:rsidP="00792DCE">
      <w:pPr>
        <w:pStyle w:val="SMHeading"/>
        <w:rPr>
          <w:b w:val="0"/>
        </w:rPr>
      </w:pPr>
      <w:r w:rsidRPr="00D50CF9">
        <w:lastRenderedPageBreak/>
        <w:t xml:space="preserve">Supplementary </w:t>
      </w:r>
      <w:r w:rsidR="00442189" w:rsidRPr="00D50CF9">
        <w:t xml:space="preserve">Table </w:t>
      </w:r>
      <w:r w:rsidR="00792DCE" w:rsidRPr="00D50CF9">
        <w:rPr>
          <w:lang w:eastAsia="ko-KR"/>
        </w:rPr>
        <w:t>9</w:t>
      </w:r>
      <w:r w:rsidRPr="00D50CF9">
        <w:rPr>
          <w:lang w:eastAsia="ko-KR"/>
        </w:rPr>
        <w:t xml:space="preserve"> |</w:t>
      </w:r>
      <w:r w:rsidR="00792DCE" w:rsidRPr="00D50CF9">
        <w:t xml:space="preserve"> </w:t>
      </w:r>
      <w:r w:rsidR="00792DCE" w:rsidRPr="00D50CF9">
        <w:rPr>
          <w:b w:val="0"/>
        </w:rPr>
        <w:t>Correction accuracies from several different decision tree-based ensemble models.</w:t>
      </w:r>
    </w:p>
    <w:tbl>
      <w:tblPr>
        <w:tblStyle w:val="afff1"/>
        <w:tblW w:w="0" w:type="auto"/>
        <w:tblInd w:w="108" w:type="dxa"/>
        <w:tblLook w:val="04A0" w:firstRow="1" w:lastRow="0" w:firstColumn="1" w:lastColumn="0" w:noHBand="0" w:noVBand="1"/>
      </w:tblPr>
      <w:tblGrid>
        <w:gridCol w:w="2231"/>
        <w:gridCol w:w="1558"/>
        <w:gridCol w:w="1558"/>
        <w:gridCol w:w="1616"/>
        <w:gridCol w:w="1559"/>
      </w:tblGrid>
      <w:tr w:rsidR="00792DCE" w:rsidRPr="00D50CF9" w:rsidTr="00FF6C9B">
        <w:trPr>
          <w:trHeight w:val="397"/>
        </w:trPr>
        <w:tc>
          <w:tcPr>
            <w:tcW w:w="2231" w:type="dxa"/>
            <w:vMerge w:val="restart"/>
            <w:vAlign w:val="center"/>
            <w:hideMark/>
          </w:tcPr>
          <w:p w:rsidR="00792DCE" w:rsidRPr="00D50CF9" w:rsidRDefault="00792DCE" w:rsidP="00FF6C9B">
            <w:pPr>
              <w:jc w:val="center"/>
              <w:rPr>
                <w:b/>
                <w:bCs/>
                <w:szCs w:val="24"/>
              </w:rPr>
            </w:pPr>
            <w:r w:rsidRPr="00D50CF9">
              <w:rPr>
                <w:b/>
                <w:bCs/>
                <w:szCs w:val="24"/>
              </w:rPr>
              <w:t>Ensemble Model</w:t>
            </w:r>
          </w:p>
        </w:tc>
        <w:tc>
          <w:tcPr>
            <w:tcW w:w="6291" w:type="dxa"/>
            <w:gridSpan w:val="4"/>
            <w:vAlign w:val="center"/>
            <w:hideMark/>
          </w:tcPr>
          <w:p w:rsidR="00792DCE" w:rsidRPr="00D50CF9" w:rsidRDefault="00792DCE" w:rsidP="00FF6C9B">
            <w:pPr>
              <w:jc w:val="center"/>
              <w:rPr>
                <w:b/>
                <w:bCs/>
                <w:szCs w:val="24"/>
              </w:rPr>
            </w:pPr>
            <w:r w:rsidRPr="00D50CF9">
              <w:rPr>
                <w:b/>
                <w:bCs/>
                <w:szCs w:val="24"/>
              </w:rPr>
              <w:t>Statistical parameter</w:t>
            </w:r>
          </w:p>
        </w:tc>
      </w:tr>
      <w:tr w:rsidR="00792DCE" w:rsidRPr="00D50CF9" w:rsidTr="00FF6C9B">
        <w:trPr>
          <w:trHeight w:val="397"/>
        </w:trPr>
        <w:tc>
          <w:tcPr>
            <w:tcW w:w="2231" w:type="dxa"/>
            <w:vMerge/>
            <w:vAlign w:val="center"/>
          </w:tcPr>
          <w:p w:rsidR="00792DCE" w:rsidRPr="00D50CF9" w:rsidRDefault="00792DCE" w:rsidP="00FF6C9B">
            <w:pPr>
              <w:jc w:val="center"/>
              <w:rPr>
                <w:b/>
                <w:bCs/>
                <w:szCs w:val="24"/>
              </w:rPr>
            </w:pPr>
          </w:p>
        </w:tc>
        <w:tc>
          <w:tcPr>
            <w:tcW w:w="1558" w:type="dxa"/>
            <w:vAlign w:val="center"/>
          </w:tcPr>
          <w:p w:rsidR="00792DCE" w:rsidRPr="00D50CF9" w:rsidRDefault="00792DCE" w:rsidP="00FF6C9B">
            <w:pPr>
              <w:jc w:val="center"/>
              <w:rPr>
                <w:b/>
                <w:bCs/>
                <w:szCs w:val="24"/>
              </w:rPr>
            </w:pPr>
            <w:r w:rsidRPr="00D50CF9">
              <w:rPr>
                <w:b/>
                <w:bCs/>
                <w:szCs w:val="24"/>
              </w:rPr>
              <w:t>IOA</w:t>
            </w:r>
          </w:p>
        </w:tc>
        <w:tc>
          <w:tcPr>
            <w:tcW w:w="1558" w:type="dxa"/>
            <w:vAlign w:val="center"/>
          </w:tcPr>
          <w:p w:rsidR="00792DCE" w:rsidRPr="00D50CF9" w:rsidRDefault="00792DCE" w:rsidP="00FF6C9B">
            <w:pPr>
              <w:jc w:val="center"/>
              <w:rPr>
                <w:b/>
                <w:bCs/>
                <w:szCs w:val="24"/>
              </w:rPr>
            </w:pPr>
            <w:r w:rsidRPr="00D50CF9">
              <w:rPr>
                <w:b/>
                <w:bCs/>
                <w:szCs w:val="24"/>
              </w:rPr>
              <w:t>R</w:t>
            </w:r>
          </w:p>
        </w:tc>
        <w:tc>
          <w:tcPr>
            <w:tcW w:w="1616" w:type="dxa"/>
            <w:vAlign w:val="center"/>
          </w:tcPr>
          <w:p w:rsidR="00792DCE" w:rsidRPr="00D50CF9" w:rsidRDefault="00792DCE" w:rsidP="00FF6C9B">
            <w:pPr>
              <w:jc w:val="center"/>
              <w:rPr>
                <w:b/>
                <w:bCs/>
                <w:szCs w:val="24"/>
              </w:rPr>
            </w:pPr>
            <w:r w:rsidRPr="00D50CF9">
              <w:rPr>
                <w:b/>
                <w:bCs/>
                <w:szCs w:val="24"/>
              </w:rPr>
              <w:t>RMSE</w:t>
            </w:r>
            <w:r w:rsidRPr="00D50CF9">
              <w:rPr>
                <w:bCs/>
                <w:szCs w:val="24"/>
                <w:vertAlign w:val="superscript"/>
              </w:rPr>
              <w:t>*</w:t>
            </w:r>
          </w:p>
        </w:tc>
        <w:tc>
          <w:tcPr>
            <w:tcW w:w="1559" w:type="dxa"/>
            <w:vAlign w:val="center"/>
          </w:tcPr>
          <w:p w:rsidR="00792DCE" w:rsidRPr="00D50CF9" w:rsidRDefault="00792DCE" w:rsidP="00FF6C9B">
            <w:pPr>
              <w:jc w:val="center"/>
              <w:rPr>
                <w:b/>
                <w:bCs/>
                <w:szCs w:val="24"/>
              </w:rPr>
            </w:pPr>
            <w:r w:rsidRPr="00D50CF9">
              <w:rPr>
                <w:b/>
                <w:bCs/>
                <w:szCs w:val="24"/>
              </w:rPr>
              <w:t>MB</w:t>
            </w:r>
            <w:r w:rsidRPr="00D50CF9">
              <w:rPr>
                <w:bCs/>
                <w:szCs w:val="24"/>
                <w:vertAlign w:val="superscript"/>
              </w:rPr>
              <w:t>*</w:t>
            </w:r>
          </w:p>
        </w:tc>
      </w:tr>
      <w:tr w:rsidR="00792DCE" w:rsidRPr="00D50CF9" w:rsidTr="00FF6C9B">
        <w:trPr>
          <w:trHeight w:val="397"/>
        </w:trPr>
        <w:tc>
          <w:tcPr>
            <w:tcW w:w="2231" w:type="dxa"/>
            <w:vAlign w:val="center"/>
            <w:hideMark/>
          </w:tcPr>
          <w:p w:rsidR="00792DCE" w:rsidRPr="00D50CF9" w:rsidRDefault="00792DCE" w:rsidP="00FF6C9B">
            <w:pPr>
              <w:jc w:val="center"/>
              <w:rPr>
                <w:szCs w:val="24"/>
              </w:rPr>
            </w:pPr>
            <w:r w:rsidRPr="00D50CF9">
              <w:rPr>
                <w:szCs w:val="24"/>
              </w:rPr>
              <w:t>CatBoost</w:t>
            </w:r>
          </w:p>
        </w:tc>
        <w:tc>
          <w:tcPr>
            <w:tcW w:w="1558" w:type="dxa"/>
            <w:vAlign w:val="center"/>
            <w:hideMark/>
          </w:tcPr>
          <w:p w:rsidR="00792DCE" w:rsidRPr="00D50CF9" w:rsidRDefault="00792DCE" w:rsidP="00FF6C9B">
            <w:pPr>
              <w:jc w:val="right"/>
              <w:rPr>
                <w:rFonts w:eastAsia="맑은 고딕"/>
                <w:szCs w:val="24"/>
              </w:rPr>
            </w:pPr>
            <w:r w:rsidRPr="00D50CF9">
              <w:rPr>
                <w:rFonts w:eastAsia="맑은 고딕"/>
                <w:szCs w:val="24"/>
              </w:rPr>
              <w:t>0.63</w:t>
            </w:r>
          </w:p>
        </w:tc>
        <w:tc>
          <w:tcPr>
            <w:tcW w:w="1558" w:type="dxa"/>
            <w:vAlign w:val="center"/>
          </w:tcPr>
          <w:p w:rsidR="00792DCE" w:rsidRPr="00D50CF9" w:rsidRDefault="00792DCE" w:rsidP="00FF6C9B">
            <w:pPr>
              <w:jc w:val="right"/>
              <w:rPr>
                <w:rFonts w:eastAsia="맑은 고딕"/>
                <w:szCs w:val="24"/>
              </w:rPr>
            </w:pPr>
            <w:r w:rsidRPr="00D50CF9">
              <w:rPr>
                <w:rFonts w:eastAsia="맑은 고딕"/>
                <w:szCs w:val="24"/>
              </w:rPr>
              <w:t>0.49</w:t>
            </w:r>
          </w:p>
        </w:tc>
        <w:tc>
          <w:tcPr>
            <w:tcW w:w="1616" w:type="dxa"/>
            <w:vAlign w:val="center"/>
          </w:tcPr>
          <w:p w:rsidR="00792DCE" w:rsidRPr="00D50CF9" w:rsidRDefault="00792DCE" w:rsidP="00FF6C9B">
            <w:pPr>
              <w:jc w:val="right"/>
              <w:rPr>
                <w:rFonts w:eastAsia="맑은 고딕"/>
                <w:szCs w:val="24"/>
              </w:rPr>
            </w:pPr>
            <w:r w:rsidRPr="00D50CF9">
              <w:rPr>
                <w:rFonts w:eastAsia="맑은 고딕"/>
                <w:szCs w:val="24"/>
              </w:rPr>
              <w:t>15.76</w:t>
            </w:r>
          </w:p>
        </w:tc>
        <w:tc>
          <w:tcPr>
            <w:tcW w:w="1559" w:type="dxa"/>
            <w:vAlign w:val="center"/>
          </w:tcPr>
          <w:p w:rsidR="00792DCE" w:rsidRPr="00D50CF9" w:rsidRDefault="00792DCE" w:rsidP="00FF6C9B">
            <w:pPr>
              <w:jc w:val="right"/>
              <w:rPr>
                <w:rFonts w:eastAsia="맑은 고딕"/>
                <w:szCs w:val="24"/>
              </w:rPr>
            </w:pPr>
            <w:r w:rsidRPr="00D50CF9">
              <w:rPr>
                <w:rFonts w:eastAsia="맑은 고딕"/>
                <w:szCs w:val="24"/>
              </w:rPr>
              <w:t>1.60</w:t>
            </w:r>
          </w:p>
        </w:tc>
      </w:tr>
      <w:tr w:rsidR="00792DCE" w:rsidRPr="00D50CF9" w:rsidTr="00FF6C9B">
        <w:trPr>
          <w:trHeight w:val="397"/>
        </w:trPr>
        <w:tc>
          <w:tcPr>
            <w:tcW w:w="2231" w:type="dxa"/>
            <w:vAlign w:val="center"/>
            <w:hideMark/>
          </w:tcPr>
          <w:p w:rsidR="00792DCE" w:rsidRPr="00D50CF9" w:rsidRDefault="00792DCE" w:rsidP="00FF6C9B">
            <w:pPr>
              <w:jc w:val="center"/>
              <w:rPr>
                <w:szCs w:val="24"/>
              </w:rPr>
            </w:pPr>
            <w:r w:rsidRPr="00D50CF9">
              <w:rPr>
                <w:szCs w:val="24"/>
              </w:rPr>
              <w:t>AdaBoost</w:t>
            </w:r>
          </w:p>
        </w:tc>
        <w:tc>
          <w:tcPr>
            <w:tcW w:w="1558" w:type="dxa"/>
            <w:vAlign w:val="center"/>
            <w:hideMark/>
          </w:tcPr>
          <w:p w:rsidR="00792DCE" w:rsidRPr="00D50CF9" w:rsidRDefault="00792DCE" w:rsidP="00FF6C9B">
            <w:pPr>
              <w:jc w:val="right"/>
              <w:rPr>
                <w:rFonts w:eastAsia="맑은 고딕"/>
                <w:szCs w:val="24"/>
              </w:rPr>
            </w:pPr>
            <w:r w:rsidRPr="00D50CF9">
              <w:rPr>
                <w:rFonts w:eastAsia="맑은 고딕"/>
                <w:szCs w:val="24"/>
              </w:rPr>
              <w:t>0.57</w:t>
            </w:r>
          </w:p>
        </w:tc>
        <w:tc>
          <w:tcPr>
            <w:tcW w:w="1558" w:type="dxa"/>
            <w:vAlign w:val="center"/>
          </w:tcPr>
          <w:p w:rsidR="00792DCE" w:rsidRPr="00D50CF9" w:rsidRDefault="00792DCE" w:rsidP="00FF6C9B">
            <w:pPr>
              <w:jc w:val="right"/>
              <w:rPr>
                <w:rFonts w:eastAsia="맑은 고딕"/>
                <w:szCs w:val="24"/>
              </w:rPr>
            </w:pPr>
            <w:r w:rsidRPr="00D50CF9">
              <w:rPr>
                <w:rFonts w:eastAsia="맑은 고딕"/>
                <w:szCs w:val="24"/>
              </w:rPr>
              <w:t>0.45</w:t>
            </w:r>
          </w:p>
        </w:tc>
        <w:tc>
          <w:tcPr>
            <w:tcW w:w="1616" w:type="dxa"/>
            <w:vAlign w:val="center"/>
          </w:tcPr>
          <w:p w:rsidR="00792DCE" w:rsidRPr="00D50CF9" w:rsidRDefault="00792DCE" w:rsidP="00FF6C9B">
            <w:pPr>
              <w:jc w:val="right"/>
              <w:rPr>
                <w:rFonts w:eastAsia="맑은 고딕"/>
                <w:szCs w:val="24"/>
              </w:rPr>
            </w:pPr>
            <w:r w:rsidRPr="00D50CF9">
              <w:rPr>
                <w:rFonts w:eastAsia="맑은 고딕"/>
                <w:szCs w:val="24"/>
              </w:rPr>
              <w:t>16.06</w:t>
            </w:r>
          </w:p>
        </w:tc>
        <w:tc>
          <w:tcPr>
            <w:tcW w:w="1559" w:type="dxa"/>
            <w:vAlign w:val="center"/>
          </w:tcPr>
          <w:p w:rsidR="00792DCE" w:rsidRPr="00D50CF9" w:rsidRDefault="00792DCE" w:rsidP="00FF6C9B">
            <w:pPr>
              <w:jc w:val="right"/>
              <w:rPr>
                <w:rFonts w:eastAsia="맑은 고딕"/>
                <w:szCs w:val="24"/>
              </w:rPr>
            </w:pPr>
            <w:r w:rsidRPr="00D50CF9">
              <w:rPr>
                <w:rFonts w:eastAsia="맑은 고딕"/>
                <w:szCs w:val="24"/>
              </w:rPr>
              <w:t>1.12</w:t>
            </w:r>
          </w:p>
        </w:tc>
      </w:tr>
      <w:tr w:rsidR="00792DCE" w:rsidRPr="00D50CF9" w:rsidTr="00FF6C9B">
        <w:trPr>
          <w:trHeight w:val="397"/>
        </w:trPr>
        <w:tc>
          <w:tcPr>
            <w:tcW w:w="2231" w:type="dxa"/>
            <w:vAlign w:val="center"/>
            <w:hideMark/>
          </w:tcPr>
          <w:p w:rsidR="00792DCE" w:rsidRPr="00D50CF9" w:rsidRDefault="00792DCE" w:rsidP="00FF6C9B">
            <w:pPr>
              <w:jc w:val="center"/>
              <w:rPr>
                <w:szCs w:val="24"/>
              </w:rPr>
            </w:pPr>
            <w:r w:rsidRPr="00D50CF9">
              <w:rPr>
                <w:szCs w:val="24"/>
              </w:rPr>
              <w:t>Light GBM</w:t>
            </w:r>
          </w:p>
        </w:tc>
        <w:tc>
          <w:tcPr>
            <w:tcW w:w="1558" w:type="dxa"/>
            <w:vAlign w:val="center"/>
            <w:hideMark/>
          </w:tcPr>
          <w:p w:rsidR="00792DCE" w:rsidRPr="00D50CF9" w:rsidRDefault="00792DCE" w:rsidP="00FF6C9B">
            <w:pPr>
              <w:jc w:val="right"/>
              <w:rPr>
                <w:rFonts w:eastAsia="맑은 고딕"/>
                <w:szCs w:val="24"/>
              </w:rPr>
            </w:pPr>
            <w:r w:rsidRPr="00D50CF9">
              <w:rPr>
                <w:rFonts w:eastAsia="맑은 고딕"/>
                <w:szCs w:val="24"/>
              </w:rPr>
              <w:t>0.61</w:t>
            </w:r>
          </w:p>
        </w:tc>
        <w:tc>
          <w:tcPr>
            <w:tcW w:w="1558" w:type="dxa"/>
            <w:vAlign w:val="center"/>
          </w:tcPr>
          <w:p w:rsidR="00792DCE" w:rsidRPr="00D50CF9" w:rsidRDefault="00792DCE" w:rsidP="00FF6C9B">
            <w:pPr>
              <w:jc w:val="right"/>
              <w:rPr>
                <w:rFonts w:eastAsia="맑은 고딕"/>
                <w:szCs w:val="24"/>
              </w:rPr>
            </w:pPr>
            <w:r w:rsidRPr="00D50CF9">
              <w:rPr>
                <w:rFonts w:eastAsia="맑은 고딕"/>
                <w:szCs w:val="24"/>
              </w:rPr>
              <w:t>0.48</w:t>
            </w:r>
          </w:p>
        </w:tc>
        <w:tc>
          <w:tcPr>
            <w:tcW w:w="1616" w:type="dxa"/>
            <w:vAlign w:val="center"/>
          </w:tcPr>
          <w:p w:rsidR="00792DCE" w:rsidRPr="00D50CF9" w:rsidRDefault="00792DCE" w:rsidP="00FF6C9B">
            <w:pPr>
              <w:jc w:val="right"/>
              <w:rPr>
                <w:rFonts w:eastAsia="맑은 고딕"/>
                <w:szCs w:val="24"/>
              </w:rPr>
            </w:pPr>
            <w:r w:rsidRPr="00D50CF9">
              <w:rPr>
                <w:rFonts w:eastAsia="맑은 고딕"/>
                <w:szCs w:val="24"/>
              </w:rPr>
              <w:t>15.39</w:t>
            </w:r>
          </w:p>
        </w:tc>
        <w:tc>
          <w:tcPr>
            <w:tcW w:w="1559" w:type="dxa"/>
            <w:vAlign w:val="center"/>
          </w:tcPr>
          <w:p w:rsidR="00792DCE" w:rsidRPr="00D50CF9" w:rsidRDefault="00C35A2E" w:rsidP="00FF6C9B">
            <w:pPr>
              <w:jc w:val="right"/>
              <w:rPr>
                <w:rFonts w:eastAsia="맑은 고딕"/>
                <w:szCs w:val="24"/>
              </w:rPr>
            </w:pPr>
            <w:r w:rsidRPr="00C35A2E">
              <w:rPr>
                <w:rFonts w:eastAsia="맑은 고딕"/>
                <w:szCs w:val="24"/>
              </w:rPr>
              <w:t>–</w:t>
            </w:r>
            <w:r w:rsidR="00792DCE" w:rsidRPr="00D50CF9">
              <w:rPr>
                <w:rFonts w:eastAsia="맑은 고딕"/>
                <w:szCs w:val="24"/>
              </w:rPr>
              <w:t>0.17</w:t>
            </w:r>
          </w:p>
        </w:tc>
      </w:tr>
      <w:tr w:rsidR="00792DCE" w:rsidRPr="00D50CF9" w:rsidTr="00FF6C9B">
        <w:trPr>
          <w:trHeight w:val="397"/>
        </w:trPr>
        <w:tc>
          <w:tcPr>
            <w:tcW w:w="2231" w:type="dxa"/>
            <w:vAlign w:val="center"/>
            <w:hideMark/>
          </w:tcPr>
          <w:p w:rsidR="00792DCE" w:rsidRPr="00D50CF9" w:rsidRDefault="00792DCE" w:rsidP="00FF6C9B">
            <w:pPr>
              <w:jc w:val="center"/>
              <w:rPr>
                <w:szCs w:val="24"/>
              </w:rPr>
            </w:pPr>
            <w:r w:rsidRPr="00D50CF9">
              <w:rPr>
                <w:szCs w:val="24"/>
              </w:rPr>
              <w:t>Random Forest</w:t>
            </w:r>
          </w:p>
        </w:tc>
        <w:tc>
          <w:tcPr>
            <w:tcW w:w="1558" w:type="dxa"/>
            <w:vAlign w:val="center"/>
            <w:hideMark/>
          </w:tcPr>
          <w:p w:rsidR="00792DCE" w:rsidRPr="00D50CF9" w:rsidRDefault="00792DCE" w:rsidP="00FF6C9B">
            <w:pPr>
              <w:jc w:val="right"/>
              <w:rPr>
                <w:rFonts w:eastAsia="맑은 고딕"/>
                <w:szCs w:val="24"/>
              </w:rPr>
            </w:pPr>
            <w:r w:rsidRPr="00D50CF9">
              <w:rPr>
                <w:rFonts w:eastAsia="맑은 고딕"/>
                <w:szCs w:val="24"/>
              </w:rPr>
              <w:t>0.54</w:t>
            </w:r>
          </w:p>
        </w:tc>
        <w:tc>
          <w:tcPr>
            <w:tcW w:w="1558" w:type="dxa"/>
            <w:vAlign w:val="center"/>
          </w:tcPr>
          <w:p w:rsidR="00792DCE" w:rsidRPr="00D50CF9" w:rsidRDefault="00792DCE" w:rsidP="00FF6C9B">
            <w:pPr>
              <w:jc w:val="right"/>
              <w:rPr>
                <w:rFonts w:eastAsia="맑은 고딕"/>
                <w:szCs w:val="24"/>
              </w:rPr>
            </w:pPr>
            <w:r w:rsidRPr="00D50CF9">
              <w:rPr>
                <w:rFonts w:eastAsia="맑은 고딕"/>
                <w:szCs w:val="24"/>
              </w:rPr>
              <w:t>0.44</w:t>
            </w:r>
          </w:p>
        </w:tc>
        <w:tc>
          <w:tcPr>
            <w:tcW w:w="1616" w:type="dxa"/>
            <w:vAlign w:val="center"/>
          </w:tcPr>
          <w:p w:rsidR="00792DCE" w:rsidRPr="00D50CF9" w:rsidRDefault="00792DCE" w:rsidP="00FF6C9B">
            <w:pPr>
              <w:jc w:val="right"/>
              <w:rPr>
                <w:rFonts w:eastAsia="맑은 고딕"/>
                <w:szCs w:val="24"/>
              </w:rPr>
            </w:pPr>
            <w:r w:rsidRPr="00D50CF9">
              <w:rPr>
                <w:rFonts w:eastAsia="맑은 고딕"/>
                <w:szCs w:val="24"/>
              </w:rPr>
              <w:t>16.16</w:t>
            </w:r>
          </w:p>
        </w:tc>
        <w:tc>
          <w:tcPr>
            <w:tcW w:w="1559" w:type="dxa"/>
            <w:vAlign w:val="center"/>
          </w:tcPr>
          <w:p w:rsidR="00792DCE" w:rsidRPr="00D50CF9" w:rsidRDefault="00792DCE" w:rsidP="00FF6C9B">
            <w:pPr>
              <w:jc w:val="right"/>
              <w:rPr>
                <w:rFonts w:eastAsia="맑은 고딕"/>
                <w:szCs w:val="24"/>
              </w:rPr>
            </w:pPr>
            <w:r w:rsidRPr="00D50CF9">
              <w:rPr>
                <w:rFonts w:eastAsia="맑은 고딕"/>
                <w:szCs w:val="24"/>
              </w:rPr>
              <w:t>0.20</w:t>
            </w:r>
          </w:p>
        </w:tc>
      </w:tr>
      <w:tr w:rsidR="00792DCE" w:rsidRPr="00D50CF9" w:rsidTr="00FF6C9B">
        <w:trPr>
          <w:trHeight w:val="397"/>
        </w:trPr>
        <w:tc>
          <w:tcPr>
            <w:tcW w:w="2231" w:type="dxa"/>
            <w:vAlign w:val="center"/>
            <w:hideMark/>
          </w:tcPr>
          <w:p w:rsidR="00792DCE" w:rsidRPr="00D50CF9" w:rsidRDefault="00792DCE" w:rsidP="00FF6C9B">
            <w:pPr>
              <w:jc w:val="center"/>
              <w:rPr>
                <w:szCs w:val="24"/>
              </w:rPr>
            </w:pPr>
            <w:r w:rsidRPr="00D50CF9">
              <w:rPr>
                <w:szCs w:val="24"/>
              </w:rPr>
              <w:t>XGBoost</w:t>
            </w:r>
          </w:p>
        </w:tc>
        <w:tc>
          <w:tcPr>
            <w:tcW w:w="1558" w:type="dxa"/>
            <w:vAlign w:val="center"/>
            <w:hideMark/>
          </w:tcPr>
          <w:p w:rsidR="00792DCE" w:rsidRPr="00D50CF9" w:rsidRDefault="00792DCE" w:rsidP="00FF6C9B">
            <w:pPr>
              <w:jc w:val="right"/>
              <w:rPr>
                <w:rFonts w:eastAsia="맑은 고딕"/>
                <w:szCs w:val="24"/>
              </w:rPr>
            </w:pPr>
            <w:r w:rsidRPr="00D50CF9">
              <w:rPr>
                <w:rFonts w:eastAsia="맑은 고딕"/>
                <w:szCs w:val="24"/>
              </w:rPr>
              <w:t>0.66</w:t>
            </w:r>
          </w:p>
        </w:tc>
        <w:tc>
          <w:tcPr>
            <w:tcW w:w="1558" w:type="dxa"/>
            <w:vAlign w:val="center"/>
          </w:tcPr>
          <w:p w:rsidR="00792DCE" w:rsidRPr="00D50CF9" w:rsidRDefault="00792DCE" w:rsidP="00FF6C9B">
            <w:pPr>
              <w:jc w:val="right"/>
              <w:rPr>
                <w:rFonts w:eastAsia="맑은 고딕"/>
                <w:szCs w:val="24"/>
              </w:rPr>
            </w:pPr>
            <w:r w:rsidRPr="00D50CF9">
              <w:rPr>
                <w:rFonts w:eastAsia="맑은 고딕"/>
                <w:szCs w:val="24"/>
              </w:rPr>
              <w:t>0.51</w:t>
            </w:r>
          </w:p>
        </w:tc>
        <w:tc>
          <w:tcPr>
            <w:tcW w:w="1616" w:type="dxa"/>
            <w:vAlign w:val="center"/>
          </w:tcPr>
          <w:p w:rsidR="00792DCE" w:rsidRPr="00D50CF9" w:rsidRDefault="00792DCE" w:rsidP="00FF6C9B">
            <w:pPr>
              <w:jc w:val="right"/>
              <w:rPr>
                <w:rFonts w:eastAsia="맑은 고딕"/>
                <w:szCs w:val="24"/>
              </w:rPr>
            </w:pPr>
            <w:r w:rsidRPr="00D50CF9">
              <w:rPr>
                <w:rFonts w:eastAsia="맑은 고딕"/>
                <w:szCs w:val="24"/>
              </w:rPr>
              <w:t>14.53</w:t>
            </w:r>
          </w:p>
        </w:tc>
        <w:tc>
          <w:tcPr>
            <w:tcW w:w="1559" w:type="dxa"/>
            <w:vAlign w:val="center"/>
          </w:tcPr>
          <w:p w:rsidR="00792DCE" w:rsidRPr="00D50CF9" w:rsidRDefault="00C35A2E" w:rsidP="00FF6C9B">
            <w:pPr>
              <w:jc w:val="right"/>
              <w:rPr>
                <w:rFonts w:eastAsia="맑은 고딕"/>
                <w:szCs w:val="24"/>
              </w:rPr>
            </w:pPr>
            <w:r w:rsidRPr="00C35A2E">
              <w:rPr>
                <w:rFonts w:eastAsia="맑은 고딕"/>
                <w:szCs w:val="24"/>
              </w:rPr>
              <w:t>–</w:t>
            </w:r>
            <w:r w:rsidR="00792DCE" w:rsidRPr="00D50CF9">
              <w:rPr>
                <w:rFonts w:eastAsia="맑은 고딕"/>
                <w:szCs w:val="24"/>
              </w:rPr>
              <w:t>0.39</w:t>
            </w:r>
          </w:p>
        </w:tc>
      </w:tr>
    </w:tbl>
    <w:p w:rsidR="00792DCE" w:rsidRPr="00D50CF9" w:rsidRDefault="00792DCE" w:rsidP="00792DCE">
      <w:pPr>
        <w:rPr>
          <w:szCs w:val="24"/>
        </w:rPr>
      </w:pPr>
      <w:r w:rsidRPr="00D50CF9">
        <w:rPr>
          <w:szCs w:val="24"/>
          <w:vertAlign w:val="superscript"/>
          <w:lang w:eastAsia="ko-KR"/>
        </w:rPr>
        <w:t>*</w:t>
      </w:r>
      <w:r w:rsidRPr="00D50CF9">
        <w:rPr>
          <w:szCs w:val="24"/>
        </w:rPr>
        <w:t xml:space="preserve"> The unit is </w:t>
      </w:r>
      <w:r w:rsidRPr="00D50CF9">
        <w:rPr>
          <w:i/>
          <w:szCs w:val="24"/>
        </w:rPr>
        <w:t>μ</w:t>
      </w:r>
      <w:r w:rsidRPr="00D50CF9">
        <w:rPr>
          <w:szCs w:val="24"/>
        </w:rPr>
        <w:t>g/m</w:t>
      </w:r>
      <w:r w:rsidRPr="00D50CF9">
        <w:rPr>
          <w:szCs w:val="24"/>
          <w:vertAlign w:val="superscript"/>
        </w:rPr>
        <w:t>3</w:t>
      </w:r>
      <w:r w:rsidRPr="00D50CF9">
        <w:rPr>
          <w:szCs w:val="24"/>
        </w:rPr>
        <w:t>.</w:t>
      </w:r>
    </w:p>
    <w:p w:rsidR="00792DCE" w:rsidRPr="00D50CF9" w:rsidRDefault="00792DCE" w:rsidP="00792DCE">
      <w:pPr>
        <w:rPr>
          <w:sz w:val="20"/>
        </w:rPr>
      </w:pPr>
    </w:p>
    <w:p w:rsidR="00792DCE" w:rsidRPr="00D50CF9" w:rsidRDefault="00792DCE" w:rsidP="00792DCE">
      <w:pPr>
        <w:rPr>
          <w:sz w:val="20"/>
        </w:rPr>
      </w:pPr>
      <w:r w:rsidRPr="00D50CF9">
        <w:rPr>
          <w:sz w:val="20"/>
        </w:rPr>
        <w:br w:type="page"/>
      </w:r>
    </w:p>
    <w:p w:rsidR="00792DCE" w:rsidRPr="00D50CF9" w:rsidRDefault="001D0A5C" w:rsidP="00792DCE">
      <w:pPr>
        <w:pStyle w:val="SMHeading"/>
        <w:rPr>
          <w:b w:val="0"/>
        </w:rPr>
      </w:pPr>
      <w:r w:rsidRPr="00D50CF9">
        <w:lastRenderedPageBreak/>
        <w:t xml:space="preserve">Supplementary </w:t>
      </w:r>
      <w:r w:rsidR="00792DCE" w:rsidRPr="00D50CF9">
        <w:t xml:space="preserve">Table </w:t>
      </w:r>
      <w:r w:rsidR="00792DCE" w:rsidRPr="00D50CF9">
        <w:rPr>
          <w:lang w:eastAsia="ko-KR"/>
        </w:rPr>
        <w:t>10</w:t>
      </w:r>
      <w:r w:rsidRPr="00D50CF9">
        <w:rPr>
          <w:lang w:eastAsia="ko-KR"/>
        </w:rPr>
        <w:t xml:space="preserve"> |</w:t>
      </w:r>
      <w:r w:rsidR="00792DCE" w:rsidRPr="00D50CF9">
        <w:t xml:space="preserve"> </w:t>
      </w:r>
      <w:r w:rsidR="00792DCE" w:rsidRPr="00D50CF9">
        <w:rPr>
          <w:b w:val="0"/>
        </w:rPr>
        <w:t>Performance comparisons between data balancing algorithms.</w:t>
      </w:r>
    </w:p>
    <w:tbl>
      <w:tblPr>
        <w:tblStyle w:val="afff1"/>
        <w:tblW w:w="8534" w:type="dxa"/>
        <w:tblInd w:w="108" w:type="dxa"/>
        <w:tblLayout w:type="fixed"/>
        <w:tblLook w:val="04A0" w:firstRow="1" w:lastRow="0" w:firstColumn="1" w:lastColumn="0" w:noHBand="0" w:noVBand="1"/>
      </w:tblPr>
      <w:tblGrid>
        <w:gridCol w:w="2722"/>
        <w:gridCol w:w="1169"/>
        <w:gridCol w:w="1170"/>
        <w:gridCol w:w="1169"/>
        <w:gridCol w:w="1170"/>
        <w:gridCol w:w="1134"/>
      </w:tblGrid>
      <w:tr w:rsidR="00792DCE" w:rsidRPr="00D50CF9" w:rsidTr="00FF6C9B">
        <w:trPr>
          <w:trHeight w:val="454"/>
        </w:trPr>
        <w:tc>
          <w:tcPr>
            <w:tcW w:w="2722" w:type="dxa"/>
            <w:vMerge w:val="restart"/>
            <w:vAlign w:val="center"/>
            <w:hideMark/>
          </w:tcPr>
          <w:p w:rsidR="00792DCE" w:rsidRPr="00D50CF9" w:rsidRDefault="00792DCE" w:rsidP="00FF6C9B">
            <w:pPr>
              <w:jc w:val="center"/>
              <w:rPr>
                <w:b/>
                <w:bCs/>
                <w:szCs w:val="24"/>
              </w:rPr>
            </w:pPr>
            <w:r w:rsidRPr="00D50CF9">
              <w:rPr>
                <w:b/>
                <w:bCs/>
                <w:szCs w:val="24"/>
              </w:rPr>
              <w:t>Data balancing algorithm</w:t>
            </w:r>
          </w:p>
        </w:tc>
        <w:tc>
          <w:tcPr>
            <w:tcW w:w="4678" w:type="dxa"/>
            <w:gridSpan w:val="4"/>
            <w:vAlign w:val="center"/>
            <w:hideMark/>
          </w:tcPr>
          <w:p w:rsidR="00792DCE" w:rsidRPr="00D50CF9" w:rsidRDefault="00792DCE" w:rsidP="00FF6C9B">
            <w:pPr>
              <w:jc w:val="center"/>
              <w:rPr>
                <w:b/>
                <w:bCs/>
                <w:szCs w:val="24"/>
              </w:rPr>
            </w:pPr>
            <w:r w:rsidRPr="00D50CF9">
              <w:rPr>
                <w:b/>
                <w:bCs/>
                <w:szCs w:val="24"/>
              </w:rPr>
              <w:t>Statistical parameter</w:t>
            </w:r>
          </w:p>
        </w:tc>
        <w:tc>
          <w:tcPr>
            <w:tcW w:w="1134" w:type="dxa"/>
            <w:vMerge w:val="restart"/>
            <w:vAlign w:val="center"/>
          </w:tcPr>
          <w:p w:rsidR="00792DCE" w:rsidRPr="00D50CF9" w:rsidRDefault="00792DCE" w:rsidP="00FF6C9B">
            <w:pPr>
              <w:jc w:val="center"/>
              <w:rPr>
                <w:b/>
                <w:bCs/>
                <w:szCs w:val="24"/>
              </w:rPr>
            </w:pPr>
            <w:r w:rsidRPr="00D50CF9">
              <w:rPr>
                <w:b/>
                <w:bCs/>
                <w:szCs w:val="24"/>
              </w:rPr>
              <w:t>HR</w:t>
            </w:r>
          </w:p>
        </w:tc>
      </w:tr>
      <w:tr w:rsidR="00792DCE" w:rsidRPr="00D50CF9" w:rsidTr="00FF6C9B">
        <w:trPr>
          <w:trHeight w:val="454"/>
        </w:trPr>
        <w:tc>
          <w:tcPr>
            <w:tcW w:w="2722" w:type="dxa"/>
            <w:vMerge/>
            <w:vAlign w:val="center"/>
          </w:tcPr>
          <w:p w:rsidR="00792DCE" w:rsidRPr="00D50CF9" w:rsidRDefault="00792DCE" w:rsidP="00FF6C9B">
            <w:pPr>
              <w:jc w:val="center"/>
              <w:rPr>
                <w:szCs w:val="24"/>
              </w:rPr>
            </w:pPr>
          </w:p>
        </w:tc>
        <w:tc>
          <w:tcPr>
            <w:tcW w:w="1169" w:type="dxa"/>
            <w:vAlign w:val="center"/>
          </w:tcPr>
          <w:p w:rsidR="00792DCE" w:rsidRPr="00D50CF9" w:rsidRDefault="00792DCE" w:rsidP="00FF6C9B">
            <w:pPr>
              <w:jc w:val="center"/>
              <w:rPr>
                <w:b/>
                <w:bCs/>
                <w:szCs w:val="24"/>
              </w:rPr>
            </w:pPr>
            <w:r w:rsidRPr="00D50CF9">
              <w:rPr>
                <w:b/>
                <w:bCs/>
                <w:szCs w:val="24"/>
              </w:rPr>
              <w:t>IOA</w:t>
            </w:r>
          </w:p>
        </w:tc>
        <w:tc>
          <w:tcPr>
            <w:tcW w:w="1170" w:type="dxa"/>
            <w:vAlign w:val="center"/>
          </w:tcPr>
          <w:p w:rsidR="00792DCE" w:rsidRPr="00D50CF9" w:rsidRDefault="00792DCE" w:rsidP="00FF6C9B">
            <w:pPr>
              <w:jc w:val="center"/>
              <w:rPr>
                <w:b/>
                <w:bCs/>
                <w:szCs w:val="24"/>
              </w:rPr>
            </w:pPr>
            <w:r w:rsidRPr="00D50CF9">
              <w:rPr>
                <w:b/>
                <w:bCs/>
                <w:szCs w:val="24"/>
              </w:rPr>
              <w:t>R</w:t>
            </w:r>
          </w:p>
        </w:tc>
        <w:tc>
          <w:tcPr>
            <w:tcW w:w="1169" w:type="dxa"/>
            <w:vAlign w:val="center"/>
          </w:tcPr>
          <w:p w:rsidR="00792DCE" w:rsidRPr="00D50CF9" w:rsidRDefault="00792DCE" w:rsidP="00FF6C9B">
            <w:pPr>
              <w:jc w:val="center"/>
              <w:rPr>
                <w:b/>
                <w:bCs/>
                <w:szCs w:val="24"/>
              </w:rPr>
            </w:pPr>
            <w:r w:rsidRPr="00D50CF9">
              <w:rPr>
                <w:b/>
                <w:bCs/>
                <w:szCs w:val="24"/>
              </w:rPr>
              <w:t>RMSE</w:t>
            </w:r>
            <w:r w:rsidRPr="00D50CF9">
              <w:rPr>
                <w:bCs/>
                <w:szCs w:val="24"/>
                <w:vertAlign w:val="superscript"/>
              </w:rPr>
              <w:t>*</w:t>
            </w:r>
          </w:p>
        </w:tc>
        <w:tc>
          <w:tcPr>
            <w:tcW w:w="1170" w:type="dxa"/>
            <w:vAlign w:val="center"/>
          </w:tcPr>
          <w:p w:rsidR="00792DCE" w:rsidRPr="00D50CF9" w:rsidRDefault="00792DCE" w:rsidP="00FF6C9B">
            <w:pPr>
              <w:jc w:val="center"/>
              <w:rPr>
                <w:b/>
                <w:bCs/>
                <w:szCs w:val="24"/>
              </w:rPr>
            </w:pPr>
            <w:r w:rsidRPr="00D50CF9">
              <w:rPr>
                <w:b/>
                <w:bCs/>
                <w:szCs w:val="24"/>
              </w:rPr>
              <w:t>MB</w:t>
            </w:r>
            <w:r w:rsidRPr="00D50CF9">
              <w:rPr>
                <w:bCs/>
                <w:szCs w:val="24"/>
                <w:vertAlign w:val="superscript"/>
              </w:rPr>
              <w:t>*</w:t>
            </w:r>
          </w:p>
        </w:tc>
        <w:tc>
          <w:tcPr>
            <w:tcW w:w="1134" w:type="dxa"/>
            <w:vMerge/>
            <w:vAlign w:val="center"/>
          </w:tcPr>
          <w:p w:rsidR="00792DCE" w:rsidRPr="00D50CF9" w:rsidRDefault="00792DCE" w:rsidP="00FF6C9B">
            <w:pPr>
              <w:jc w:val="center"/>
              <w:rPr>
                <w:b/>
                <w:bCs/>
                <w:szCs w:val="24"/>
              </w:rPr>
            </w:pPr>
          </w:p>
        </w:tc>
      </w:tr>
      <w:tr w:rsidR="00792DCE" w:rsidRPr="00D50CF9" w:rsidTr="00FF6C9B">
        <w:trPr>
          <w:trHeight w:val="454"/>
        </w:trPr>
        <w:tc>
          <w:tcPr>
            <w:tcW w:w="2722" w:type="dxa"/>
            <w:vAlign w:val="center"/>
            <w:hideMark/>
          </w:tcPr>
          <w:p w:rsidR="00792DCE" w:rsidRPr="00D50CF9" w:rsidRDefault="00792DCE" w:rsidP="00FF6C9B">
            <w:pPr>
              <w:jc w:val="center"/>
              <w:rPr>
                <w:szCs w:val="24"/>
              </w:rPr>
            </w:pPr>
            <w:r w:rsidRPr="00D50CF9">
              <w:rPr>
                <w:szCs w:val="24"/>
              </w:rPr>
              <w:t>w/o data balancing</w:t>
            </w:r>
          </w:p>
        </w:tc>
        <w:tc>
          <w:tcPr>
            <w:tcW w:w="1169" w:type="dxa"/>
            <w:vAlign w:val="center"/>
            <w:hideMark/>
          </w:tcPr>
          <w:p w:rsidR="00792DCE" w:rsidRPr="00D50CF9" w:rsidRDefault="00792DCE" w:rsidP="00FF6C9B">
            <w:pPr>
              <w:jc w:val="right"/>
              <w:rPr>
                <w:rFonts w:eastAsia="맑은 고딕"/>
                <w:szCs w:val="24"/>
              </w:rPr>
            </w:pPr>
            <w:r w:rsidRPr="00D50CF9">
              <w:rPr>
                <w:rFonts w:eastAsia="맑은 고딕"/>
                <w:szCs w:val="24"/>
              </w:rPr>
              <w:t>0.66</w:t>
            </w:r>
          </w:p>
        </w:tc>
        <w:tc>
          <w:tcPr>
            <w:tcW w:w="1170" w:type="dxa"/>
            <w:vAlign w:val="center"/>
          </w:tcPr>
          <w:p w:rsidR="00792DCE" w:rsidRPr="00D50CF9" w:rsidRDefault="00792DCE" w:rsidP="00FF6C9B">
            <w:pPr>
              <w:jc w:val="right"/>
              <w:rPr>
                <w:rFonts w:eastAsia="맑은 고딕"/>
                <w:szCs w:val="24"/>
              </w:rPr>
            </w:pPr>
            <w:r w:rsidRPr="00D50CF9">
              <w:rPr>
                <w:rFonts w:eastAsia="맑은 고딕"/>
                <w:szCs w:val="24"/>
              </w:rPr>
              <w:t>0.51</w:t>
            </w:r>
          </w:p>
        </w:tc>
        <w:tc>
          <w:tcPr>
            <w:tcW w:w="1169" w:type="dxa"/>
            <w:vAlign w:val="center"/>
          </w:tcPr>
          <w:p w:rsidR="00792DCE" w:rsidRPr="00D50CF9" w:rsidRDefault="00792DCE" w:rsidP="00FF6C9B">
            <w:pPr>
              <w:jc w:val="right"/>
              <w:rPr>
                <w:rFonts w:eastAsia="맑은 고딕"/>
                <w:szCs w:val="24"/>
              </w:rPr>
            </w:pPr>
            <w:r w:rsidRPr="00D50CF9">
              <w:rPr>
                <w:rFonts w:eastAsia="맑은 고딕"/>
                <w:szCs w:val="24"/>
              </w:rPr>
              <w:t>14.53</w:t>
            </w:r>
          </w:p>
        </w:tc>
        <w:tc>
          <w:tcPr>
            <w:tcW w:w="1170" w:type="dxa"/>
            <w:vAlign w:val="center"/>
          </w:tcPr>
          <w:p w:rsidR="00792DCE" w:rsidRPr="00D50CF9" w:rsidRDefault="00C35A2E" w:rsidP="00FF6C9B">
            <w:pPr>
              <w:jc w:val="right"/>
              <w:rPr>
                <w:rFonts w:eastAsia="맑은 고딕"/>
                <w:szCs w:val="24"/>
              </w:rPr>
            </w:pPr>
            <w:r w:rsidRPr="00C35A2E">
              <w:rPr>
                <w:rFonts w:eastAsia="맑은 고딕"/>
                <w:szCs w:val="24"/>
              </w:rPr>
              <w:t>–</w:t>
            </w:r>
            <w:r w:rsidR="00792DCE" w:rsidRPr="00D50CF9">
              <w:rPr>
                <w:rFonts w:eastAsia="맑은 고딕"/>
                <w:szCs w:val="24"/>
              </w:rPr>
              <w:t>0.39</w:t>
            </w:r>
          </w:p>
        </w:tc>
        <w:tc>
          <w:tcPr>
            <w:tcW w:w="1134" w:type="dxa"/>
            <w:vAlign w:val="center"/>
          </w:tcPr>
          <w:p w:rsidR="00792DCE" w:rsidRPr="00D50CF9" w:rsidRDefault="00792DCE" w:rsidP="00FF6C9B">
            <w:pPr>
              <w:jc w:val="right"/>
              <w:rPr>
                <w:szCs w:val="24"/>
              </w:rPr>
            </w:pPr>
            <w:r w:rsidRPr="00D50CF9">
              <w:rPr>
                <w:szCs w:val="24"/>
              </w:rPr>
              <w:t>47.88</w:t>
            </w:r>
          </w:p>
        </w:tc>
      </w:tr>
      <w:tr w:rsidR="00792DCE" w:rsidRPr="00D50CF9" w:rsidTr="00FF6C9B">
        <w:trPr>
          <w:trHeight w:val="454"/>
        </w:trPr>
        <w:tc>
          <w:tcPr>
            <w:tcW w:w="2722" w:type="dxa"/>
            <w:vAlign w:val="center"/>
            <w:hideMark/>
          </w:tcPr>
          <w:p w:rsidR="00792DCE" w:rsidRPr="00D50CF9" w:rsidRDefault="00792DCE" w:rsidP="00FF6C9B">
            <w:pPr>
              <w:jc w:val="center"/>
              <w:rPr>
                <w:szCs w:val="24"/>
              </w:rPr>
            </w:pPr>
            <w:r w:rsidRPr="00D50CF9">
              <w:rPr>
                <w:szCs w:val="24"/>
              </w:rPr>
              <w:t>Oversampling</w:t>
            </w:r>
          </w:p>
        </w:tc>
        <w:tc>
          <w:tcPr>
            <w:tcW w:w="1169" w:type="dxa"/>
            <w:vAlign w:val="center"/>
          </w:tcPr>
          <w:p w:rsidR="00792DCE" w:rsidRPr="00D50CF9" w:rsidRDefault="00792DCE" w:rsidP="00FF6C9B">
            <w:pPr>
              <w:jc w:val="right"/>
              <w:rPr>
                <w:szCs w:val="24"/>
              </w:rPr>
            </w:pPr>
            <w:r w:rsidRPr="00D50CF9">
              <w:rPr>
                <w:szCs w:val="24"/>
              </w:rPr>
              <w:t>0.66</w:t>
            </w:r>
          </w:p>
        </w:tc>
        <w:tc>
          <w:tcPr>
            <w:tcW w:w="1170" w:type="dxa"/>
            <w:vAlign w:val="center"/>
          </w:tcPr>
          <w:p w:rsidR="00792DCE" w:rsidRPr="00D50CF9" w:rsidRDefault="00792DCE" w:rsidP="00FF6C9B">
            <w:pPr>
              <w:jc w:val="right"/>
              <w:rPr>
                <w:szCs w:val="24"/>
              </w:rPr>
            </w:pPr>
            <w:r w:rsidRPr="00D50CF9">
              <w:rPr>
                <w:szCs w:val="24"/>
              </w:rPr>
              <w:t>0.52</w:t>
            </w:r>
          </w:p>
        </w:tc>
        <w:tc>
          <w:tcPr>
            <w:tcW w:w="1169" w:type="dxa"/>
            <w:vAlign w:val="center"/>
          </w:tcPr>
          <w:p w:rsidR="00792DCE" w:rsidRPr="00D50CF9" w:rsidRDefault="00792DCE" w:rsidP="00FF6C9B">
            <w:pPr>
              <w:jc w:val="right"/>
              <w:rPr>
                <w:szCs w:val="24"/>
              </w:rPr>
            </w:pPr>
            <w:r w:rsidRPr="00D50CF9">
              <w:rPr>
                <w:szCs w:val="24"/>
              </w:rPr>
              <w:t>14.40</w:t>
            </w:r>
          </w:p>
        </w:tc>
        <w:tc>
          <w:tcPr>
            <w:tcW w:w="1170" w:type="dxa"/>
            <w:vAlign w:val="center"/>
          </w:tcPr>
          <w:p w:rsidR="00792DCE" w:rsidRPr="00D50CF9" w:rsidRDefault="00792DCE" w:rsidP="00FF6C9B">
            <w:pPr>
              <w:jc w:val="right"/>
              <w:rPr>
                <w:szCs w:val="24"/>
              </w:rPr>
            </w:pPr>
            <w:r w:rsidRPr="00D50CF9">
              <w:rPr>
                <w:szCs w:val="24"/>
              </w:rPr>
              <w:t>1.03</w:t>
            </w:r>
          </w:p>
        </w:tc>
        <w:tc>
          <w:tcPr>
            <w:tcW w:w="1134" w:type="dxa"/>
            <w:vAlign w:val="center"/>
          </w:tcPr>
          <w:p w:rsidR="00792DCE" w:rsidRPr="00D50CF9" w:rsidRDefault="00792DCE" w:rsidP="00FF6C9B">
            <w:pPr>
              <w:jc w:val="right"/>
              <w:rPr>
                <w:szCs w:val="24"/>
              </w:rPr>
            </w:pPr>
            <w:r w:rsidRPr="00D50CF9">
              <w:rPr>
                <w:szCs w:val="24"/>
              </w:rPr>
              <w:t>56.40</w:t>
            </w:r>
          </w:p>
        </w:tc>
      </w:tr>
      <w:tr w:rsidR="00792DCE" w:rsidRPr="00D50CF9" w:rsidTr="00FF6C9B">
        <w:trPr>
          <w:trHeight w:val="454"/>
        </w:trPr>
        <w:tc>
          <w:tcPr>
            <w:tcW w:w="2722" w:type="dxa"/>
            <w:vAlign w:val="center"/>
            <w:hideMark/>
          </w:tcPr>
          <w:p w:rsidR="00792DCE" w:rsidRPr="00D50CF9" w:rsidRDefault="00792DCE" w:rsidP="00FF6C9B">
            <w:pPr>
              <w:jc w:val="center"/>
              <w:rPr>
                <w:szCs w:val="24"/>
              </w:rPr>
            </w:pPr>
            <w:r w:rsidRPr="00D50CF9">
              <w:rPr>
                <w:szCs w:val="24"/>
              </w:rPr>
              <w:t>Gaussian noise</w:t>
            </w:r>
          </w:p>
        </w:tc>
        <w:tc>
          <w:tcPr>
            <w:tcW w:w="1169" w:type="dxa"/>
            <w:vAlign w:val="center"/>
          </w:tcPr>
          <w:p w:rsidR="00792DCE" w:rsidRPr="00D50CF9" w:rsidRDefault="00792DCE" w:rsidP="00FF6C9B">
            <w:pPr>
              <w:jc w:val="right"/>
              <w:rPr>
                <w:szCs w:val="24"/>
              </w:rPr>
            </w:pPr>
            <w:r w:rsidRPr="00D50CF9">
              <w:rPr>
                <w:szCs w:val="24"/>
              </w:rPr>
              <w:t>0.67</w:t>
            </w:r>
          </w:p>
        </w:tc>
        <w:tc>
          <w:tcPr>
            <w:tcW w:w="1170" w:type="dxa"/>
            <w:vAlign w:val="center"/>
          </w:tcPr>
          <w:p w:rsidR="00792DCE" w:rsidRPr="00D50CF9" w:rsidRDefault="00792DCE" w:rsidP="00FF6C9B">
            <w:pPr>
              <w:jc w:val="right"/>
              <w:rPr>
                <w:szCs w:val="24"/>
              </w:rPr>
            </w:pPr>
            <w:r w:rsidRPr="00D50CF9">
              <w:rPr>
                <w:szCs w:val="24"/>
              </w:rPr>
              <w:t>0.52</w:t>
            </w:r>
          </w:p>
        </w:tc>
        <w:tc>
          <w:tcPr>
            <w:tcW w:w="1169" w:type="dxa"/>
            <w:vAlign w:val="center"/>
          </w:tcPr>
          <w:p w:rsidR="00792DCE" w:rsidRPr="00D50CF9" w:rsidRDefault="00792DCE" w:rsidP="00FF6C9B">
            <w:pPr>
              <w:jc w:val="right"/>
              <w:rPr>
                <w:szCs w:val="24"/>
              </w:rPr>
            </w:pPr>
            <w:r w:rsidRPr="00D50CF9">
              <w:rPr>
                <w:szCs w:val="24"/>
              </w:rPr>
              <w:t>14.05</w:t>
            </w:r>
          </w:p>
        </w:tc>
        <w:tc>
          <w:tcPr>
            <w:tcW w:w="1170" w:type="dxa"/>
            <w:vAlign w:val="center"/>
          </w:tcPr>
          <w:p w:rsidR="00792DCE" w:rsidRPr="00D50CF9" w:rsidRDefault="00792DCE" w:rsidP="00FF6C9B">
            <w:pPr>
              <w:jc w:val="right"/>
              <w:rPr>
                <w:szCs w:val="24"/>
              </w:rPr>
            </w:pPr>
            <w:r w:rsidRPr="00D50CF9">
              <w:rPr>
                <w:szCs w:val="24"/>
              </w:rPr>
              <w:t>0.07</w:t>
            </w:r>
          </w:p>
        </w:tc>
        <w:tc>
          <w:tcPr>
            <w:tcW w:w="1134" w:type="dxa"/>
            <w:vAlign w:val="center"/>
          </w:tcPr>
          <w:p w:rsidR="00792DCE" w:rsidRPr="00D50CF9" w:rsidRDefault="00792DCE" w:rsidP="00FF6C9B">
            <w:pPr>
              <w:jc w:val="right"/>
              <w:rPr>
                <w:szCs w:val="24"/>
              </w:rPr>
            </w:pPr>
            <w:r w:rsidRPr="00D50CF9">
              <w:rPr>
                <w:szCs w:val="24"/>
              </w:rPr>
              <w:t>55.76</w:t>
            </w:r>
          </w:p>
        </w:tc>
      </w:tr>
      <w:tr w:rsidR="00792DCE" w:rsidRPr="00D50CF9" w:rsidTr="00FF6C9B">
        <w:trPr>
          <w:trHeight w:val="454"/>
        </w:trPr>
        <w:tc>
          <w:tcPr>
            <w:tcW w:w="2722" w:type="dxa"/>
            <w:vAlign w:val="center"/>
            <w:hideMark/>
          </w:tcPr>
          <w:p w:rsidR="00792DCE" w:rsidRPr="00D50CF9" w:rsidRDefault="00792DCE" w:rsidP="00FF6C9B">
            <w:pPr>
              <w:jc w:val="center"/>
              <w:rPr>
                <w:szCs w:val="24"/>
              </w:rPr>
            </w:pPr>
            <w:r w:rsidRPr="00D50CF9">
              <w:rPr>
                <w:szCs w:val="24"/>
              </w:rPr>
              <w:t>SMOTEENN</w:t>
            </w:r>
          </w:p>
        </w:tc>
        <w:tc>
          <w:tcPr>
            <w:tcW w:w="1169" w:type="dxa"/>
            <w:vAlign w:val="center"/>
          </w:tcPr>
          <w:p w:rsidR="00792DCE" w:rsidRPr="00D50CF9" w:rsidRDefault="00792DCE" w:rsidP="00FF6C9B">
            <w:pPr>
              <w:jc w:val="right"/>
              <w:rPr>
                <w:szCs w:val="24"/>
              </w:rPr>
            </w:pPr>
            <w:r w:rsidRPr="00D50CF9">
              <w:rPr>
                <w:szCs w:val="24"/>
              </w:rPr>
              <w:t>0.71</w:t>
            </w:r>
          </w:p>
        </w:tc>
        <w:tc>
          <w:tcPr>
            <w:tcW w:w="1170" w:type="dxa"/>
            <w:vAlign w:val="center"/>
          </w:tcPr>
          <w:p w:rsidR="00792DCE" w:rsidRPr="00D50CF9" w:rsidRDefault="00792DCE" w:rsidP="00FF6C9B">
            <w:pPr>
              <w:jc w:val="right"/>
              <w:rPr>
                <w:szCs w:val="24"/>
              </w:rPr>
            </w:pPr>
            <w:r w:rsidRPr="00D50CF9">
              <w:rPr>
                <w:szCs w:val="24"/>
              </w:rPr>
              <w:t>0.53</w:t>
            </w:r>
          </w:p>
        </w:tc>
        <w:tc>
          <w:tcPr>
            <w:tcW w:w="1169" w:type="dxa"/>
            <w:vAlign w:val="center"/>
          </w:tcPr>
          <w:p w:rsidR="00792DCE" w:rsidRPr="00D50CF9" w:rsidRDefault="00792DCE" w:rsidP="00FF6C9B">
            <w:pPr>
              <w:jc w:val="right"/>
              <w:rPr>
                <w:szCs w:val="24"/>
              </w:rPr>
            </w:pPr>
            <w:r w:rsidRPr="00D50CF9">
              <w:rPr>
                <w:szCs w:val="24"/>
              </w:rPr>
              <w:t>14.83</w:t>
            </w:r>
          </w:p>
        </w:tc>
        <w:tc>
          <w:tcPr>
            <w:tcW w:w="1170" w:type="dxa"/>
            <w:vAlign w:val="center"/>
          </w:tcPr>
          <w:p w:rsidR="00792DCE" w:rsidRPr="00D50CF9" w:rsidRDefault="00792DCE" w:rsidP="00FF6C9B">
            <w:pPr>
              <w:jc w:val="right"/>
              <w:rPr>
                <w:szCs w:val="24"/>
              </w:rPr>
            </w:pPr>
            <w:r w:rsidRPr="00D50CF9">
              <w:rPr>
                <w:szCs w:val="24"/>
              </w:rPr>
              <w:t>2.25</w:t>
            </w:r>
          </w:p>
        </w:tc>
        <w:tc>
          <w:tcPr>
            <w:tcW w:w="1134" w:type="dxa"/>
            <w:vAlign w:val="center"/>
          </w:tcPr>
          <w:p w:rsidR="00792DCE" w:rsidRPr="00D50CF9" w:rsidRDefault="00792DCE" w:rsidP="00FF6C9B">
            <w:pPr>
              <w:jc w:val="right"/>
              <w:rPr>
                <w:szCs w:val="24"/>
              </w:rPr>
            </w:pPr>
            <w:r w:rsidRPr="00D50CF9">
              <w:rPr>
                <w:szCs w:val="24"/>
              </w:rPr>
              <w:t>75.15</w:t>
            </w:r>
          </w:p>
        </w:tc>
      </w:tr>
    </w:tbl>
    <w:p w:rsidR="00792DCE" w:rsidRPr="00D50CF9" w:rsidRDefault="00792DCE" w:rsidP="00792DCE">
      <w:pPr>
        <w:rPr>
          <w:szCs w:val="24"/>
        </w:rPr>
      </w:pPr>
      <w:r w:rsidRPr="00D50CF9">
        <w:rPr>
          <w:szCs w:val="24"/>
          <w:vertAlign w:val="superscript"/>
          <w:lang w:eastAsia="ko-KR"/>
        </w:rPr>
        <w:t>*</w:t>
      </w:r>
      <w:r w:rsidRPr="00D50CF9">
        <w:rPr>
          <w:szCs w:val="24"/>
        </w:rPr>
        <w:t xml:space="preserve"> The unit is </w:t>
      </w:r>
      <w:r w:rsidRPr="00D50CF9">
        <w:rPr>
          <w:i/>
          <w:szCs w:val="24"/>
        </w:rPr>
        <w:t>μ</w:t>
      </w:r>
      <w:r w:rsidRPr="00D50CF9">
        <w:rPr>
          <w:szCs w:val="24"/>
        </w:rPr>
        <w:t>g/m</w:t>
      </w:r>
      <w:r w:rsidRPr="00D50CF9">
        <w:rPr>
          <w:szCs w:val="24"/>
          <w:vertAlign w:val="superscript"/>
        </w:rPr>
        <w:t>3</w:t>
      </w:r>
      <w:r w:rsidRPr="00D50CF9">
        <w:rPr>
          <w:szCs w:val="24"/>
        </w:rPr>
        <w:t>.</w:t>
      </w:r>
    </w:p>
    <w:p w:rsidR="00792DCE" w:rsidRPr="00D50CF9" w:rsidRDefault="00792DCE" w:rsidP="00792DCE">
      <w:pPr>
        <w:rPr>
          <w:sz w:val="20"/>
        </w:rPr>
      </w:pPr>
    </w:p>
    <w:p w:rsidR="00C27040" w:rsidRPr="00D50CF9" w:rsidRDefault="00C27040"/>
    <w:sectPr w:rsidR="00C27040" w:rsidRPr="00D50CF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2EF8" w:rsidRDefault="00B32EF8" w:rsidP="00792DCE">
      <w:r>
        <w:separator/>
      </w:r>
    </w:p>
  </w:endnote>
  <w:endnote w:type="continuationSeparator" w:id="0">
    <w:p w:rsidR="00B32EF8" w:rsidRDefault="00B32EF8" w:rsidP="00792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바탕">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4371731"/>
      <w:docPartObj>
        <w:docPartGallery w:val="Page Numbers (Bottom of Page)"/>
        <w:docPartUnique/>
      </w:docPartObj>
    </w:sdtPr>
    <w:sdtEndPr/>
    <w:sdtContent>
      <w:p w:rsidR="00A91768" w:rsidRDefault="00A91768">
        <w:pPr>
          <w:pStyle w:val="a6"/>
          <w:jc w:val="center"/>
        </w:pPr>
        <w:r>
          <w:fldChar w:fldCharType="begin"/>
        </w:r>
        <w:r>
          <w:instrText>PAGE   \* MERGEFORMAT</w:instrText>
        </w:r>
        <w:r>
          <w:fldChar w:fldCharType="separate"/>
        </w:r>
        <w:r w:rsidR="00860280" w:rsidRPr="00860280">
          <w:rPr>
            <w:noProof/>
            <w:lang w:val="ko-KR" w:eastAsia="ko-KR"/>
          </w:rPr>
          <w:t>35</w:t>
        </w:r>
        <w:r>
          <w:fldChar w:fldCharType="end"/>
        </w:r>
      </w:p>
    </w:sdtContent>
  </w:sdt>
  <w:p w:rsidR="00B55BA9" w:rsidRDefault="00B55BA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2EF8" w:rsidRDefault="00B32EF8" w:rsidP="00792DCE">
      <w:r>
        <w:separator/>
      </w:r>
    </w:p>
  </w:footnote>
  <w:footnote w:type="continuationSeparator" w:id="0">
    <w:p w:rsidR="00B32EF8" w:rsidRDefault="00B32EF8" w:rsidP="00792DC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2DCE" w:rsidRPr="005001AC" w:rsidRDefault="00792DCE" w:rsidP="005001AC">
    <w:pPr>
      <w:jc w:val="right"/>
      <w:rPr>
        <w:sz w:val="20"/>
      </w:rPr>
    </w:pPr>
  </w:p>
  <w:p w:rsidR="00792DCE" w:rsidRDefault="00792DCE"/>
  <w:p w:rsidR="00B55BA9" w:rsidRDefault="00B55BA9"/>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5F6"/>
    <w:rsid w:val="00015C1A"/>
    <w:rsid w:val="000304DD"/>
    <w:rsid w:val="00033ABD"/>
    <w:rsid w:val="00063FF2"/>
    <w:rsid w:val="0006413F"/>
    <w:rsid w:val="00070219"/>
    <w:rsid w:val="00073F52"/>
    <w:rsid w:val="00095F25"/>
    <w:rsid w:val="000A32FE"/>
    <w:rsid w:val="000A55D5"/>
    <w:rsid w:val="000B04AB"/>
    <w:rsid w:val="000F24D8"/>
    <w:rsid w:val="00113546"/>
    <w:rsid w:val="00124062"/>
    <w:rsid w:val="00134A66"/>
    <w:rsid w:val="00150809"/>
    <w:rsid w:val="0015289E"/>
    <w:rsid w:val="001531D6"/>
    <w:rsid w:val="00170F01"/>
    <w:rsid w:val="00177258"/>
    <w:rsid w:val="00182A65"/>
    <w:rsid w:val="00193ED7"/>
    <w:rsid w:val="001B0173"/>
    <w:rsid w:val="001D0A5C"/>
    <w:rsid w:val="001F113D"/>
    <w:rsid w:val="0020459E"/>
    <w:rsid w:val="00217FC9"/>
    <w:rsid w:val="002318FE"/>
    <w:rsid w:val="0023463B"/>
    <w:rsid w:val="0025384B"/>
    <w:rsid w:val="002952BA"/>
    <w:rsid w:val="00295F68"/>
    <w:rsid w:val="002C1A90"/>
    <w:rsid w:val="002D1A31"/>
    <w:rsid w:val="0030096C"/>
    <w:rsid w:val="0030141A"/>
    <w:rsid w:val="00317852"/>
    <w:rsid w:val="003232C6"/>
    <w:rsid w:val="0033139D"/>
    <w:rsid w:val="00343DFF"/>
    <w:rsid w:val="00350D74"/>
    <w:rsid w:val="00351470"/>
    <w:rsid w:val="003519BE"/>
    <w:rsid w:val="00395F89"/>
    <w:rsid w:val="003A2804"/>
    <w:rsid w:val="003E0EDE"/>
    <w:rsid w:val="003E4DA6"/>
    <w:rsid w:val="003E5685"/>
    <w:rsid w:val="003F65F6"/>
    <w:rsid w:val="00414445"/>
    <w:rsid w:val="004146DA"/>
    <w:rsid w:val="0041722A"/>
    <w:rsid w:val="0041774A"/>
    <w:rsid w:val="00427216"/>
    <w:rsid w:val="00442189"/>
    <w:rsid w:val="004A504E"/>
    <w:rsid w:val="004B487C"/>
    <w:rsid w:val="004C6F56"/>
    <w:rsid w:val="004D7A26"/>
    <w:rsid w:val="00500466"/>
    <w:rsid w:val="00500FCD"/>
    <w:rsid w:val="00513066"/>
    <w:rsid w:val="00596C05"/>
    <w:rsid w:val="00597DCC"/>
    <w:rsid w:val="005A11EA"/>
    <w:rsid w:val="005C0F6C"/>
    <w:rsid w:val="005C212D"/>
    <w:rsid w:val="005D60AA"/>
    <w:rsid w:val="005F0269"/>
    <w:rsid w:val="005F6C94"/>
    <w:rsid w:val="00603580"/>
    <w:rsid w:val="00614735"/>
    <w:rsid w:val="00615E9B"/>
    <w:rsid w:val="00624DD9"/>
    <w:rsid w:val="006463D8"/>
    <w:rsid w:val="00665E62"/>
    <w:rsid w:val="00666B2D"/>
    <w:rsid w:val="006974D3"/>
    <w:rsid w:val="00697DE6"/>
    <w:rsid w:val="006A3DF6"/>
    <w:rsid w:val="006B0694"/>
    <w:rsid w:val="007014A1"/>
    <w:rsid w:val="007036B9"/>
    <w:rsid w:val="007063BA"/>
    <w:rsid w:val="00720387"/>
    <w:rsid w:val="00725658"/>
    <w:rsid w:val="00725B9F"/>
    <w:rsid w:val="0072622A"/>
    <w:rsid w:val="00735B8F"/>
    <w:rsid w:val="00746764"/>
    <w:rsid w:val="00763D2C"/>
    <w:rsid w:val="00767598"/>
    <w:rsid w:val="00792DCE"/>
    <w:rsid w:val="007A1A15"/>
    <w:rsid w:val="007A6314"/>
    <w:rsid w:val="007D7E7F"/>
    <w:rsid w:val="007F4B9E"/>
    <w:rsid w:val="00824AEB"/>
    <w:rsid w:val="00847315"/>
    <w:rsid w:val="00856318"/>
    <w:rsid w:val="00860280"/>
    <w:rsid w:val="0086416A"/>
    <w:rsid w:val="008803CA"/>
    <w:rsid w:val="00893095"/>
    <w:rsid w:val="008A150F"/>
    <w:rsid w:val="008B2907"/>
    <w:rsid w:val="008B50C5"/>
    <w:rsid w:val="008C3673"/>
    <w:rsid w:val="008D7D0A"/>
    <w:rsid w:val="00900645"/>
    <w:rsid w:val="009369EE"/>
    <w:rsid w:val="00936CAF"/>
    <w:rsid w:val="0094629B"/>
    <w:rsid w:val="0098019B"/>
    <w:rsid w:val="00985366"/>
    <w:rsid w:val="009919CC"/>
    <w:rsid w:val="00994DFC"/>
    <w:rsid w:val="009B6631"/>
    <w:rsid w:val="009B746A"/>
    <w:rsid w:val="009C3B69"/>
    <w:rsid w:val="009D341A"/>
    <w:rsid w:val="009E1277"/>
    <w:rsid w:val="00A2641A"/>
    <w:rsid w:val="00A271BE"/>
    <w:rsid w:val="00A43512"/>
    <w:rsid w:val="00A62579"/>
    <w:rsid w:val="00A66074"/>
    <w:rsid w:val="00A8592C"/>
    <w:rsid w:val="00A91768"/>
    <w:rsid w:val="00AB08FB"/>
    <w:rsid w:val="00AC0DCF"/>
    <w:rsid w:val="00AC32C7"/>
    <w:rsid w:val="00AE18EF"/>
    <w:rsid w:val="00AF33D3"/>
    <w:rsid w:val="00AF5901"/>
    <w:rsid w:val="00AF78ED"/>
    <w:rsid w:val="00B077CF"/>
    <w:rsid w:val="00B22C06"/>
    <w:rsid w:val="00B32EF8"/>
    <w:rsid w:val="00B42624"/>
    <w:rsid w:val="00B42C4F"/>
    <w:rsid w:val="00B478E5"/>
    <w:rsid w:val="00B51DF4"/>
    <w:rsid w:val="00B546F9"/>
    <w:rsid w:val="00B55BA9"/>
    <w:rsid w:val="00B55C34"/>
    <w:rsid w:val="00B62CA2"/>
    <w:rsid w:val="00B754A5"/>
    <w:rsid w:val="00B774E5"/>
    <w:rsid w:val="00B81134"/>
    <w:rsid w:val="00B8757F"/>
    <w:rsid w:val="00B9303D"/>
    <w:rsid w:val="00BB25F5"/>
    <w:rsid w:val="00BB3934"/>
    <w:rsid w:val="00BC75B4"/>
    <w:rsid w:val="00BD153F"/>
    <w:rsid w:val="00BF7917"/>
    <w:rsid w:val="00C27040"/>
    <w:rsid w:val="00C276AC"/>
    <w:rsid w:val="00C27EC5"/>
    <w:rsid w:val="00C35A2E"/>
    <w:rsid w:val="00C360CF"/>
    <w:rsid w:val="00C516B1"/>
    <w:rsid w:val="00C85943"/>
    <w:rsid w:val="00CA0C92"/>
    <w:rsid w:val="00CD3BDB"/>
    <w:rsid w:val="00D00F32"/>
    <w:rsid w:val="00D246F3"/>
    <w:rsid w:val="00D27271"/>
    <w:rsid w:val="00D3583C"/>
    <w:rsid w:val="00D37978"/>
    <w:rsid w:val="00D50CF9"/>
    <w:rsid w:val="00D70CCD"/>
    <w:rsid w:val="00D76DBF"/>
    <w:rsid w:val="00DA76CF"/>
    <w:rsid w:val="00DC65FA"/>
    <w:rsid w:val="00DD1997"/>
    <w:rsid w:val="00DE3E3B"/>
    <w:rsid w:val="00E01052"/>
    <w:rsid w:val="00E039E8"/>
    <w:rsid w:val="00E17F67"/>
    <w:rsid w:val="00E2241C"/>
    <w:rsid w:val="00E44D59"/>
    <w:rsid w:val="00E462F1"/>
    <w:rsid w:val="00E46BDE"/>
    <w:rsid w:val="00E54E0B"/>
    <w:rsid w:val="00E86F67"/>
    <w:rsid w:val="00EA4778"/>
    <w:rsid w:val="00EA7D3F"/>
    <w:rsid w:val="00EB6AF6"/>
    <w:rsid w:val="00EC7545"/>
    <w:rsid w:val="00EE5FEC"/>
    <w:rsid w:val="00F035D5"/>
    <w:rsid w:val="00F06611"/>
    <w:rsid w:val="00F21800"/>
    <w:rsid w:val="00F357F6"/>
    <w:rsid w:val="00F44E3C"/>
    <w:rsid w:val="00F469DB"/>
    <w:rsid w:val="00F51C8D"/>
    <w:rsid w:val="00F575BF"/>
    <w:rsid w:val="00F5779E"/>
    <w:rsid w:val="00F655B1"/>
    <w:rsid w:val="00F74629"/>
    <w:rsid w:val="00FA3D0D"/>
    <w:rsid w:val="00FB3BD7"/>
    <w:rsid w:val="00FC0147"/>
    <w:rsid w:val="00FD0FDB"/>
    <w:rsid w:val="00FD5412"/>
    <w:rsid w:val="00FF6C9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0A250"/>
  <w15:chartTrackingRefBased/>
  <w15:docId w15:val="{111A1B63-9664-4341-88C9-9EDE47F44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792DCE"/>
    <w:pPr>
      <w:spacing w:after="0" w:line="240" w:lineRule="auto"/>
      <w:jc w:val="left"/>
    </w:pPr>
    <w:rPr>
      <w:rFonts w:ascii="Times New Roman" w:hAnsi="Times New Roman" w:cs="Times New Roman"/>
      <w:kern w:val="0"/>
      <w:sz w:val="24"/>
      <w:szCs w:val="20"/>
      <w:lang w:eastAsia="en-US"/>
    </w:rPr>
  </w:style>
  <w:style w:type="paragraph" w:styleId="1">
    <w:name w:val="heading 1"/>
    <w:basedOn w:val="a1"/>
    <w:next w:val="a1"/>
    <w:link w:val="1Char"/>
    <w:qFormat/>
    <w:rsid w:val="00792DCE"/>
    <w:pPr>
      <w:keepNext/>
      <w:outlineLvl w:val="0"/>
    </w:pPr>
    <w:rPr>
      <w:rFonts w:asciiTheme="majorHAnsi" w:eastAsiaTheme="majorEastAsia" w:hAnsiTheme="majorHAnsi" w:cstheme="majorBidi"/>
      <w:sz w:val="28"/>
      <w:szCs w:val="28"/>
    </w:rPr>
  </w:style>
  <w:style w:type="paragraph" w:styleId="21">
    <w:name w:val="heading 2"/>
    <w:basedOn w:val="a1"/>
    <w:next w:val="a1"/>
    <w:link w:val="2Char"/>
    <w:semiHidden/>
    <w:qFormat/>
    <w:rsid w:val="00792DCE"/>
    <w:pPr>
      <w:keepNext/>
      <w:spacing w:before="240" w:after="60"/>
      <w:outlineLvl w:val="1"/>
    </w:pPr>
    <w:rPr>
      <w:rFonts w:ascii="Cambria" w:hAnsi="Cambria"/>
      <w:b/>
      <w:bCs/>
      <w:i/>
      <w:iCs/>
      <w:sz w:val="28"/>
      <w:szCs w:val="28"/>
    </w:rPr>
  </w:style>
  <w:style w:type="paragraph" w:styleId="31">
    <w:name w:val="heading 3"/>
    <w:basedOn w:val="a1"/>
    <w:next w:val="a1"/>
    <w:link w:val="3Char"/>
    <w:semiHidden/>
    <w:qFormat/>
    <w:rsid w:val="00792DCE"/>
    <w:pPr>
      <w:keepNext/>
      <w:spacing w:line="480" w:lineRule="auto"/>
      <w:outlineLvl w:val="2"/>
    </w:pPr>
    <w:rPr>
      <w:rFonts w:ascii="Times" w:eastAsia="Times" w:hAnsi="Times"/>
      <w:b/>
    </w:rPr>
  </w:style>
  <w:style w:type="paragraph" w:styleId="41">
    <w:name w:val="heading 4"/>
    <w:basedOn w:val="a1"/>
    <w:next w:val="a1"/>
    <w:link w:val="4Char"/>
    <w:semiHidden/>
    <w:qFormat/>
    <w:rsid w:val="00792DCE"/>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92DCE"/>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92DCE"/>
    <w:pPr>
      <w:spacing w:before="240" w:after="60"/>
      <w:outlineLvl w:val="5"/>
    </w:pPr>
    <w:rPr>
      <w:rFonts w:ascii="Calibri" w:hAnsi="Calibri"/>
      <w:b/>
      <w:bCs/>
      <w:sz w:val="22"/>
      <w:szCs w:val="22"/>
    </w:rPr>
  </w:style>
  <w:style w:type="paragraph" w:styleId="7">
    <w:name w:val="heading 7"/>
    <w:basedOn w:val="a1"/>
    <w:next w:val="a1"/>
    <w:link w:val="7Char"/>
    <w:semiHidden/>
    <w:qFormat/>
    <w:rsid w:val="00792DCE"/>
    <w:pPr>
      <w:spacing w:before="240" w:after="60"/>
      <w:outlineLvl w:val="6"/>
    </w:pPr>
    <w:rPr>
      <w:rFonts w:ascii="Calibri" w:hAnsi="Calibri"/>
      <w:szCs w:val="24"/>
    </w:rPr>
  </w:style>
  <w:style w:type="paragraph" w:styleId="8">
    <w:name w:val="heading 8"/>
    <w:basedOn w:val="a1"/>
    <w:next w:val="a1"/>
    <w:link w:val="8Char"/>
    <w:semiHidden/>
    <w:qFormat/>
    <w:rsid w:val="00792DCE"/>
    <w:pPr>
      <w:spacing w:before="240" w:after="60"/>
      <w:outlineLvl w:val="7"/>
    </w:pPr>
    <w:rPr>
      <w:rFonts w:ascii="Calibri" w:hAnsi="Calibri"/>
      <w:i/>
      <w:iCs/>
      <w:szCs w:val="24"/>
    </w:rPr>
  </w:style>
  <w:style w:type="paragraph" w:styleId="9">
    <w:name w:val="heading 9"/>
    <w:basedOn w:val="a1"/>
    <w:next w:val="a1"/>
    <w:link w:val="9Char"/>
    <w:semiHidden/>
    <w:qFormat/>
    <w:rsid w:val="00792DCE"/>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nhideWhenUsed/>
    <w:rsid w:val="00792DCE"/>
    <w:pPr>
      <w:tabs>
        <w:tab w:val="center" w:pos="4513"/>
        <w:tab w:val="right" w:pos="9026"/>
      </w:tabs>
      <w:snapToGrid w:val="0"/>
    </w:pPr>
  </w:style>
  <w:style w:type="character" w:customStyle="1" w:styleId="Char">
    <w:name w:val="머리글 Char"/>
    <w:basedOn w:val="a2"/>
    <w:link w:val="a5"/>
    <w:rsid w:val="00792DCE"/>
  </w:style>
  <w:style w:type="paragraph" w:styleId="a6">
    <w:name w:val="footer"/>
    <w:basedOn w:val="a1"/>
    <w:link w:val="Char0"/>
    <w:uiPriority w:val="99"/>
    <w:unhideWhenUsed/>
    <w:rsid w:val="00792DCE"/>
    <w:pPr>
      <w:tabs>
        <w:tab w:val="center" w:pos="4513"/>
        <w:tab w:val="right" w:pos="9026"/>
      </w:tabs>
      <w:snapToGrid w:val="0"/>
    </w:pPr>
  </w:style>
  <w:style w:type="character" w:customStyle="1" w:styleId="Char0">
    <w:name w:val="바닥글 Char"/>
    <w:basedOn w:val="a2"/>
    <w:link w:val="a6"/>
    <w:uiPriority w:val="99"/>
    <w:rsid w:val="00792DCE"/>
  </w:style>
  <w:style w:type="paragraph" w:customStyle="1" w:styleId="SMHeading">
    <w:name w:val="SM Heading"/>
    <w:basedOn w:val="1"/>
    <w:qFormat/>
    <w:rsid w:val="00792DCE"/>
    <w:pPr>
      <w:spacing w:before="240" w:after="60"/>
    </w:pPr>
    <w:rPr>
      <w:rFonts w:ascii="Times New Roman" w:eastAsiaTheme="minorEastAsia" w:hAnsi="Times New Roman" w:cs="Times New Roman"/>
      <w:b/>
      <w:bCs/>
      <w:kern w:val="32"/>
      <w:sz w:val="24"/>
      <w:szCs w:val="24"/>
    </w:rPr>
  </w:style>
  <w:style w:type="paragraph" w:customStyle="1" w:styleId="SMSubheading">
    <w:name w:val="SM Subheading"/>
    <w:basedOn w:val="a1"/>
    <w:qFormat/>
    <w:rsid w:val="00792DCE"/>
    <w:rPr>
      <w:u w:val="words"/>
    </w:rPr>
  </w:style>
  <w:style w:type="character" w:customStyle="1" w:styleId="1Char">
    <w:name w:val="제목 1 Char"/>
    <w:basedOn w:val="a2"/>
    <w:link w:val="1"/>
    <w:rsid w:val="00792DCE"/>
    <w:rPr>
      <w:rFonts w:asciiTheme="majorHAnsi" w:eastAsiaTheme="majorEastAsia" w:hAnsiTheme="majorHAnsi" w:cstheme="majorBidi"/>
      <w:kern w:val="0"/>
      <w:sz w:val="28"/>
      <w:szCs w:val="28"/>
      <w:lang w:eastAsia="en-US"/>
    </w:rPr>
  </w:style>
  <w:style w:type="character" w:customStyle="1" w:styleId="2Char">
    <w:name w:val="제목 2 Char"/>
    <w:basedOn w:val="a2"/>
    <w:link w:val="21"/>
    <w:semiHidden/>
    <w:rsid w:val="00792DCE"/>
    <w:rPr>
      <w:rFonts w:ascii="Cambria" w:hAnsi="Cambria" w:cs="Times New Roman"/>
      <w:b/>
      <w:bCs/>
      <w:i/>
      <w:iCs/>
      <w:kern w:val="0"/>
      <w:sz w:val="28"/>
      <w:szCs w:val="28"/>
      <w:lang w:eastAsia="en-US"/>
    </w:rPr>
  </w:style>
  <w:style w:type="character" w:customStyle="1" w:styleId="3Char">
    <w:name w:val="제목 3 Char"/>
    <w:basedOn w:val="a2"/>
    <w:link w:val="31"/>
    <w:semiHidden/>
    <w:rsid w:val="00792DCE"/>
    <w:rPr>
      <w:rFonts w:ascii="Times" w:eastAsia="Times" w:hAnsi="Times" w:cs="Times New Roman"/>
      <w:b/>
      <w:kern w:val="0"/>
      <w:sz w:val="24"/>
      <w:szCs w:val="20"/>
      <w:lang w:eastAsia="en-US"/>
    </w:rPr>
  </w:style>
  <w:style w:type="character" w:customStyle="1" w:styleId="4Char">
    <w:name w:val="제목 4 Char"/>
    <w:basedOn w:val="a2"/>
    <w:link w:val="41"/>
    <w:semiHidden/>
    <w:rsid w:val="00792DCE"/>
    <w:rPr>
      <w:rFonts w:ascii="Times" w:hAnsi="Times" w:cs="Times New Roman"/>
      <w:b/>
      <w:color w:val="0000FF"/>
      <w:kern w:val="0"/>
      <w:sz w:val="44"/>
      <w:szCs w:val="20"/>
      <w:lang w:eastAsia="en-US"/>
    </w:rPr>
  </w:style>
  <w:style w:type="character" w:customStyle="1" w:styleId="5Char">
    <w:name w:val="제목 5 Char"/>
    <w:basedOn w:val="a2"/>
    <w:link w:val="51"/>
    <w:semiHidden/>
    <w:rsid w:val="00792DCE"/>
    <w:rPr>
      <w:rFonts w:ascii="Calibri" w:hAnsi="Calibri" w:cs="Times New Roman"/>
      <w:b/>
      <w:bCs/>
      <w:i/>
      <w:iCs/>
      <w:kern w:val="0"/>
      <w:sz w:val="26"/>
      <w:szCs w:val="26"/>
      <w:lang w:eastAsia="en-US"/>
    </w:rPr>
  </w:style>
  <w:style w:type="character" w:customStyle="1" w:styleId="6Char">
    <w:name w:val="제목 6 Char"/>
    <w:basedOn w:val="a2"/>
    <w:link w:val="6"/>
    <w:semiHidden/>
    <w:rsid w:val="00792DCE"/>
    <w:rPr>
      <w:rFonts w:ascii="Calibri" w:hAnsi="Calibri" w:cs="Times New Roman"/>
      <w:b/>
      <w:bCs/>
      <w:kern w:val="0"/>
      <w:sz w:val="22"/>
      <w:lang w:eastAsia="en-US"/>
    </w:rPr>
  </w:style>
  <w:style w:type="character" w:customStyle="1" w:styleId="7Char">
    <w:name w:val="제목 7 Char"/>
    <w:basedOn w:val="a2"/>
    <w:link w:val="7"/>
    <w:semiHidden/>
    <w:rsid w:val="00792DCE"/>
    <w:rPr>
      <w:rFonts w:ascii="Calibri" w:hAnsi="Calibri" w:cs="Times New Roman"/>
      <w:kern w:val="0"/>
      <w:sz w:val="24"/>
      <w:szCs w:val="24"/>
      <w:lang w:eastAsia="en-US"/>
    </w:rPr>
  </w:style>
  <w:style w:type="character" w:customStyle="1" w:styleId="8Char">
    <w:name w:val="제목 8 Char"/>
    <w:basedOn w:val="a2"/>
    <w:link w:val="8"/>
    <w:semiHidden/>
    <w:rsid w:val="00792DCE"/>
    <w:rPr>
      <w:rFonts w:ascii="Calibri" w:hAnsi="Calibri" w:cs="Times New Roman"/>
      <w:i/>
      <w:iCs/>
      <w:kern w:val="0"/>
      <w:sz w:val="24"/>
      <w:szCs w:val="24"/>
      <w:lang w:eastAsia="en-US"/>
    </w:rPr>
  </w:style>
  <w:style w:type="character" w:customStyle="1" w:styleId="9Char">
    <w:name w:val="제목 9 Char"/>
    <w:basedOn w:val="a2"/>
    <w:link w:val="9"/>
    <w:semiHidden/>
    <w:rsid w:val="00792DCE"/>
    <w:rPr>
      <w:rFonts w:ascii="Cambria" w:hAnsi="Cambria" w:cs="Times New Roman"/>
      <w:kern w:val="0"/>
      <w:sz w:val="22"/>
      <w:lang w:eastAsia="en-US"/>
    </w:rPr>
  </w:style>
  <w:style w:type="character" w:styleId="a7">
    <w:name w:val="page number"/>
    <w:basedOn w:val="a2"/>
    <w:semiHidden/>
    <w:rsid w:val="00792DCE"/>
  </w:style>
  <w:style w:type="paragraph" w:customStyle="1" w:styleId="SMText">
    <w:name w:val="SM Text"/>
    <w:basedOn w:val="a1"/>
    <w:qFormat/>
    <w:rsid w:val="00792DCE"/>
    <w:pPr>
      <w:ind w:firstLine="480"/>
    </w:pPr>
  </w:style>
  <w:style w:type="paragraph" w:customStyle="1" w:styleId="SMcaption">
    <w:name w:val="SM caption"/>
    <w:basedOn w:val="SMText"/>
    <w:qFormat/>
    <w:rsid w:val="00792DCE"/>
    <w:pPr>
      <w:ind w:firstLine="0"/>
    </w:pPr>
  </w:style>
  <w:style w:type="paragraph" w:styleId="a8">
    <w:name w:val="Balloon Text"/>
    <w:basedOn w:val="a1"/>
    <w:link w:val="Char1"/>
    <w:semiHidden/>
    <w:rsid w:val="00792DCE"/>
    <w:rPr>
      <w:rFonts w:ascii="Tahoma" w:hAnsi="Tahoma" w:cs="Tahoma"/>
      <w:sz w:val="16"/>
      <w:szCs w:val="16"/>
    </w:rPr>
  </w:style>
  <w:style w:type="character" w:customStyle="1" w:styleId="Char1">
    <w:name w:val="풍선 도움말 텍스트 Char"/>
    <w:basedOn w:val="a2"/>
    <w:link w:val="a8"/>
    <w:semiHidden/>
    <w:rsid w:val="00792DCE"/>
    <w:rPr>
      <w:rFonts w:ascii="Tahoma" w:hAnsi="Tahoma" w:cs="Tahoma"/>
      <w:kern w:val="0"/>
      <w:sz w:val="16"/>
      <w:szCs w:val="16"/>
      <w:lang w:eastAsia="en-US"/>
    </w:rPr>
  </w:style>
  <w:style w:type="paragraph" w:styleId="a9">
    <w:name w:val="Bibliography"/>
    <w:basedOn w:val="a1"/>
    <w:next w:val="a1"/>
    <w:uiPriority w:val="37"/>
    <w:semiHidden/>
    <w:rsid w:val="00792DCE"/>
    <w:pPr>
      <w:tabs>
        <w:tab w:val="left" w:pos="384"/>
      </w:tabs>
      <w:spacing w:line="480" w:lineRule="auto"/>
      <w:ind w:left="384" w:hanging="384"/>
    </w:pPr>
  </w:style>
  <w:style w:type="paragraph" w:styleId="aa">
    <w:name w:val="Block Text"/>
    <w:basedOn w:val="a1"/>
    <w:semiHidden/>
    <w:rsid w:val="00792DCE"/>
    <w:pPr>
      <w:spacing w:after="120"/>
      <w:ind w:left="1440" w:right="1440"/>
    </w:pPr>
  </w:style>
  <w:style w:type="paragraph" w:styleId="ab">
    <w:name w:val="Body Text"/>
    <w:basedOn w:val="a1"/>
    <w:link w:val="Char2"/>
    <w:semiHidden/>
    <w:rsid w:val="00792DCE"/>
    <w:pPr>
      <w:spacing w:after="120"/>
    </w:pPr>
  </w:style>
  <w:style w:type="character" w:customStyle="1" w:styleId="Char2">
    <w:name w:val="본문 Char"/>
    <w:basedOn w:val="a2"/>
    <w:link w:val="ab"/>
    <w:semiHidden/>
    <w:rsid w:val="00792DCE"/>
    <w:rPr>
      <w:rFonts w:ascii="Times New Roman" w:hAnsi="Times New Roman" w:cs="Times New Roman"/>
      <w:kern w:val="0"/>
      <w:sz w:val="24"/>
      <w:szCs w:val="20"/>
      <w:lang w:eastAsia="en-US"/>
    </w:rPr>
  </w:style>
  <w:style w:type="paragraph" w:styleId="22">
    <w:name w:val="Body Text 2"/>
    <w:basedOn w:val="a1"/>
    <w:link w:val="2Char0"/>
    <w:semiHidden/>
    <w:rsid w:val="00792DCE"/>
    <w:pPr>
      <w:spacing w:after="120" w:line="480" w:lineRule="auto"/>
    </w:pPr>
  </w:style>
  <w:style w:type="character" w:customStyle="1" w:styleId="2Char0">
    <w:name w:val="본문 2 Char"/>
    <w:basedOn w:val="a2"/>
    <w:link w:val="22"/>
    <w:semiHidden/>
    <w:rsid w:val="00792DCE"/>
    <w:rPr>
      <w:rFonts w:ascii="Times New Roman" w:hAnsi="Times New Roman" w:cs="Times New Roman"/>
      <w:kern w:val="0"/>
      <w:sz w:val="24"/>
      <w:szCs w:val="20"/>
      <w:lang w:eastAsia="en-US"/>
    </w:rPr>
  </w:style>
  <w:style w:type="paragraph" w:styleId="32">
    <w:name w:val="Body Text 3"/>
    <w:basedOn w:val="a1"/>
    <w:link w:val="3Char0"/>
    <w:semiHidden/>
    <w:rsid w:val="00792DCE"/>
    <w:pPr>
      <w:spacing w:after="120"/>
    </w:pPr>
    <w:rPr>
      <w:sz w:val="16"/>
      <w:szCs w:val="16"/>
    </w:rPr>
  </w:style>
  <w:style w:type="character" w:customStyle="1" w:styleId="3Char0">
    <w:name w:val="본문 3 Char"/>
    <w:basedOn w:val="a2"/>
    <w:link w:val="32"/>
    <w:semiHidden/>
    <w:rsid w:val="00792DCE"/>
    <w:rPr>
      <w:rFonts w:ascii="Times New Roman" w:hAnsi="Times New Roman" w:cs="Times New Roman"/>
      <w:kern w:val="0"/>
      <w:sz w:val="16"/>
      <w:szCs w:val="16"/>
      <w:lang w:eastAsia="en-US"/>
    </w:rPr>
  </w:style>
  <w:style w:type="paragraph" w:styleId="ac">
    <w:name w:val="Body Text First Indent"/>
    <w:basedOn w:val="ab"/>
    <w:link w:val="Char3"/>
    <w:semiHidden/>
    <w:rsid w:val="00792DCE"/>
    <w:pPr>
      <w:ind w:firstLine="210"/>
    </w:pPr>
  </w:style>
  <w:style w:type="character" w:customStyle="1" w:styleId="Char3">
    <w:name w:val="본문 첫 줄 들여쓰기 Char"/>
    <w:basedOn w:val="Char2"/>
    <w:link w:val="ac"/>
    <w:semiHidden/>
    <w:rsid w:val="00792DCE"/>
    <w:rPr>
      <w:rFonts w:ascii="Times New Roman" w:hAnsi="Times New Roman" w:cs="Times New Roman"/>
      <w:kern w:val="0"/>
      <w:sz w:val="24"/>
      <w:szCs w:val="20"/>
      <w:lang w:eastAsia="en-US"/>
    </w:rPr>
  </w:style>
  <w:style w:type="paragraph" w:styleId="ad">
    <w:name w:val="Body Text Indent"/>
    <w:basedOn w:val="a1"/>
    <w:link w:val="Char4"/>
    <w:semiHidden/>
    <w:rsid w:val="00792DCE"/>
    <w:pPr>
      <w:spacing w:after="120"/>
      <w:ind w:left="360"/>
    </w:pPr>
  </w:style>
  <w:style w:type="character" w:customStyle="1" w:styleId="Char4">
    <w:name w:val="본문 들여쓰기 Char"/>
    <w:basedOn w:val="a2"/>
    <w:link w:val="ad"/>
    <w:semiHidden/>
    <w:rsid w:val="00792DCE"/>
    <w:rPr>
      <w:rFonts w:ascii="Times New Roman" w:hAnsi="Times New Roman" w:cs="Times New Roman"/>
      <w:kern w:val="0"/>
      <w:sz w:val="24"/>
      <w:szCs w:val="20"/>
      <w:lang w:eastAsia="en-US"/>
    </w:rPr>
  </w:style>
  <w:style w:type="paragraph" w:styleId="23">
    <w:name w:val="Body Text First Indent 2"/>
    <w:basedOn w:val="ad"/>
    <w:link w:val="2Char1"/>
    <w:semiHidden/>
    <w:rsid w:val="00792DCE"/>
    <w:pPr>
      <w:ind w:firstLine="210"/>
    </w:pPr>
  </w:style>
  <w:style w:type="character" w:customStyle="1" w:styleId="2Char1">
    <w:name w:val="본문 첫 줄 들여쓰기 2 Char"/>
    <w:basedOn w:val="Char4"/>
    <w:link w:val="23"/>
    <w:semiHidden/>
    <w:rsid w:val="00792DCE"/>
    <w:rPr>
      <w:rFonts w:ascii="Times New Roman" w:hAnsi="Times New Roman" w:cs="Times New Roman"/>
      <w:kern w:val="0"/>
      <w:sz w:val="24"/>
      <w:szCs w:val="20"/>
      <w:lang w:eastAsia="en-US"/>
    </w:rPr>
  </w:style>
  <w:style w:type="paragraph" w:styleId="24">
    <w:name w:val="Body Text Indent 2"/>
    <w:basedOn w:val="a1"/>
    <w:link w:val="2Char2"/>
    <w:semiHidden/>
    <w:rsid w:val="00792DCE"/>
    <w:pPr>
      <w:spacing w:after="120" w:line="480" w:lineRule="auto"/>
      <w:ind w:left="360"/>
    </w:pPr>
  </w:style>
  <w:style w:type="character" w:customStyle="1" w:styleId="2Char2">
    <w:name w:val="본문 들여쓰기 2 Char"/>
    <w:basedOn w:val="a2"/>
    <w:link w:val="24"/>
    <w:semiHidden/>
    <w:rsid w:val="00792DCE"/>
    <w:rPr>
      <w:rFonts w:ascii="Times New Roman" w:hAnsi="Times New Roman" w:cs="Times New Roman"/>
      <w:kern w:val="0"/>
      <w:sz w:val="24"/>
      <w:szCs w:val="20"/>
      <w:lang w:eastAsia="en-US"/>
    </w:rPr>
  </w:style>
  <w:style w:type="paragraph" w:styleId="33">
    <w:name w:val="Body Text Indent 3"/>
    <w:basedOn w:val="a1"/>
    <w:link w:val="3Char1"/>
    <w:semiHidden/>
    <w:rsid w:val="00792DCE"/>
    <w:pPr>
      <w:spacing w:after="120"/>
      <w:ind w:left="360"/>
    </w:pPr>
    <w:rPr>
      <w:sz w:val="16"/>
      <w:szCs w:val="16"/>
    </w:rPr>
  </w:style>
  <w:style w:type="character" w:customStyle="1" w:styleId="3Char1">
    <w:name w:val="본문 들여쓰기 3 Char"/>
    <w:basedOn w:val="a2"/>
    <w:link w:val="33"/>
    <w:semiHidden/>
    <w:rsid w:val="00792DCE"/>
    <w:rPr>
      <w:rFonts w:ascii="Times New Roman" w:hAnsi="Times New Roman" w:cs="Times New Roman"/>
      <w:kern w:val="0"/>
      <w:sz w:val="16"/>
      <w:szCs w:val="16"/>
      <w:lang w:eastAsia="en-US"/>
    </w:rPr>
  </w:style>
  <w:style w:type="paragraph" w:styleId="ae">
    <w:name w:val="caption"/>
    <w:basedOn w:val="a1"/>
    <w:next w:val="a1"/>
    <w:semiHidden/>
    <w:qFormat/>
    <w:rsid w:val="00792DCE"/>
    <w:rPr>
      <w:b/>
      <w:bCs/>
      <w:sz w:val="20"/>
    </w:rPr>
  </w:style>
  <w:style w:type="paragraph" w:styleId="af">
    <w:name w:val="Closing"/>
    <w:basedOn w:val="a1"/>
    <w:link w:val="Char5"/>
    <w:semiHidden/>
    <w:rsid w:val="00792DCE"/>
    <w:pPr>
      <w:ind w:left="4320"/>
    </w:pPr>
  </w:style>
  <w:style w:type="character" w:customStyle="1" w:styleId="Char5">
    <w:name w:val="맺음말 Char"/>
    <w:basedOn w:val="a2"/>
    <w:link w:val="af"/>
    <w:semiHidden/>
    <w:rsid w:val="00792DCE"/>
    <w:rPr>
      <w:rFonts w:ascii="Times New Roman" w:hAnsi="Times New Roman" w:cs="Times New Roman"/>
      <w:kern w:val="0"/>
      <w:sz w:val="24"/>
      <w:szCs w:val="20"/>
      <w:lang w:eastAsia="en-US"/>
    </w:rPr>
  </w:style>
  <w:style w:type="paragraph" w:styleId="af0">
    <w:name w:val="annotation text"/>
    <w:basedOn w:val="a1"/>
    <w:link w:val="Char6"/>
    <w:semiHidden/>
    <w:rsid w:val="00792DCE"/>
    <w:rPr>
      <w:sz w:val="20"/>
    </w:rPr>
  </w:style>
  <w:style w:type="character" w:customStyle="1" w:styleId="Char6">
    <w:name w:val="메모 텍스트 Char"/>
    <w:basedOn w:val="a2"/>
    <w:link w:val="af0"/>
    <w:semiHidden/>
    <w:rsid w:val="00792DCE"/>
    <w:rPr>
      <w:rFonts w:ascii="Times New Roman" w:hAnsi="Times New Roman" w:cs="Times New Roman"/>
      <w:kern w:val="0"/>
      <w:szCs w:val="20"/>
      <w:lang w:eastAsia="en-US"/>
    </w:rPr>
  </w:style>
  <w:style w:type="paragraph" w:styleId="af1">
    <w:name w:val="annotation subject"/>
    <w:basedOn w:val="af0"/>
    <w:next w:val="af0"/>
    <w:link w:val="Char7"/>
    <w:semiHidden/>
    <w:rsid w:val="00792DCE"/>
    <w:rPr>
      <w:b/>
      <w:bCs/>
    </w:rPr>
  </w:style>
  <w:style w:type="character" w:customStyle="1" w:styleId="Char7">
    <w:name w:val="메모 주제 Char"/>
    <w:basedOn w:val="Char6"/>
    <w:link w:val="af1"/>
    <w:semiHidden/>
    <w:rsid w:val="00792DCE"/>
    <w:rPr>
      <w:rFonts w:ascii="Times New Roman" w:hAnsi="Times New Roman" w:cs="Times New Roman"/>
      <w:b/>
      <w:bCs/>
      <w:kern w:val="0"/>
      <w:szCs w:val="20"/>
      <w:lang w:eastAsia="en-US"/>
    </w:rPr>
  </w:style>
  <w:style w:type="paragraph" w:styleId="af2">
    <w:name w:val="Date"/>
    <w:basedOn w:val="a1"/>
    <w:next w:val="a1"/>
    <w:link w:val="Char8"/>
    <w:semiHidden/>
    <w:rsid w:val="00792DCE"/>
  </w:style>
  <w:style w:type="character" w:customStyle="1" w:styleId="Char8">
    <w:name w:val="날짜 Char"/>
    <w:basedOn w:val="a2"/>
    <w:link w:val="af2"/>
    <w:semiHidden/>
    <w:rsid w:val="00792DCE"/>
    <w:rPr>
      <w:rFonts w:ascii="Times New Roman" w:hAnsi="Times New Roman" w:cs="Times New Roman"/>
      <w:kern w:val="0"/>
      <w:sz w:val="24"/>
      <w:szCs w:val="20"/>
      <w:lang w:eastAsia="en-US"/>
    </w:rPr>
  </w:style>
  <w:style w:type="paragraph" w:styleId="af3">
    <w:name w:val="Document Map"/>
    <w:basedOn w:val="a1"/>
    <w:link w:val="Char9"/>
    <w:semiHidden/>
    <w:rsid w:val="00792DCE"/>
    <w:rPr>
      <w:rFonts w:ascii="Tahoma" w:hAnsi="Tahoma" w:cs="Tahoma"/>
      <w:sz w:val="16"/>
      <w:szCs w:val="16"/>
    </w:rPr>
  </w:style>
  <w:style w:type="character" w:customStyle="1" w:styleId="Char9">
    <w:name w:val="문서 구조 Char"/>
    <w:basedOn w:val="a2"/>
    <w:link w:val="af3"/>
    <w:semiHidden/>
    <w:rsid w:val="00792DCE"/>
    <w:rPr>
      <w:rFonts w:ascii="Tahoma" w:hAnsi="Tahoma" w:cs="Tahoma"/>
      <w:kern w:val="0"/>
      <w:sz w:val="16"/>
      <w:szCs w:val="16"/>
      <w:lang w:eastAsia="en-US"/>
    </w:rPr>
  </w:style>
  <w:style w:type="paragraph" w:styleId="af4">
    <w:name w:val="E-mail Signature"/>
    <w:basedOn w:val="a1"/>
    <w:link w:val="Chara"/>
    <w:semiHidden/>
    <w:rsid w:val="00792DCE"/>
  </w:style>
  <w:style w:type="character" w:customStyle="1" w:styleId="Chara">
    <w:name w:val="전자 메일 서명 Char"/>
    <w:basedOn w:val="a2"/>
    <w:link w:val="af4"/>
    <w:semiHidden/>
    <w:rsid w:val="00792DCE"/>
    <w:rPr>
      <w:rFonts w:ascii="Times New Roman" w:hAnsi="Times New Roman" w:cs="Times New Roman"/>
      <w:kern w:val="0"/>
      <w:sz w:val="24"/>
      <w:szCs w:val="20"/>
      <w:lang w:eastAsia="en-US"/>
    </w:rPr>
  </w:style>
  <w:style w:type="paragraph" w:styleId="af5">
    <w:name w:val="endnote text"/>
    <w:basedOn w:val="a1"/>
    <w:link w:val="Charb"/>
    <w:semiHidden/>
    <w:rsid w:val="00792DCE"/>
    <w:rPr>
      <w:sz w:val="20"/>
    </w:rPr>
  </w:style>
  <w:style w:type="character" w:customStyle="1" w:styleId="Charb">
    <w:name w:val="미주 텍스트 Char"/>
    <w:basedOn w:val="a2"/>
    <w:link w:val="af5"/>
    <w:semiHidden/>
    <w:rsid w:val="00792DCE"/>
    <w:rPr>
      <w:rFonts w:ascii="Times New Roman" w:hAnsi="Times New Roman" w:cs="Times New Roman"/>
      <w:kern w:val="0"/>
      <w:szCs w:val="20"/>
      <w:lang w:eastAsia="en-US"/>
    </w:rPr>
  </w:style>
  <w:style w:type="paragraph" w:styleId="af6">
    <w:name w:val="envelope address"/>
    <w:basedOn w:val="a1"/>
    <w:semiHidden/>
    <w:rsid w:val="00792DCE"/>
    <w:pPr>
      <w:framePr w:w="7920" w:h="1980" w:hRule="exact" w:hSpace="180" w:wrap="auto" w:hAnchor="page" w:xAlign="center" w:yAlign="bottom"/>
      <w:ind w:left="2880"/>
    </w:pPr>
    <w:rPr>
      <w:rFonts w:ascii="Cambria" w:hAnsi="Cambria"/>
      <w:szCs w:val="24"/>
    </w:rPr>
  </w:style>
  <w:style w:type="paragraph" w:styleId="af7">
    <w:name w:val="envelope return"/>
    <w:basedOn w:val="a1"/>
    <w:semiHidden/>
    <w:rsid w:val="00792DCE"/>
    <w:rPr>
      <w:rFonts w:ascii="Cambria" w:hAnsi="Cambria"/>
      <w:sz w:val="20"/>
    </w:rPr>
  </w:style>
  <w:style w:type="paragraph" w:styleId="af8">
    <w:name w:val="footnote text"/>
    <w:basedOn w:val="a1"/>
    <w:link w:val="Charc"/>
    <w:semiHidden/>
    <w:rsid w:val="00792DCE"/>
    <w:rPr>
      <w:sz w:val="20"/>
    </w:rPr>
  </w:style>
  <w:style w:type="character" w:customStyle="1" w:styleId="Charc">
    <w:name w:val="각주 텍스트 Char"/>
    <w:basedOn w:val="a2"/>
    <w:link w:val="af8"/>
    <w:semiHidden/>
    <w:rsid w:val="00792DCE"/>
    <w:rPr>
      <w:rFonts w:ascii="Times New Roman" w:hAnsi="Times New Roman" w:cs="Times New Roman"/>
      <w:kern w:val="0"/>
      <w:szCs w:val="20"/>
      <w:lang w:eastAsia="en-US"/>
    </w:rPr>
  </w:style>
  <w:style w:type="paragraph" w:styleId="HTML">
    <w:name w:val="HTML Address"/>
    <w:basedOn w:val="a1"/>
    <w:link w:val="HTMLChar"/>
    <w:semiHidden/>
    <w:rsid w:val="00792DCE"/>
    <w:rPr>
      <w:i/>
      <w:iCs/>
    </w:rPr>
  </w:style>
  <w:style w:type="character" w:customStyle="1" w:styleId="HTMLChar">
    <w:name w:val="HTML 주소 Char"/>
    <w:basedOn w:val="a2"/>
    <w:link w:val="HTML"/>
    <w:semiHidden/>
    <w:rsid w:val="00792DCE"/>
    <w:rPr>
      <w:rFonts w:ascii="Times New Roman" w:hAnsi="Times New Roman" w:cs="Times New Roman"/>
      <w:i/>
      <w:iCs/>
      <w:kern w:val="0"/>
      <w:sz w:val="24"/>
      <w:szCs w:val="20"/>
      <w:lang w:eastAsia="en-US"/>
    </w:rPr>
  </w:style>
  <w:style w:type="paragraph" w:styleId="HTML0">
    <w:name w:val="HTML Preformatted"/>
    <w:basedOn w:val="a1"/>
    <w:link w:val="HTMLChar0"/>
    <w:uiPriority w:val="99"/>
    <w:semiHidden/>
    <w:rsid w:val="00792DCE"/>
    <w:rPr>
      <w:rFonts w:ascii="Courier New" w:hAnsi="Courier New" w:cs="Courier New"/>
      <w:sz w:val="20"/>
    </w:rPr>
  </w:style>
  <w:style w:type="character" w:customStyle="1" w:styleId="HTMLChar0">
    <w:name w:val="미리 서식이 지정된 HTML Char"/>
    <w:basedOn w:val="a2"/>
    <w:link w:val="HTML0"/>
    <w:uiPriority w:val="99"/>
    <w:semiHidden/>
    <w:rsid w:val="00792DCE"/>
    <w:rPr>
      <w:rFonts w:ascii="Courier New" w:hAnsi="Courier New" w:cs="Courier New"/>
      <w:kern w:val="0"/>
      <w:szCs w:val="20"/>
      <w:lang w:eastAsia="en-US"/>
    </w:rPr>
  </w:style>
  <w:style w:type="paragraph" w:styleId="10">
    <w:name w:val="index 1"/>
    <w:basedOn w:val="a1"/>
    <w:next w:val="a1"/>
    <w:autoRedefine/>
    <w:semiHidden/>
    <w:rsid w:val="00792DCE"/>
    <w:pPr>
      <w:ind w:left="240" w:hanging="240"/>
    </w:pPr>
  </w:style>
  <w:style w:type="paragraph" w:styleId="25">
    <w:name w:val="index 2"/>
    <w:basedOn w:val="a1"/>
    <w:next w:val="a1"/>
    <w:autoRedefine/>
    <w:semiHidden/>
    <w:rsid w:val="00792DCE"/>
    <w:pPr>
      <w:ind w:left="480" w:hanging="240"/>
    </w:pPr>
  </w:style>
  <w:style w:type="paragraph" w:styleId="34">
    <w:name w:val="index 3"/>
    <w:basedOn w:val="a1"/>
    <w:next w:val="a1"/>
    <w:autoRedefine/>
    <w:semiHidden/>
    <w:rsid w:val="00792DCE"/>
    <w:pPr>
      <w:ind w:left="720" w:hanging="240"/>
    </w:pPr>
  </w:style>
  <w:style w:type="paragraph" w:styleId="42">
    <w:name w:val="index 4"/>
    <w:basedOn w:val="a1"/>
    <w:next w:val="a1"/>
    <w:autoRedefine/>
    <w:semiHidden/>
    <w:rsid w:val="00792DCE"/>
    <w:pPr>
      <w:ind w:left="960" w:hanging="240"/>
    </w:pPr>
  </w:style>
  <w:style w:type="paragraph" w:styleId="52">
    <w:name w:val="index 5"/>
    <w:basedOn w:val="a1"/>
    <w:next w:val="a1"/>
    <w:autoRedefine/>
    <w:semiHidden/>
    <w:rsid w:val="00792DCE"/>
    <w:pPr>
      <w:ind w:left="1200" w:hanging="240"/>
    </w:pPr>
  </w:style>
  <w:style w:type="paragraph" w:styleId="60">
    <w:name w:val="index 6"/>
    <w:basedOn w:val="a1"/>
    <w:next w:val="a1"/>
    <w:autoRedefine/>
    <w:semiHidden/>
    <w:rsid w:val="00792DCE"/>
    <w:pPr>
      <w:ind w:left="1440" w:hanging="240"/>
    </w:pPr>
  </w:style>
  <w:style w:type="paragraph" w:styleId="70">
    <w:name w:val="index 7"/>
    <w:basedOn w:val="a1"/>
    <w:next w:val="a1"/>
    <w:autoRedefine/>
    <w:semiHidden/>
    <w:rsid w:val="00792DCE"/>
    <w:pPr>
      <w:ind w:left="1680" w:hanging="240"/>
    </w:pPr>
  </w:style>
  <w:style w:type="paragraph" w:styleId="80">
    <w:name w:val="index 8"/>
    <w:basedOn w:val="a1"/>
    <w:next w:val="a1"/>
    <w:autoRedefine/>
    <w:semiHidden/>
    <w:rsid w:val="00792DCE"/>
    <w:pPr>
      <w:ind w:left="1920" w:hanging="240"/>
    </w:pPr>
  </w:style>
  <w:style w:type="paragraph" w:styleId="90">
    <w:name w:val="index 9"/>
    <w:basedOn w:val="a1"/>
    <w:next w:val="a1"/>
    <w:autoRedefine/>
    <w:semiHidden/>
    <w:rsid w:val="00792DCE"/>
    <w:pPr>
      <w:ind w:left="2160" w:hanging="240"/>
    </w:pPr>
  </w:style>
  <w:style w:type="paragraph" w:styleId="af9">
    <w:name w:val="index heading"/>
    <w:basedOn w:val="a1"/>
    <w:next w:val="10"/>
    <w:semiHidden/>
    <w:rsid w:val="00792DCE"/>
    <w:rPr>
      <w:rFonts w:ascii="Cambria" w:hAnsi="Cambria"/>
      <w:b/>
      <w:bCs/>
    </w:rPr>
  </w:style>
  <w:style w:type="paragraph" w:styleId="afa">
    <w:name w:val="Intense Quote"/>
    <w:basedOn w:val="a1"/>
    <w:next w:val="a1"/>
    <w:link w:val="Chard"/>
    <w:uiPriority w:val="30"/>
    <w:qFormat/>
    <w:rsid w:val="00792DCE"/>
    <w:pPr>
      <w:pBdr>
        <w:bottom w:val="single" w:sz="4" w:space="4" w:color="4F81BD"/>
      </w:pBdr>
      <w:spacing w:before="200" w:after="280"/>
      <w:ind w:left="936" w:right="936"/>
    </w:pPr>
    <w:rPr>
      <w:b/>
      <w:bCs/>
      <w:i/>
      <w:iCs/>
      <w:color w:val="4F81BD"/>
    </w:rPr>
  </w:style>
  <w:style w:type="character" w:customStyle="1" w:styleId="Chard">
    <w:name w:val="강한 인용 Char"/>
    <w:basedOn w:val="a2"/>
    <w:link w:val="afa"/>
    <w:uiPriority w:val="30"/>
    <w:rsid w:val="00792DCE"/>
    <w:rPr>
      <w:rFonts w:ascii="Times New Roman" w:hAnsi="Times New Roman" w:cs="Times New Roman"/>
      <w:b/>
      <w:bCs/>
      <w:i/>
      <w:iCs/>
      <w:color w:val="4F81BD"/>
      <w:kern w:val="0"/>
      <w:sz w:val="24"/>
      <w:szCs w:val="20"/>
      <w:lang w:eastAsia="en-US"/>
    </w:rPr>
  </w:style>
  <w:style w:type="paragraph" w:styleId="afb">
    <w:name w:val="List"/>
    <w:basedOn w:val="a1"/>
    <w:semiHidden/>
    <w:rsid w:val="00792DCE"/>
    <w:pPr>
      <w:ind w:left="360" w:hanging="360"/>
      <w:contextualSpacing/>
    </w:pPr>
  </w:style>
  <w:style w:type="paragraph" w:styleId="26">
    <w:name w:val="List 2"/>
    <w:basedOn w:val="a1"/>
    <w:semiHidden/>
    <w:rsid w:val="00792DCE"/>
    <w:pPr>
      <w:ind w:left="720" w:hanging="360"/>
      <w:contextualSpacing/>
    </w:pPr>
  </w:style>
  <w:style w:type="paragraph" w:styleId="35">
    <w:name w:val="List 3"/>
    <w:basedOn w:val="a1"/>
    <w:semiHidden/>
    <w:rsid w:val="00792DCE"/>
    <w:pPr>
      <w:ind w:left="1080" w:hanging="360"/>
      <w:contextualSpacing/>
    </w:pPr>
  </w:style>
  <w:style w:type="paragraph" w:styleId="43">
    <w:name w:val="List 4"/>
    <w:basedOn w:val="a1"/>
    <w:semiHidden/>
    <w:rsid w:val="00792DCE"/>
    <w:pPr>
      <w:ind w:left="1440" w:hanging="360"/>
      <w:contextualSpacing/>
    </w:pPr>
  </w:style>
  <w:style w:type="paragraph" w:styleId="53">
    <w:name w:val="List 5"/>
    <w:basedOn w:val="a1"/>
    <w:semiHidden/>
    <w:rsid w:val="00792DCE"/>
    <w:pPr>
      <w:ind w:left="1800" w:hanging="360"/>
      <w:contextualSpacing/>
    </w:pPr>
  </w:style>
  <w:style w:type="paragraph" w:styleId="a0">
    <w:name w:val="List Bullet"/>
    <w:basedOn w:val="a1"/>
    <w:semiHidden/>
    <w:rsid w:val="00792DCE"/>
    <w:pPr>
      <w:numPr>
        <w:numId w:val="1"/>
      </w:numPr>
      <w:contextualSpacing/>
    </w:pPr>
  </w:style>
  <w:style w:type="paragraph" w:styleId="20">
    <w:name w:val="List Bullet 2"/>
    <w:basedOn w:val="a1"/>
    <w:semiHidden/>
    <w:rsid w:val="00792DCE"/>
    <w:pPr>
      <w:numPr>
        <w:numId w:val="2"/>
      </w:numPr>
      <w:contextualSpacing/>
    </w:pPr>
  </w:style>
  <w:style w:type="paragraph" w:styleId="30">
    <w:name w:val="List Bullet 3"/>
    <w:basedOn w:val="a1"/>
    <w:semiHidden/>
    <w:rsid w:val="00792DCE"/>
    <w:pPr>
      <w:numPr>
        <w:numId w:val="3"/>
      </w:numPr>
      <w:contextualSpacing/>
    </w:pPr>
  </w:style>
  <w:style w:type="paragraph" w:styleId="40">
    <w:name w:val="List Bullet 4"/>
    <w:basedOn w:val="a1"/>
    <w:semiHidden/>
    <w:rsid w:val="00792DCE"/>
    <w:pPr>
      <w:numPr>
        <w:numId w:val="4"/>
      </w:numPr>
      <w:contextualSpacing/>
    </w:pPr>
  </w:style>
  <w:style w:type="paragraph" w:styleId="50">
    <w:name w:val="List Bullet 5"/>
    <w:basedOn w:val="a1"/>
    <w:semiHidden/>
    <w:rsid w:val="00792DCE"/>
    <w:pPr>
      <w:numPr>
        <w:numId w:val="5"/>
      </w:numPr>
      <w:contextualSpacing/>
    </w:pPr>
  </w:style>
  <w:style w:type="paragraph" w:styleId="afc">
    <w:name w:val="List Continue"/>
    <w:basedOn w:val="a1"/>
    <w:semiHidden/>
    <w:rsid w:val="00792DCE"/>
    <w:pPr>
      <w:spacing w:after="120"/>
      <w:ind w:left="360"/>
      <w:contextualSpacing/>
    </w:pPr>
  </w:style>
  <w:style w:type="paragraph" w:styleId="27">
    <w:name w:val="List Continue 2"/>
    <w:basedOn w:val="a1"/>
    <w:semiHidden/>
    <w:rsid w:val="00792DCE"/>
    <w:pPr>
      <w:spacing w:after="120"/>
      <w:ind w:left="720"/>
      <w:contextualSpacing/>
    </w:pPr>
  </w:style>
  <w:style w:type="paragraph" w:styleId="36">
    <w:name w:val="List Continue 3"/>
    <w:basedOn w:val="a1"/>
    <w:semiHidden/>
    <w:rsid w:val="00792DCE"/>
    <w:pPr>
      <w:spacing w:after="120"/>
      <w:ind w:left="1080"/>
      <w:contextualSpacing/>
    </w:pPr>
  </w:style>
  <w:style w:type="paragraph" w:styleId="44">
    <w:name w:val="List Continue 4"/>
    <w:basedOn w:val="a1"/>
    <w:semiHidden/>
    <w:rsid w:val="00792DCE"/>
    <w:pPr>
      <w:spacing w:after="120"/>
      <w:ind w:left="1440"/>
      <w:contextualSpacing/>
    </w:pPr>
  </w:style>
  <w:style w:type="paragraph" w:styleId="54">
    <w:name w:val="List Continue 5"/>
    <w:basedOn w:val="a1"/>
    <w:semiHidden/>
    <w:rsid w:val="00792DCE"/>
    <w:pPr>
      <w:spacing w:after="120"/>
      <w:ind w:left="1800"/>
      <w:contextualSpacing/>
    </w:pPr>
  </w:style>
  <w:style w:type="paragraph" w:styleId="a">
    <w:name w:val="List Number"/>
    <w:basedOn w:val="a1"/>
    <w:semiHidden/>
    <w:rsid w:val="00792DCE"/>
    <w:pPr>
      <w:numPr>
        <w:numId w:val="6"/>
      </w:numPr>
      <w:contextualSpacing/>
    </w:pPr>
  </w:style>
  <w:style w:type="paragraph" w:styleId="2">
    <w:name w:val="List Number 2"/>
    <w:basedOn w:val="a1"/>
    <w:semiHidden/>
    <w:rsid w:val="00792DCE"/>
    <w:pPr>
      <w:numPr>
        <w:numId w:val="7"/>
      </w:numPr>
      <w:contextualSpacing/>
    </w:pPr>
  </w:style>
  <w:style w:type="paragraph" w:styleId="3">
    <w:name w:val="List Number 3"/>
    <w:basedOn w:val="a1"/>
    <w:semiHidden/>
    <w:rsid w:val="00792DCE"/>
    <w:pPr>
      <w:numPr>
        <w:numId w:val="8"/>
      </w:numPr>
      <w:contextualSpacing/>
    </w:pPr>
  </w:style>
  <w:style w:type="paragraph" w:styleId="4">
    <w:name w:val="List Number 4"/>
    <w:basedOn w:val="a1"/>
    <w:semiHidden/>
    <w:rsid w:val="00792DCE"/>
    <w:pPr>
      <w:numPr>
        <w:numId w:val="9"/>
      </w:numPr>
      <w:contextualSpacing/>
    </w:pPr>
  </w:style>
  <w:style w:type="paragraph" w:styleId="5">
    <w:name w:val="List Number 5"/>
    <w:basedOn w:val="a1"/>
    <w:semiHidden/>
    <w:rsid w:val="00792DCE"/>
    <w:pPr>
      <w:numPr>
        <w:numId w:val="10"/>
      </w:numPr>
      <w:contextualSpacing/>
    </w:pPr>
  </w:style>
  <w:style w:type="paragraph" w:styleId="afd">
    <w:name w:val="List Paragraph"/>
    <w:basedOn w:val="a1"/>
    <w:uiPriority w:val="34"/>
    <w:qFormat/>
    <w:rsid w:val="00792DCE"/>
    <w:pPr>
      <w:ind w:left="720"/>
    </w:pPr>
  </w:style>
  <w:style w:type="paragraph" w:styleId="afe">
    <w:name w:val="macro"/>
    <w:link w:val="Chare"/>
    <w:semiHidden/>
    <w:rsid w:val="00792DCE"/>
    <w:pPr>
      <w:tabs>
        <w:tab w:val="left" w:pos="480"/>
        <w:tab w:val="left" w:pos="960"/>
        <w:tab w:val="left" w:pos="1440"/>
        <w:tab w:val="left" w:pos="1920"/>
        <w:tab w:val="left" w:pos="2400"/>
        <w:tab w:val="left" w:pos="2880"/>
        <w:tab w:val="left" w:pos="3360"/>
        <w:tab w:val="left" w:pos="3840"/>
        <w:tab w:val="left" w:pos="4320"/>
      </w:tabs>
      <w:spacing w:after="0" w:line="240" w:lineRule="auto"/>
      <w:jc w:val="left"/>
    </w:pPr>
    <w:rPr>
      <w:rFonts w:ascii="Courier New" w:hAnsi="Courier New" w:cs="Courier New"/>
      <w:kern w:val="0"/>
      <w:szCs w:val="20"/>
      <w:lang w:eastAsia="en-US"/>
    </w:rPr>
  </w:style>
  <w:style w:type="character" w:customStyle="1" w:styleId="Chare">
    <w:name w:val="매크로 텍스트 Char"/>
    <w:basedOn w:val="a2"/>
    <w:link w:val="afe"/>
    <w:semiHidden/>
    <w:rsid w:val="00792DCE"/>
    <w:rPr>
      <w:rFonts w:ascii="Courier New" w:hAnsi="Courier New" w:cs="Courier New"/>
      <w:kern w:val="0"/>
      <w:szCs w:val="20"/>
      <w:lang w:eastAsia="en-US"/>
    </w:rPr>
  </w:style>
  <w:style w:type="paragraph" w:styleId="aff">
    <w:name w:val="Message Header"/>
    <w:basedOn w:val="a1"/>
    <w:link w:val="Charf"/>
    <w:semiHidden/>
    <w:rsid w:val="00792DCE"/>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basedOn w:val="a2"/>
    <w:link w:val="aff"/>
    <w:semiHidden/>
    <w:rsid w:val="00792DCE"/>
    <w:rPr>
      <w:rFonts w:ascii="Cambria" w:hAnsi="Cambria" w:cs="Times New Roman"/>
      <w:kern w:val="0"/>
      <w:sz w:val="24"/>
      <w:szCs w:val="24"/>
      <w:shd w:val="pct20" w:color="auto" w:fill="auto"/>
      <w:lang w:eastAsia="en-US"/>
    </w:rPr>
  </w:style>
  <w:style w:type="paragraph" w:styleId="aff0">
    <w:name w:val="No Spacing"/>
    <w:uiPriority w:val="1"/>
    <w:qFormat/>
    <w:rsid w:val="00792DCE"/>
    <w:pPr>
      <w:spacing w:after="0" w:line="240" w:lineRule="auto"/>
      <w:jc w:val="left"/>
    </w:pPr>
    <w:rPr>
      <w:rFonts w:ascii="Times New Roman" w:hAnsi="Times New Roman" w:cs="Times New Roman"/>
      <w:kern w:val="0"/>
      <w:sz w:val="24"/>
      <w:szCs w:val="20"/>
      <w:lang w:eastAsia="en-US"/>
    </w:rPr>
  </w:style>
  <w:style w:type="paragraph" w:styleId="aff1">
    <w:name w:val="Normal (Web)"/>
    <w:basedOn w:val="a1"/>
    <w:uiPriority w:val="99"/>
    <w:semiHidden/>
    <w:rsid w:val="00792DCE"/>
    <w:rPr>
      <w:szCs w:val="24"/>
    </w:rPr>
  </w:style>
  <w:style w:type="paragraph" w:styleId="aff2">
    <w:name w:val="Normal Indent"/>
    <w:basedOn w:val="a1"/>
    <w:semiHidden/>
    <w:rsid w:val="00792DCE"/>
    <w:pPr>
      <w:ind w:left="720"/>
    </w:pPr>
  </w:style>
  <w:style w:type="paragraph" w:styleId="aff3">
    <w:name w:val="Note Heading"/>
    <w:basedOn w:val="a1"/>
    <w:next w:val="a1"/>
    <w:link w:val="Charf0"/>
    <w:semiHidden/>
    <w:rsid w:val="00792DCE"/>
  </w:style>
  <w:style w:type="character" w:customStyle="1" w:styleId="Charf0">
    <w:name w:val="각주/미주 머리글 Char"/>
    <w:basedOn w:val="a2"/>
    <w:link w:val="aff3"/>
    <w:semiHidden/>
    <w:rsid w:val="00792DCE"/>
    <w:rPr>
      <w:rFonts w:ascii="Times New Roman" w:hAnsi="Times New Roman" w:cs="Times New Roman"/>
      <w:kern w:val="0"/>
      <w:sz w:val="24"/>
      <w:szCs w:val="20"/>
      <w:lang w:eastAsia="en-US"/>
    </w:rPr>
  </w:style>
  <w:style w:type="paragraph" w:styleId="aff4">
    <w:name w:val="Plain Text"/>
    <w:basedOn w:val="a1"/>
    <w:link w:val="Charf1"/>
    <w:semiHidden/>
    <w:rsid w:val="00792DCE"/>
    <w:rPr>
      <w:rFonts w:ascii="Courier New" w:hAnsi="Courier New" w:cs="Courier New"/>
      <w:sz w:val="20"/>
    </w:rPr>
  </w:style>
  <w:style w:type="character" w:customStyle="1" w:styleId="Charf1">
    <w:name w:val="글자만 Char"/>
    <w:basedOn w:val="a2"/>
    <w:link w:val="aff4"/>
    <w:semiHidden/>
    <w:rsid w:val="00792DCE"/>
    <w:rPr>
      <w:rFonts w:ascii="Courier New" w:hAnsi="Courier New" w:cs="Courier New"/>
      <w:kern w:val="0"/>
      <w:szCs w:val="20"/>
      <w:lang w:eastAsia="en-US"/>
    </w:rPr>
  </w:style>
  <w:style w:type="paragraph" w:styleId="aff5">
    <w:name w:val="Quote"/>
    <w:basedOn w:val="a1"/>
    <w:next w:val="a1"/>
    <w:link w:val="Charf2"/>
    <w:uiPriority w:val="29"/>
    <w:qFormat/>
    <w:rsid w:val="00792DCE"/>
    <w:rPr>
      <w:i/>
      <w:iCs/>
      <w:color w:val="000000"/>
    </w:rPr>
  </w:style>
  <w:style w:type="character" w:customStyle="1" w:styleId="Charf2">
    <w:name w:val="인용 Char"/>
    <w:basedOn w:val="a2"/>
    <w:link w:val="aff5"/>
    <w:uiPriority w:val="29"/>
    <w:rsid w:val="00792DCE"/>
    <w:rPr>
      <w:rFonts w:ascii="Times New Roman" w:hAnsi="Times New Roman" w:cs="Times New Roman"/>
      <w:i/>
      <w:iCs/>
      <w:color w:val="000000"/>
      <w:kern w:val="0"/>
      <w:sz w:val="24"/>
      <w:szCs w:val="20"/>
      <w:lang w:eastAsia="en-US"/>
    </w:rPr>
  </w:style>
  <w:style w:type="paragraph" w:styleId="aff6">
    <w:name w:val="Salutation"/>
    <w:basedOn w:val="a1"/>
    <w:next w:val="a1"/>
    <w:link w:val="Charf3"/>
    <w:semiHidden/>
    <w:rsid w:val="00792DCE"/>
  </w:style>
  <w:style w:type="character" w:customStyle="1" w:styleId="Charf3">
    <w:name w:val="인사말 Char"/>
    <w:basedOn w:val="a2"/>
    <w:link w:val="aff6"/>
    <w:semiHidden/>
    <w:rsid w:val="00792DCE"/>
    <w:rPr>
      <w:rFonts w:ascii="Times New Roman" w:hAnsi="Times New Roman" w:cs="Times New Roman"/>
      <w:kern w:val="0"/>
      <w:sz w:val="24"/>
      <w:szCs w:val="20"/>
      <w:lang w:eastAsia="en-US"/>
    </w:rPr>
  </w:style>
  <w:style w:type="paragraph" w:styleId="aff7">
    <w:name w:val="Signature"/>
    <w:basedOn w:val="a1"/>
    <w:link w:val="Charf4"/>
    <w:semiHidden/>
    <w:rsid w:val="00792DCE"/>
    <w:pPr>
      <w:ind w:left="4320"/>
    </w:pPr>
  </w:style>
  <w:style w:type="character" w:customStyle="1" w:styleId="Charf4">
    <w:name w:val="서명 Char"/>
    <w:basedOn w:val="a2"/>
    <w:link w:val="aff7"/>
    <w:semiHidden/>
    <w:rsid w:val="00792DCE"/>
    <w:rPr>
      <w:rFonts w:ascii="Times New Roman" w:hAnsi="Times New Roman" w:cs="Times New Roman"/>
      <w:kern w:val="0"/>
      <w:sz w:val="24"/>
      <w:szCs w:val="20"/>
      <w:lang w:eastAsia="en-US"/>
    </w:rPr>
  </w:style>
  <w:style w:type="paragraph" w:styleId="aff8">
    <w:name w:val="Subtitle"/>
    <w:basedOn w:val="a1"/>
    <w:next w:val="a1"/>
    <w:link w:val="Charf5"/>
    <w:qFormat/>
    <w:rsid w:val="00792DCE"/>
    <w:pPr>
      <w:spacing w:after="60"/>
      <w:jc w:val="center"/>
      <w:outlineLvl w:val="1"/>
    </w:pPr>
    <w:rPr>
      <w:rFonts w:ascii="Cambria" w:hAnsi="Cambria"/>
      <w:szCs w:val="24"/>
    </w:rPr>
  </w:style>
  <w:style w:type="character" w:customStyle="1" w:styleId="Charf5">
    <w:name w:val="부제 Char"/>
    <w:basedOn w:val="a2"/>
    <w:link w:val="aff8"/>
    <w:rsid w:val="00792DCE"/>
    <w:rPr>
      <w:rFonts w:ascii="Cambria" w:hAnsi="Cambria" w:cs="Times New Roman"/>
      <w:kern w:val="0"/>
      <w:sz w:val="24"/>
      <w:szCs w:val="24"/>
      <w:lang w:eastAsia="en-US"/>
    </w:rPr>
  </w:style>
  <w:style w:type="paragraph" w:styleId="aff9">
    <w:name w:val="table of authorities"/>
    <w:basedOn w:val="a1"/>
    <w:next w:val="a1"/>
    <w:semiHidden/>
    <w:rsid w:val="00792DCE"/>
    <w:pPr>
      <w:ind w:left="240" w:hanging="240"/>
    </w:pPr>
  </w:style>
  <w:style w:type="paragraph" w:styleId="affa">
    <w:name w:val="table of figures"/>
    <w:basedOn w:val="a1"/>
    <w:next w:val="a1"/>
    <w:semiHidden/>
    <w:rsid w:val="00792DCE"/>
  </w:style>
  <w:style w:type="paragraph" w:styleId="affb">
    <w:name w:val="Title"/>
    <w:basedOn w:val="a1"/>
    <w:next w:val="a1"/>
    <w:link w:val="Charf6"/>
    <w:qFormat/>
    <w:rsid w:val="00792DCE"/>
    <w:pPr>
      <w:spacing w:before="240" w:after="60"/>
      <w:jc w:val="center"/>
      <w:outlineLvl w:val="0"/>
    </w:pPr>
    <w:rPr>
      <w:rFonts w:ascii="Cambria" w:hAnsi="Cambria"/>
      <w:b/>
      <w:bCs/>
      <w:kern w:val="28"/>
      <w:sz w:val="32"/>
      <w:szCs w:val="32"/>
    </w:rPr>
  </w:style>
  <w:style w:type="character" w:customStyle="1" w:styleId="Charf6">
    <w:name w:val="제목 Char"/>
    <w:basedOn w:val="a2"/>
    <w:link w:val="affb"/>
    <w:rsid w:val="00792DCE"/>
    <w:rPr>
      <w:rFonts w:ascii="Cambria" w:hAnsi="Cambria" w:cs="Times New Roman"/>
      <w:b/>
      <w:bCs/>
      <w:kern w:val="28"/>
      <w:sz w:val="32"/>
      <w:szCs w:val="32"/>
      <w:lang w:eastAsia="en-US"/>
    </w:rPr>
  </w:style>
  <w:style w:type="paragraph" w:styleId="affc">
    <w:name w:val="toa heading"/>
    <w:basedOn w:val="a1"/>
    <w:next w:val="a1"/>
    <w:semiHidden/>
    <w:rsid w:val="00792DCE"/>
    <w:pPr>
      <w:spacing w:before="120"/>
    </w:pPr>
    <w:rPr>
      <w:rFonts w:ascii="Cambria" w:hAnsi="Cambria"/>
      <w:b/>
      <w:bCs/>
      <w:szCs w:val="24"/>
    </w:rPr>
  </w:style>
  <w:style w:type="paragraph" w:styleId="11">
    <w:name w:val="toc 1"/>
    <w:basedOn w:val="a1"/>
    <w:next w:val="a1"/>
    <w:autoRedefine/>
    <w:semiHidden/>
    <w:rsid w:val="00792DCE"/>
  </w:style>
  <w:style w:type="paragraph" w:styleId="28">
    <w:name w:val="toc 2"/>
    <w:basedOn w:val="a1"/>
    <w:next w:val="a1"/>
    <w:autoRedefine/>
    <w:semiHidden/>
    <w:rsid w:val="00792DCE"/>
    <w:pPr>
      <w:ind w:left="240"/>
    </w:pPr>
  </w:style>
  <w:style w:type="paragraph" w:styleId="37">
    <w:name w:val="toc 3"/>
    <w:basedOn w:val="a1"/>
    <w:next w:val="a1"/>
    <w:autoRedefine/>
    <w:semiHidden/>
    <w:rsid w:val="00792DCE"/>
    <w:pPr>
      <w:ind w:left="480"/>
    </w:pPr>
  </w:style>
  <w:style w:type="paragraph" w:styleId="45">
    <w:name w:val="toc 4"/>
    <w:basedOn w:val="a1"/>
    <w:next w:val="a1"/>
    <w:autoRedefine/>
    <w:semiHidden/>
    <w:rsid w:val="00792DCE"/>
    <w:pPr>
      <w:ind w:left="720"/>
    </w:pPr>
  </w:style>
  <w:style w:type="paragraph" w:styleId="55">
    <w:name w:val="toc 5"/>
    <w:basedOn w:val="a1"/>
    <w:next w:val="a1"/>
    <w:autoRedefine/>
    <w:semiHidden/>
    <w:rsid w:val="00792DCE"/>
    <w:pPr>
      <w:ind w:left="960"/>
    </w:pPr>
  </w:style>
  <w:style w:type="paragraph" w:styleId="61">
    <w:name w:val="toc 6"/>
    <w:basedOn w:val="a1"/>
    <w:next w:val="a1"/>
    <w:autoRedefine/>
    <w:semiHidden/>
    <w:rsid w:val="00792DCE"/>
    <w:pPr>
      <w:ind w:left="1200"/>
    </w:pPr>
  </w:style>
  <w:style w:type="paragraph" w:styleId="71">
    <w:name w:val="toc 7"/>
    <w:basedOn w:val="a1"/>
    <w:next w:val="a1"/>
    <w:autoRedefine/>
    <w:semiHidden/>
    <w:rsid w:val="00792DCE"/>
    <w:pPr>
      <w:ind w:left="1440"/>
    </w:pPr>
  </w:style>
  <w:style w:type="paragraph" w:styleId="81">
    <w:name w:val="toc 8"/>
    <w:basedOn w:val="a1"/>
    <w:next w:val="a1"/>
    <w:autoRedefine/>
    <w:semiHidden/>
    <w:rsid w:val="00792DCE"/>
    <w:pPr>
      <w:ind w:left="1680"/>
    </w:pPr>
  </w:style>
  <w:style w:type="paragraph" w:styleId="91">
    <w:name w:val="toc 9"/>
    <w:basedOn w:val="a1"/>
    <w:next w:val="a1"/>
    <w:autoRedefine/>
    <w:semiHidden/>
    <w:rsid w:val="00792DCE"/>
    <w:pPr>
      <w:ind w:left="1920"/>
    </w:pPr>
  </w:style>
  <w:style w:type="paragraph" w:styleId="TOC">
    <w:name w:val="TOC Heading"/>
    <w:basedOn w:val="1"/>
    <w:next w:val="a1"/>
    <w:uiPriority w:val="39"/>
    <w:semiHidden/>
    <w:unhideWhenUsed/>
    <w:qFormat/>
    <w:rsid w:val="00792DCE"/>
    <w:pPr>
      <w:spacing w:before="240" w:after="60"/>
      <w:outlineLvl w:val="9"/>
    </w:pPr>
    <w:rPr>
      <w:rFonts w:ascii="Cambria" w:eastAsiaTheme="minorEastAsia" w:hAnsi="Cambria" w:cs="Times New Roman"/>
      <w:b/>
      <w:bCs/>
      <w:kern w:val="32"/>
      <w:sz w:val="32"/>
      <w:szCs w:val="32"/>
    </w:rPr>
  </w:style>
  <w:style w:type="character" w:styleId="affd">
    <w:name w:val="Hyperlink"/>
    <w:basedOn w:val="a2"/>
    <w:semiHidden/>
    <w:rsid w:val="00792DCE"/>
    <w:rPr>
      <w:color w:val="0000FF"/>
      <w:u w:val="single"/>
    </w:rPr>
  </w:style>
  <w:style w:type="character" w:styleId="affe">
    <w:name w:val="Emphasis"/>
    <w:basedOn w:val="a2"/>
    <w:uiPriority w:val="20"/>
    <w:qFormat/>
    <w:rsid w:val="00792DCE"/>
    <w:rPr>
      <w:i/>
      <w:iCs/>
    </w:rPr>
  </w:style>
  <w:style w:type="character" w:styleId="afff">
    <w:name w:val="annotation reference"/>
    <w:basedOn w:val="a2"/>
    <w:semiHidden/>
    <w:rsid w:val="00792DCE"/>
    <w:rPr>
      <w:sz w:val="16"/>
      <w:szCs w:val="16"/>
    </w:rPr>
  </w:style>
  <w:style w:type="character" w:styleId="afff0">
    <w:name w:val="FollowedHyperlink"/>
    <w:basedOn w:val="a2"/>
    <w:semiHidden/>
    <w:unhideWhenUsed/>
    <w:rsid w:val="00792DCE"/>
    <w:rPr>
      <w:color w:val="954F72" w:themeColor="followedHyperlink"/>
      <w:u w:val="single"/>
    </w:rPr>
  </w:style>
  <w:style w:type="table" w:styleId="afff1">
    <w:name w:val="Table Grid"/>
    <w:basedOn w:val="a3"/>
    <w:uiPriority w:val="39"/>
    <w:rsid w:val="00792DC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298</TotalTime>
  <Pages>1</Pages>
  <Words>29051</Words>
  <Characters>165597</Characters>
  <Application>Microsoft Office Word</Application>
  <DocSecurity>0</DocSecurity>
  <Lines>1379</Lines>
  <Paragraphs>388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194260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YuJinhyeok</dc:creator>
  <cp:keywords/>
  <dc:description/>
  <cp:lastModifiedBy>YuJinhyeok</cp:lastModifiedBy>
  <cp:revision>198</cp:revision>
  <cp:lastPrinted>2022-09-05T06:55:00Z</cp:lastPrinted>
  <dcterms:created xsi:type="dcterms:W3CDTF">2022-09-01T06:58:00Z</dcterms:created>
  <dcterms:modified xsi:type="dcterms:W3CDTF">2022-09-06T10:41:00Z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zotero-version="6.0.13"&gt;&lt;session id="BgEcpeGB"/&gt;&lt;style id="http://www.zotero.org/styles/nature" hasBibliography="1" bibliographyStyleHasBeenSet="1"/&gt;&lt;prefs&gt;&lt;pref name="fieldType" value="Field"/&gt;&lt;/prefs&gt;&lt;/data&gt;</vt:lpwstr>
  </property>
</Properties>
</file>