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DC2" w:rsidRPr="00274DC2" w:rsidRDefault="00274DC2" w:rsidP="00274DC2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4DC2">
        <w:rPr>
          <w:rFonts w:ascii="Times New Roman" w:eastAsia="Franklin Gothic Book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274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Material</w:t>
      </w:r>
    </w:p>
    <w:p w:rsidR="00274DC2" w:rsidRPr="00274DC2" w:rsidRDefault="002B32AA" w:rsidP="00274DC2">
      <w:pPr>
        <w:spacing w:line="360" w:lineRule="auto"/>
        <w:jc w:val="left"/>
        <w:rPr>
          <w:rFonts w:ascii="Times New Roman" w:eastAsia="Franklin Gothic Book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EC1125">
        <w:rPr>
          <w:rFonts w:ascii="Times New Roman" w:hAnsi="Times New Roman" w:hint="eastAsia"/>
          <w:b/>
          <w:sz w:val="24"/>
          <w:szCs w:val="24"/>
        </w:rPr>
        <w:t>T</w:t>
      </w:r>
      <w:r w:rsidRPr="00EC1125">
        <w:rPr>
          <w:rFonts w:ascii="Times New Roman" w:hAnsi="Times New Roman"/>
          <w:b/>
          <w:sz w:val="24"/>
          <w:szCs w:val="24"/>
        </w:rPr>
        <w:t xml:space="preserve">able </w:t>
      </w:r>
      <w:r>
        <w:rPr>
          <w:rFonts w:ascii="Times New Roman" w:hAnsi="Times New Roman"/>
          <w:b/>
          <w:sz w:val="24"/>
          <w:szCs w:val="24"/>
        </w:rPr>
        <w:t>S1</w:t>
      </w:r>
      <w:r w:rsidRPr="0027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DC2" w:rsidRPr="0027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DC2" w:rsidRPr="00274DC2">
        <w:rPr>
          <w:rFonts w:ascii="Times New Roman" w:eastAsia="Franklin Gothic Book" w:hAnsi="Times New Roman" w:cs="Times New Roman"/>
          <w:color w:val="000000" w:themeColor="text1"/>
          <w:sz w:val="24"/>
          <w:szCs w:val="24"/>
        </w:rPr>
        <w:t>Comparison of the serum antibody levels of healthy donors (HDs) vs. those of patients with transient ischemic attack (TIA) or acute ischemic stroke (AIS).</w:t>
      </w:r>
      <w:bookmarkStart w:id="0" w:name="_GoBack"/>
      <w:bookmarkEnd w:id="0"/>
    </w:p>
    <w:tbl>
      <w:tblPr>
        <w:tblW w:w="67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9"/>
        <w:gridCol w:w="2181"/>
        <w:gridCol w:w="1356"/>
        <w:gridCol w:w="1356"/>
        <w:gridCol w:w="1356"/>
      </w:tblGrid>
      <w:tr w:rsidR="002B32AA" w:rsidRPr="00564715" w:rsidTr="00274DC2">
        <w:trPr>
          <w:trHeight w:val="270"/>
        </w:trPr>
        <w:tc>
          <w:tcPr>
            <w:tcW w:w="2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Sample information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HD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TIA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AIS</w:t>
            </w: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Total sample number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228</w:t>
            </w: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Male/Female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87/52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23/21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130/98</w:t>
            </w: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Age (Average ± SD)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51.8 ± 12.7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68.5 ± 12.1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77.0 ± 11.1</w:t>
            </w: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2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Alpha analysis (antibody level)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s-GADD34-Ab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HD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Cutoff value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2,095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(%)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6.5%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TIA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1,388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914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(%)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sz w:val="18"/>
                <w:szCs w:val="18"/>
              </w:rPr>
              <w:t>13.6%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5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7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(TIA vs HD)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AIS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1,444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764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4715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(%)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sz w:val="18"/>
                <w:szCs w:val="18"/>
              </w:rPr>
              <w:t>18.0%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274DC2">
        <w:trPr>
          <w:trHeight w:val="270"/>
        </w:trPr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5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7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AIS vs HD)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B32AA" w:rsidRPr="00274DC2" w:rsidRDefault="00274DC2" w:rsidP="00274DC2">
      <w:pPr>
        <w:spacing w:line="276" w:lineRule="auto"/>
        <w:rPr>
          <w:rFonts w:ascii="Times New Roman" w:hAnsi="Times New Roman"/>
          <w:sz w:val="20"/>
          <w:szCs w:val="20"/>
        </w:rPr>
      </w:pPr>
      <w:r w:rsidRPr="00274DC2">
        <w:rPr>
          <w:rFonts w:ascii="Times New Roman" w:hAnsi="Times New Roman"/>
          <w:sz w:val="20"/>
          <w:szCs w:val="20"/>
        </w:rPr>
        <w:t xml:space="preserve">Upper panel indicates the numbers of total samples and samples from male and female samples as well as ages [average ± standard deviation (SD)]. The lower panel summarizes the serum antibody levels (Alpha photon counts) examined by AlphaLISA using purified </w:t>
      </w:r>
      <w:r>
        <w:rPr>
          <w:rFonts w:ascii="Times New Roman" w:hAnsi="Times New Roman"/>
          <w:sz w:val="20"/>
          <w:szCs w:val="20"/>
        </w:rPr>
        <w:t>GADD34</w:t>
      </w:r>
      <w:r w:rsidRPr="00274DC2">
        <w:rPr>
          <w:rFonts w:ascii="Times New Roman" w:hAnsi="Times New Roman"/>
          <w:sz w:val="20"/>
          <w:szCs w:val="20"/>
        </w:rPr>
        <w:t xml:space="preserve">-GST protein as an antigen. Cutoff values were determined as the average HD values plus two SD, and positive samples higher than the cutoff value were scored. P values were calculated using the Kruskal-Wallis test. </w:t>
      </w:r>
      <w:r w:rsidRPr="005715D1">
        <w:rPr>
          <w:rFonts w:ascii="Times New Roman" w:hAnsi="Times New Roman"/>
          <w:sz w:val="20"/>
          <w:szCs w:val="20"/>
        </w:rPr>
        <w:t xml:space="preserve">P </w:t>
      </w:r>
      <w:r w:rsidRPr="00274DC2">
        <w:rPr>
          <w:rFonts w:ascii="Times New Roman" w:hAnsi="Times New Roman"/>
          <w:sz w:val="20"/>
          <w:szCs w:val="20"/>
        </w:rPr>
        <w:t>values &lt;0.05 and positive rates &gt;10% are marked in bold text. A scatter dot plot of the</w:t>
      </w:r>
      <w:r>
        <w:rPr>
          <w:rFonts w:ascii="Times New Roman" w:hAnsi="Times New Roman"/>
          <w:sz w:val="20"/>
          <w:szCs w:val="20"/>
        </w:rPr>
        <w:t xml:space="preserve"> same results is shown in Fig. 1</w:t>
      </w:r>
      <w:r w:rsidRPr="00274DC2">
        <w:rPr>
          <w:rFonts w:ascii="Times New Roman" w:hAnsi="Times New Roman"/>
          <w:sz w:val="20"/>
          <w:szCs w:val="20"/>
        </w:rPr>
        <w:t>a.</w:t>
      </w:r>
    </w:p>
    <w:p w:rsidR="002B32AA" w:rsidRDefault="002B32AA" w:rsidP="002B32AA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B32AA" w:rsidRPr="002D2A5F" w:rsidRDefault="002B32AA" w:rsidP="002D2A5F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Supplementary Table S2</w:t>
      </w:r>
      <w:r w:rsidR="002D2A5F" w:rsidRPr="002D2A5F">
        <w:rPr>
          <w:rFonts w:ascii="Times New Roman" w:hAnsi="Times New Roman"/>
          <w:sz w:val="24"/>
          <w:szCs w:val="24"/>
        </w:rPr>
        <w:t xml:space="preserve">  Comparison of s-</w:t>
      </w:r>
      <w:r w:rsidR="005715D1" w:rsidRPr="005715D1">
        <w:rPr>
          <w:rFonts w:ascii="Times New Roman" w:hAnsi="Times New Roman"/>
          <w:sz w:val="24"/>
          <w:szCs w:val="24"/>
        </w:rPr>
        <w:t>GADD34</w:t>
      </w:r>
      <w:r w:rsidR="002D2A5F" w:rsidRPr="002D2A5F">
        <w:rPr>
          <w:rFonts w:ascii="Times New Roman" w:hAnsi="Times New Roman"/>
          <w:sz w:val="24"/>
          <w:szCs w:val="24"/>
        </w:rPr>
        <w:t>-Ab levels of HDs versus those of patients with chronic kidney disease (CKD).</w:t>
      </w:r>
    </w:p>
    <w:tbl>
      <w:tblPr>
        <w:tblW w:w="8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1"/>
        <w:gridCol w:w="2015"/>
        <w:gridCol w:w="1316"/>
        <w:gridCol w:w="1316"/>
        <w:gridCol w:w="1316"/>
        <w:gridCol w:w="1316"/>
      </w:tblGrid>
      <w:tr w:rsidR="002B32AA" w:rsidRPr="00564715" w:rsidTr="0097395D">
        <w:trPr>
          <w:trHeight w:val="270"/>
        </w:trPr>
        <w:tc>
          <w:tcPr>
            <w:tcW w:w="3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Sample information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HD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Type-1 CKD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Type-2 CKD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Type-3 CKD</w:t>
            </w: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Total sample number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Male/Female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44/38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106/39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21/11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70/53</w:t>
            </w: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Age (Average ± SD)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44.1 ± 11.2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66.0 ± 10.4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76.0 ± 9.8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62.0 ± 11.7</w:t>
            </w: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3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Alpha analysis (antibody level)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5715D1">
            <w:pPr>
              <w:widowControl/>
              <w:ind w:leftChars="-83" w:left="-1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s-GADD34-Ab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HD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Cutoff value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2,369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rate (%)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7.3%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Type 1-CKD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2,006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2,085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rate (%)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27.6%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5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7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(vs HD)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Type 2-CKD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1,635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rate (%)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18.8%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5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7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(vs HD)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Type 3-CKD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1,438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1,158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No.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Positive rate (%)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16.3%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32AA" w:rsidRPr="00564715" w:rsidTr="0097395D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5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7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4715">
              <w:rPr>
                <w:rFonts w:ascii="Arial" w:hAnsi="Arial" w:cs="Arial"/>
                <w:color w:val="000000"/>
                <w:sz w:val="18"/>
                <w:szCs w:val="18"/>
              </w:rPr>
              <w:t>(vs HD)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4715">
              <w:rPr>
                <w:rFonts w:ascii="Arial" w:hAnsi="Arial" w:cs="Arial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2AA" w:rsidRPr="00564715" w:rsidRDefault="002B32AA" w:rsidP="0097395D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00547" w:rsidRPr="008C3165" w:rsidRDefault="002D2A5F" w:rsidP="008C3165">
      <w:pPr>
        <w:spacing w:line="276" w:lineRule="auto"/>
        <w:jc w:val="left"/>
        <w:rPr>
          <w:rFonts w:ascii="Times New Roman" w:hAnsi="Times New Roman"/>
          <w:sz w:val="20"/>
          <w:szCs w:val="20"/>
        </w:rPr>
      </w:pPr>
      <w:r w:rsidRPr="002D2A5F">
        <w:rPr>
          <w:rFonts w:ascii="Times New Roman" w:hAnsi="Times New Roman"/>
          <w:sz w:val="20"/>
          <w:szCs w:val="20"/>
        </w:rPr>
        <w:t xml:space="preserve">Types-1, -2, and -3 CKDs correspond to diabetic kidney disease, nephrosclerosis, and glomerulonephritis, respectively. The upper panel indicates the numbers of all samples and samples from males and females as well as age (average ± SD). The lower panel summarizes the serum antibody levels examined by AlphaLISA using purified </w:t>
      </w:r>
      <w:r w:rsidR="005715D1" w:rsidRPr="005715D1">
        <w:rPr>
          <w:rFonts w:ascii="Times New Roman" w:hAnsi="Times New Roman"/>
          <w:sz w:val="20"/>
          <w:szCs w:val="20"/>
        </w:rPr>
        <w:t>GADD34</w:t>
      </w:r>
      <w:r w:rsidRPr="002D2A5F">
        <w:rPr>
          <w:rFonts w:ascii="Times New Roman" w:hAnsi="Times New Roman"/>
          <w:sz w:val="20"/>
          <w:szCs w:val="20"/>
        </w:rPr>
        <w:t>-GST protein as an antigen as described in the legend of Table S1. A scatter dot plot of the</w:t>
      </w:r>
      <w:r>
        <w:rPr>
          <w:rFonts w:ascii="Times New Roman" w:hAnsi="Times New Roman"/>
          <w:sz w:val="20"/>
          <w:szCs w:val="20"/>
        </w:rPr>
        <w:t xml:space="preserve"> same results is shown in Fig. 1c</w:t>
      </w:r>
      <w:r w:rsidRPr="002D2A5F">
        <w:rPr>
          <w:rFonts w:ascii="Times New Roman" w:hAnsi="Times New Roman"/>
          <w:sz w:val="20"/>
          <w:szCs w:val="20"/>
        </w:rPr>
        <w:t>.</w:t>
      </w:r>
    </w:p>
    <w:sectPr w:rsidR="00500547" w:rsidRPr="008C31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CFF" w:rsidRDefault="00562CFF" w:rsidP="009B5576">
      <w:r>
        <w:separator/>
      </w:r>
    </w:p>
  </w:endnote>
  <w:endnote w:type="continuationSeparator" w:id="0">
    <w:p w:rsidR="00562CFF" w:rsidRDefault="00562CFF" w:rsidP="009B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CFF" w:rsidRDefault="00562CFF" w:rsidP="009B5576">
      <w:r>
        <w:separator/>
      </w:r>
    </w:p>
  </w:footnote>
  <w:footnote w:type="continuationSeparator" w:id="0">
    <w:p w:rsidR="00562CFF" w:rsidRDefault="00562CFF" w:rsidP="009B5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AA"/>
    <w:rsid w:val="00274DC2"/>
    <w:rsid w:val="002B32AA"/>
    <w:rsid w:val="002D2A5F"/>
    <w:rsid w:val="00500547"/>
    <w:rsid w:val="00562CFF"/>
    <w:rsid w:val="005715D1"/>
    <w:rsid w:val="008C3165"/>
    <w:rsid w:val="009B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449F0E-BC5A-40C3-AEEC-1C72460E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576"/>
  </w:style>
  <w:style w:type="paragraph" w:styleId="a5">
    <w:name w:val="footer"/>
    <w:basedOn w:val="a"/>
    <w:link w:val="a6"/>
    <w:uiPriority w:val="99"/>
    <w:unhideWhenUsed/>
    <w:rsid w:val="009B5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2022-09-21T05:57:00Z</dcterms:created>
  <dcterms:modified xsi:type="dcterms:W3CDTF">2022-09-21T11:33:00Z</dcterms:modified>
</cp:coreProperties>
</file>