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29A96B" w14:textId="155E0162" w:rsidR="00695545" w:rsidRPr="00365A2E" w:rsidRDefault="007227DA" w:rsidP="00365A2E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F07D7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>4</w:t>
      </w:r>
      <w:r w:rsidRPr="006F07D7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. Analyses 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of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colon</w:t>
      </w:r>
      <w:r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trauma </w:t>
      </w:r>
      <w:r w:rsidRPr="006F07D7">
        <w:rPr>
          <w:rFonts w:ascii="Times New Roman" w:hAnsi="Times New Roman" w:cs="Times New Roman"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everity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by </w:t>
      </w:r>
      <w:r w:rsidRPr="004D4533">
        <w:rPr>
          <w:rFonts w:ascii="Times New Roman" w:hAnsi="Times New Roman" w:cs="Times New Roman"/>
          <w:sz w:val="24"/>
          <w:szCs w:val="24"/>
          <w:lang w:val="en-US"/>
        </w:rPr>
        <w:t>Colon Injury Scale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 relation to </w:t>
      </w:r>
      <w:r w:rsidRPr="003C3D2B">
        <w:rPr>
          <w:rFonts w:ascii="Times New Roman" w:hAnsi="Times New Roman" w:cs="Times New Roman"/>
          <w:sz w:val="24"/>
          <w:szCs w:val="24"/>
          <w:lang w:val="en-US"/>
        </w:rPr>
        <w:t>hollow-point bullets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or </w:t>
      </w:r>
      <w:r w:rsidRPr="003C3D2B">
        <w:rPr>
          <w:rFonts w:ascii="Times New Roman" w:hAnsi="Times New Roman" w:cs="Times New Roman"/>
          <w:sz w:val="24"/>
          <w:szCs w:val="24"/>
          <w:lang w:val="en-US"/>
        </w:rPr>
        <w:t>shape</w:t>
      </w:r>
      <w:r w:rsidRPr="003C3D2B">
        <w:rPr>
          <w:rFonts w:ascii="Times New Roman" w:hAnsi="Times New Roman" w:cs="Times New Roman"/>
          <w:sz w:val="24"/>
          <w:szCs w:val="24"/>
          <w:lang w:val="uk-UA"/>
        </w:rPr>
        <w:t>-</w:t>
      </w:r>
      <w:r w:rsidRPr="003C3D2B">
        <w:rPr>
          <w:rFonts w:ascii="Times New Roman" w:hAnsi="Times New Roman" w:cs="Times New Roman"/>
          <w:sz w:val="24"/>
          <w:szCs w:val="24"/>
          <w:lang w:val="en-US"/>
        </w:rPr>
        <w:t>stable bullets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injury </w:t>
      </w:r>
    </w:p>
    <w:tbl>
      <w:tblPr>
        <w:tblW w:w="9240" w:type="dxa"/>
        <w:tblLayout w:type="fixed"/>
        <w:tblLook w:val="04A0" w:firstRow="1" w:lastRow="0" w:firstColumn="1" w:lastColumn="0" w:noHBand="0" w:noVBand="1"/>
      </w:tblPr>
      <w:tblGrid>
        <w:gridCol w:w="1518"/>
        <w:gridCol w:w="1171"/>
        <w:gridCol w:w="1417"/>
        <w:gridCol w:w="1418"/>
        <w:gridCol w:w="1417"/>
        <w:gridCol w:w="1134"/>
        <w:gridCol w:w="1154"/>
        <w:gridCol w:w="11"/>
      </w:tblGrid>
      <w:tr w:rsidR="007E246A" w:rsidRPr="007E246A" w14:paraId="3D4E302B" w14:textId="77777777" w:rsidTr="007E246A">
        <w:trPr>
          <w:gridAfter w:val="1"/>
          <w:wAfter w:w="11" w:type="dxa"/>
        </w:trPr>
        <w:tc>
          <w:tcPr>
            <w:tcW w:w="26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99"/>
            <w:noWrap/>
            <w:vAlign w:val="center"/>
            <w:hideMark/>
          </w:tcPr>
          <w:p w14:paraId="3E5527F1" w14:textId="652D7809" w:rsidR="007E246A" w:rsidRPr="002F7086" w:rsidRDefault="002F7086" w:rsidP="007E246A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2F7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Colon Injury Scale</w:t>
            </w:r>
            <w:r w:rsidRPr="002F7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(CIS) parameters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  <w:hideMark/>
          </w:tcPr>
          <w:p w14:paraId="63EA199F" w14:textId="77777777" w:rsidR="007E246A" w:rsidRPr="0034010F" w:rsidRDefault="007E246A" w:rsidP="007E246A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Bullet type groups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26E5D722" w14:textId="77777777" w:rsidR="007E246A" w:rsidRDefault="007E246A" w:rsidP="007E246A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All wounded</w:t>
            </w:r>
          </w:p>
          <w:p w14:paraId="5A7AFC2E" w14:textId="77777777" w:rsidR="007E246A" w:rsidRPr="0034010F" w:rsidRDefault="007E246A" w:rsidP="007E246A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 = 112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99"/>
            <w:vAlign w:val="center"/>
            <w:hideMark/>
          </w:tcPr>
          <w:p w14:paraId="1014E436" w14:textId="64766272" w:rsidR="007E246A" w:rsidRPr="0034010F" w:rsidRDefault="007E246A" w:rsidP="007E246A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χ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value</w:t>
            </w:r>
          </w:p>
        </w:tc>
        <w:tc>
          <w:tcPr>
            <w:tcW w:w="115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99"/>
            <w:vAlign w:val="center"/>
          </w:tcPr>
          <w:p w14:paraId="3B295FD5" w14:textId="2CAB976B" w:rsidR="007E246A" w:rsidRPr="0034010F" w:rsidRDefault="007E246A" w:rsidP="007E246A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 value</w:t>
            </w:r>
          </w:p>
        </w:tc>
      </w:tr>
      <w:tr w:rsidR="007E246A" w:rsidRPr="002F7086" w14:paraId="66D221E8" w14:textId="77777777" w:rsidTr="007E246A">
        <w:trPr>
          <w:gridAfter w:val="1"/>
          <w:wAfter w:w="11" w:type="dxa"/>
          <w:trHeight w:val="698"/>
        </w:trPr>
        <w:tc>
          <w:tcPr>
            <w:tcW w:w="26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7B9AA787" w14:textId="77777777" w:rsidR="007E246A" w:rsidRPr="0034010F" w:rsidRDefault="007E246A" w:rsidP="00077A72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hideMark/>
          </w:tcPr>
          <w:p w14:paraId="382EAF84" w14:textId="77777777" w:rsidR="007E246A" w:rsidRDefault="007E246A" w:rsidP="00077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Injured by </w:t>
            </w:r>
            <w:r w:rsidRPr="00C865E9">
              <w:rPr>
                <w:rFonts w:ascii="Times New Roman" w:hAnsi="Times New Roman" w:cs="Times New Roman"/>
                <w:lang w:val="en-US"/>
              </w:rPr>
              <w:t>Shape</w:t>
            </w:r>
            <w:r w:rsidRPr="00C865E9">
              <w:rPr>
                <w:rFonts w:ascii="Times New Roman" w:hAnsi="Times New Roman" w:cs="Times New Roman"/>
                <w:lang w:val="uk-UA"/>
              </w:rPr>
              <w:t>-</w:t>
            </w:r>
            <w:r w:rsidRPr="00C865E9">
              <w:rPr>
                <w:rFonts w:ascii="Times New Roman" w:hAnsi="Times New Roman" w:cs="Times New Roman"/>
                <w:lang w:val="en-US"/>
              </w:rPr>
              <w:t>stable</w:t>
            </w:r>
            <w:r w:rsidRPr="00C865E9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C865E9">
              <w:rPr>
                <w:rFonts w:ascii="Times New Roman" w:hAnsi="Times New Roman" w:cs="Times New Roman"/>
                <w:lang w:val="en-US"/>
              </w:rPr>
              <w:t>bullets</w:t>
            </w:r>
          </w:p>
          <w:p w14:paraId="3497D39B" w14:textId="72102667" w:rsidR="007E246A" w:rsidRPr="0034010F" w:rsidRDefault="007E246A" w:rsidP="00077A72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 = 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CD5B4"/>
            <w:hideMark/>
          </w:tcPr>
          <w:p w14:paraId="012D7468" w14:textId="77777777" w:rsidR="007E246A" w:rsidRDefault="007E246A" w:rsidP="00077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cs="Times New Roman"/>
                <w:lang w:val="en-US"/>
              </w:rPr>
              <w:t>Injured</w:t>
            </w:r>
            <w:r w:rsidRPr="00C865E9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by </w:t>
            </w:r>
            <w:r w:rsidRPr="00C865E9">
              <w:rPr>
                <w:rFonts w:ascii="Times New Roman" w:hAnsi="Times New Roman" w:cs="Times New Roman"/>
                <w:lang w:val="en-US"/>
              </w:rPr>
              <w:t>Hollow</w:t>
            </w:r>
            <w:r w:rsidRPr="00C865E9">
              <w:rPr>
                <w:rFonts w:ascii="Times New Roman" w:hAnsi="Times New Roman" w:cs="Times New Roman"/>
                <w:lang w:val="uk-UA"/>
              </w:rPr>
              <w:t>-</w:t>
            </w:r>
            <w:r w:rsidRPr="00C865E9">
              <w:rPr>
                <w:rFonts w:ascii="Times New Roman" w:hAnsi="Times New Roman" w:cs="Times New Roman"/>
                <w:lang w:val="en-US"/>
              </w:rPr>
              <w:t>point</w:t>
            </w:r>
            <w:r w:rsidRPr="00C865E9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C865E9">
              <w:rPr>
                <w:rFonts w:ascii="Times New Roman" w:hAnsi="Times New Roman" w:cs="Times New Roman"/>
                <w:lang w:val="en-US"/>
              </w:rPr>
              <w:t>bullets</w:t>
            </w:r>
          </w:p>
          <w:p w14:paraId="21B6EBC1" w14:textId="47D77473" w:rsidR="007E246A" w:rsidRPr="0034010F" w:rsidRDefault="007E246A" w:rsidP="00077A72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 = 43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17F0E07" w14:textId="77777777" w:rsidR="007E246A" w:rsidRPr="0034010F" w:rsidRDefault="007E246A" w:rsidP="00077A72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662D1BB" w14:textId="77777777" w:rsidR="007E246A" w:rsidRPr="0034010F" w:rsidRDefault="007E246A" w:rsidP="00077A72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5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49DDE4" w14:textId="6DEC8979" w:rsidR="007E246A" w:rsidRPr="0034010F" w:rsidRDefault="007E246A" w:rsidP="00077A72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ED6116" w:rsidRPr="0034010F" w14:paraId="2257D1A2" w14:textId="77777777" w:rsidTr="007E246A">
        <w:trPr>
          <w:gridAfter w:val="1"/>
          <w:wAfter w:w="11" w:type="dxa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6A6A6"/>
            </w:tcBorders>
            <w:shd w:val="clear" w:color="000000" w:fill="FFFF99"/>
            <w:noWrap/>
            <w:vAlign w:val="center"/>
            <w:hideMark/>
          </w:tcPr>
          <w:p w14:paraId="6EDD1B82" w14:textId="6602AD4B" w:rsidR="00ED6116" w:rsidRPr="0034010F" w:rsidRDefault="002F708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CIS stage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33753BD2" w14:textId="77777777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034E8A91" w14:textId="28431C55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(40.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C44478E" w14:textId="77FF4C93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(0.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48DA70A" w14:textId="314B84CA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(25.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194DE8C1" w14:textId="0F4457E2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27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5CE6EE7B" w14:textId="26F7CB47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&lt;0.0001</w:t>
            </w:r>
          </w:p>
        </w:tc>
      </w:tr>
      <w:tr w:rsidR="00ED6116" w:rsidRPr="0034010F" w14:paraId="5B44AE9F" w14:textId="77777777" w:rsidTr="007E246A">
        <w:trPr>
          <w:gridAfter w:val="1"/>
          <w:wAfter w:w="11" w:type="dxa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1E11EB60" w14:textId="77777777" w:rsidR="00ED6116" w:rsidRPr="0034010F" w:rsidRDefault="00ED6116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307F8C35" w14:textId="77777777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35954B31" w14:textId="4A2B6190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(44.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2E7AEAB8" w14:textId="00E9F722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(53.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198D25" w14:textId="4499CD05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(48.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E489956" w14:textId="497FB17F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78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322F4A5D" w14:textId="7169FDB4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0.38</w:t>
            </w:r>
          </w:p>
        </w:tc>
      </w:tr>
      <w:tr w:rsidR="00ED6116" w:rsidRPr="0034010F" w14:paraId="2EA61BF7" w14:textId="77777777" w:rsidTr="007E246A">
        <w:trPr>
          <w:gridAfter w:val="1"/>
          <w:wAfter w:w="11" w:type="dxa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74EBE59F" w14:textId="77777777" w:rsidR="00ED6116" w:rsidRPr="0034010F" w:rsidRDefault="00ED6116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18D4F921" w14:textId="77777777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119652F5" w14:textId="564A5CE7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(10.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49A42140" w14:textId="0C1C7336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(25.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93DEDE" w14:textId="33E8F422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(16.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51D9D4F9" w14:textId="4084641A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68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CCC24A2" w14:textId="4A8385F6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0.031</w:t>
            </w:r>
          </w:p>
        </w:tc>
      </w:tr>
      <w:tr w:rsidR="00ED6116" w:rsidRPr="0034010F" w14:paraId="2393313C" w14:textId="77777777" w:rsidTr="007E246A">
        <w:trPr>
          <w:gridAfter w:val="1"/>
          <w:wAfter w:w="11" w:type="dxa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358BA6A7" w14:textId="77777777" w:rsidR="00ED6116" w:rsidRPr="0034010F" w:rsidRDefault="00ED6116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498518ED" w14:textId="77777777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IV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1082EA70" w14:textId="2EFB0DBA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(2.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08134A90" w14:textId="7CBC45A7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(16.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D00675" w14:textId="431BE6CA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(8.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1C949238" w14:textId="47BF80B9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42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0ABA2E69" w14:textId="438E91B6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0.011</w:t>
            </w:r>
          </w:p>
        </w:tc>
      </w:tr>
      <w:tr w:rsidR="00ED6116" w:rsidRPr="0034010F" w14:paraId="135AED06" w14:textId="77777777" w:rsidTr="007E246A">
        <w:trPr>
          <w:gridAfter w:val="1"/>
          <w:wAfter w:w="11" w:type="dxa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60D4A263" w14:textId="77777777" w:rsidR="00ED6116" w:rsidRPr="0034010F" w:rsidRDefault="00ED6116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586696C4" w14:textId="77777777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V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4E5B64B3" w14:textId="4BCA0413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(1.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8F3FC74" w14:textId="45967F4C" w:rsidR="00ED6116" w:rsidRPr="0034010F" w:rsidRDefault="00ED6116" w:rsidP="00ED6116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(4.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725891" w14:textId="7AF01A72" w:rsidR="00ED6116" w:rsidRPr="0034010F" w:rsidRDefault="00ED6116" w:rsidP="001C2F6A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</w:t>
            </w:r>
            <w:r w:rsidR="001C2F6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(2.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7%</w:t>
            </w:r>
            <w:r w:rsidR="001C2F6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6ABC779C" w14:textId="12426700" w:rsidR="00ED6116" w:rsidRPr="0034010F" w:rsidRDefault="00ED6116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  <w:r w:rsidR="001C2F6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04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5B4579B5" w14:textId="4BC36505" w:rsidR="00ED6116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="00ED6116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31</w:t>
            </w:r>
          </w:p>
        </w:tc>
      </w:tr>
      <w:tr w:rsidR="006F54EE" w:rsidRPr="0034010F" w14:paraId="2EC43857" w14:textId="77777777" w:rsidTr="00023430">
        <w:trPr>
          <w:gridAfter w:val="1"/>
          <w:wAfter w:w="11" w:type="dxa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vAlign w:val="center"/>
            <w:hideMark/>
          </w:tcPr>
          <w:p w14:paraId="2243B19C" w14:textId="77777777" w:rsidR="006F54EE" w:rsidRPr="0034010F" w:rsidRDefault="006F54EE" w:rsidP="006F54E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χ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-test for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CIS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, df = 4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1A016A84" w14:textId="77777777" w:rsidR="006F54EE" w:rsidRPr="0034010F" w:rsidRDefault="006F54EE" w:rsidP="006F54E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χ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43601050" w14:textId="243CF774" w:rsidR="006F54EE" w:rsidRPr="0034010F" w:rsidRDefault="006F54EE" w:rsidP="006F54E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54.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shd w:val="clear" w:color="000000" w:fill="FCD5B4"/>
            <w:noWrap/>
            <w:vAlign w:val="center"/>
            <w:hideMark/>
          </w:tcPr>
          <w:p w14:paraId="575E960B" w14:textId="386FD526" w:rsidR="006F54EE" w:rsidRPr="0034010F" w:rsidRDefault="006F54EE" w:rsidP="006F54E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32.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62AEFAB0" w14:textId="05CA300F" w:rsidR="006F54EE" w:rsidRPr="0034010F" w:rsidRDefault="006F54EE" w:rsidP="006F54E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64.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auto" w:fill="auto"/>
            <w:noWrap/>
            <w:hideMark/>
          </w:tcPr>
          <w:p w14:paraId="6DD411D8" w14:textId="3676F63A" w:rsidR="006F54EE" w:rsidRPr="0034010F" w:rsidRDefault="006F54EE" w:rsidP="006F54E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462D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n/a </w:t>
            </w:r>
          </w:p>
        </w:tc>
        <w:tc>
          <w:tcPr>
            <w:tcW w:w="115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7BBD787C" w14:textId="449E0EAA" w:rsidR="006F54EE" w:rsidRPr="0034010F" w:rsidRDefault="006F54EE" w:rsidP="006F54E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462D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n/a </w:t>
            </w:r>
          </w:p>
        </w:tc>
      </w:tr>
      <w:tr w:rsidR="00695545" w:rsidRPr="0034010F" w14:paraId="399DC0AD" w14:textId="77777777" w:rsidTr="007E246A">
        <w:trPr>
          <w:gridAfter w:val="1"/>
          <w:wAfter w:w="11" w:type="dxa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38B22EDB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6BC6BD1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p-value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2580E5C1" w14:textId="5EC1813E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&lt;0.</w:t>
            </w:r>
            <w:r w:rsidR="00695545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0001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14:paraId="5CFAD2C3" w14:textId="79E3B669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&lt;0.</w:t>
            </w:r>
            <w:r w:rsidR="00695545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0001</w:t>
            </w:r>
          </w:p>
        </w:tc>
        <w:tc>
          <w:tcPr>
            <w:tcW w:w="1417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1D745EC7" w14:textId="3C07CDEB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mc:AlternateContent>
                <mc:Choice Requires="cx1">
                  <w:drawing>
                    <wp:anchor distT="0" distB="0" distL="114300" distR="114300" simplePos="0" relativeHeight="251659264" behindDoc="0" locked="0" layoutInCell="1" allowOverlap="1" wp14:anchorId="340E2139" wp14:editId="1FF32FE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172085</wp:posOffset>
                      </wp:positionV>
                      <wp:extent cx="2343150" cy="2559050"/>
                      <wp:effectExtent l="0" t="0" r="0" b="12700"/>
                      <wp:wrapNone/>
                      <wp:docPr id="5" name="Диаграмма 5"/>
                      <wp:cNvGraphicFramePr/>
                      <a:graphic xmlns:a="http://schemas.openxmlformats.org/drawingml/2006/main">
                        <a:graphicData uri="http://schemas.microsoft.com/office/drawing/2014/chartex">
                          <cx:chart xmlns:cx="http://schemas.microsoft.com/office/drawing/2014/chartex" xmlns:r="http://schemas.openxmlformats.org/officeDocument/2006/relationships" r:id="rId4"/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drawing>
                    <wp:anchor distT="0" distB="0" distL="114300" distR="114300" simplePos="0" relativeHeight="251659264" behindDoc="0" locked="0" layoutInCell="1" allowOverlap="1" wp14:anchorId="340E2139" wp14:editId="1FF32FE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172085</wp:posOffset>
                      </wp:positionV>
                      <wp:extent cx="2343150" cy="2559050"/>
                      <wp:effectExtent l="0" t="0" r="0" b="12700"/>
                      <wp:wrapNone/>
                      <wp:docPr id="5" name="Диаграмма 5"/>
                      <wp:cNvGraphicFramePr>
                        <a:graphicFrameLocks xmlns:a="http://schemas.openxmlformats.org/drawingml/2006/main" noGrp="1" noDrilldown="1" noSelect="1" noChangeAspect="1" noMove="1" noResize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5" name="Диаграмма 5"/>
                              <pic:cNvPicPr>
                                <a:picLocks noGrp="1" noRot="1" noChangeAspect="1" noMove="1" noResize="1" noEditPoints="1" noAdjustHandles="1" noChangeArrowheads="1" noChangeShapeType="1"/>
                              </pic:cNvPicPr>
                            </pic:nvPicPr>
                            <pic:blipFill>
                              <a:blip r:embed="rId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43150" cy="255905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Fallback>
              </mc:AlternateContent>
            </w:r>
            <w:r w:rsidR="001C2F6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&lt;0.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0001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6A6A6"/>
            </w:tcBorders>
            <w:vAlign w:val="center"/>
            <w:hideMark/>
          </w:tcPr>
          <w:p w14:paraId="1464CD44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35C6D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1C66AD33" w14:textId="77777777" w:rsidTr="003F1C8E">
        <w:tc>
          <w:tcPr>
            <w:tcW w:w="15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shd w:val="clear" w:color="000000" w:fill="FFFF99"/>
            <w:vAlign w:val="center"/>
            <w:hideMark/>
          </w:tcPr>
          <w:p w14:paraId="73F58915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Descriptive statistic for groups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D98DB79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5C2879B6" w14:textId="2C1B6E13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7D22345" w14:textId="420CE4FE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72</w:t>
            </w:r>
          </w:p>
        </w:tc>
        <w:tc>
          <w:tcPr>
            <w:tcW w:w="371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tbl>
            <w:tblPr>
              <w:tblW w:w="373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35"/>
            </w:tblGrid>
            <w:tr w:rsidR="00695545" w:rsidRPr="0034010F" w14:paraId="5593E35A" w14:textId="77777777" w:rsidTr="003F1C8E">
              <w:trPr>
                <w:trHeight w:val="300"/>
                <w:tblCellSpacing w:w="0" w:type="dxa"/>
              </w:trPr>
              <w:tc>
                <w:tcPr>
                  <w:tcW w:w="37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9FD3F9" w14:textId="77777777" w:rsidR="00695545" w:rsidRPr="0034010F" w:rsidRDefault="00695545" w:rsidP="003F1C8E">
                  <w:pPr>
                    <w:spacing w:after="0" w:line="264" w:lineRule="auto"/>
                    <w:rPr>
                      <w:rFonts w:ascii="Times New Roman" w:eastAsia="Times New Roman" w:hAnsi="Times New Roman" w:cs="Times New Roman"/>
                      <w:color w:val="000000"/>
                      <w:lang w:val="en-US" w:eastAsia="ru-RU"/>
                    </w:rPr>
                  </w:pPr>
                </w:p>
              </w:tc>
            </w:tr>
          </w:tbl>
          <w:p w14:paraId="2585E31E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5F79DA7F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2A0F32F4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42281AD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SD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5AD584D1" w14:textId="1DD94837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85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4C551DE4" w14:textId="56890648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91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971B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2872ADD2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60C0255C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4666117D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SD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54B9C4CC" w14:textId="1C9F55CD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72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5BF9E86" w14:textId="0EA65642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83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16168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5F2E1664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52831F5D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0B5716F8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SEM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2718D5F4" w14:textId="152020F2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ED4AB68" w14:textId="2BE755B2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14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B6B5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1B2AD3C5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061DF5F7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4671ACF8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12056E54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56643E2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3E38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3C13C3F2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550AF5EC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08931E8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V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 w:eastAsia="ru-RU"/>
              </w:rPr>
              <w:t>R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4A4C5C95" w14:textId="1EDA3073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222.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6%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6E88AF05" w14:textId="03BC20C9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110.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3%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4C6E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7C21D6BC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5D50E64A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039F9AC0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V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 w:eastAsia="ru-RU"/>
              </w:rPr>
              <w:t>d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1D006083" w14:textId="3CFFEB15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36.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0%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283543D" w14:textId="52793DAD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28.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3%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3690C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4F3DE228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3937E15C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FCD5207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V</w:t>
            </w:r>
            <w:r w:rsidRPr="0034010F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 w:eastAsia="ru-RU"/>
              </w:rPr>
              <w:t>σ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72D09495" w14:textId="410A07D2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47.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3%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46E10141" w14:textId="25F32968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33.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4%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EE75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29FAFD13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141A08B4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45CC91A5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CQD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53FC3FE1" w14:textId="7C278D69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33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0F2B8BE2" w14:textId="16DE166D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20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21B38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2F0B20B4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1CCB918E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489BAB49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Mo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1706D9ED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CE31ABB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7CA2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2F371CD2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58F268AA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66A62257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Me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0E80429E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69886729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A7FD7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30287259" w14:textId="77777777" w:rsidTr="003F1C8E">
        <w:tc>
          <w:tcPr>
            <w:tcW w:w="15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6A6A6"/>
            </w:tcBorders>
            <w:vAlign w:val="center"/>
            <w:hideMark/>
          </w:tcPr>
          <w:p w14:paraId="7059633A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30409817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IQR</w:t>
            </w:r>
          </w:p>
        </w:tc>
        <w:tc>
          <w:tcPr>
            <w:tcW w:w="1417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3917731D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53A7E152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BF30F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7E046DF6" w14:textId="77777777" w:rsidTr="003F1C8E"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vAlign w:val="center"/>
            <w:hideMark/>
          </w:tcPr>
          <w:p w14:paraId="1AB78964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One-way ANOVA 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0E1E78A1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F</w:t>
            </w:r>
            <w:r w:rsidRPr="00AA3E2D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 w:eastAsia="ru-RU"/>
              </w:rPr>
              <w:t>(1, 110)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42066DEA" w14:textId="515816D3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29.</w:t>
            </w:r>
            <w:r w:rsidR="00695545"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67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710B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695545" w:rsidRPr="0034010F" w14:paraId="707E31D0" w14:textId="77777777" w:rsidTr="003F1C8E"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0AFB74B3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6BB8B417" w14:textId="77777777" w:rsidR="00695545" w:rsidRPr="0034010F" w:rsidRDefault="00695545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34010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p-value</w:t>
            </w:r>
          </w:p>
        </w:tc>
        <w:tc>
          <w:tcPr>
            <w:tcW w:w="2835" w:type="dxa"/>
            <w:gridSpan w:val="2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7E1D7FC" w14:textId="1F7A0928" w:rsidR="00695545" w:rsidRPr="0034010F" w:rsidRDefault="001C2F6A" w:rsidP="003F1C8E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&lt;0.</w:t>
            </w:r>
            <w:r w:rsidR="00695545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0001</w:t>
            </w:r>
          </w:p>
        </w:tc>
        <w:tc>
          <w:tcPr>
            <w:tcW w:w="371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9B51" w14:textId="77777777" w:rsidR="00695545" w:rsidRPr="0034010F" w:rsidRDefault="00695545" w:rsidP="003F1C8E">
            <w:pPr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</w:tbl>
    <w:p w14:paraId="3449EC07" w14:textId="2FAF5DB3" w:rsidR="00695545" w:rsidRPr="00E675F5" w:rsidRDefault="00695545" w:rsidP="00695545">
      <w:pPr>
        <w:spacing w:after="160" w:line="259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34010F">
        <w:rPr>
          <w:rFonts w:ascii="Times New Roman" w:hAnsi="Times New Roman" w:cs="Times New Roman"/>
          <w:sz w:val="24"/>
          <w:lang w:val="en-US"/>
        </w:rPr>
        <w:t>Table notes: ANOV</w:t>
      </w:r>
      <w:r w:rsidR="007227DA">
        <w:rPr>
          <w:rFonts w:ascii="Times New Roman" w:hAnsi="Times New Roman" w:cs="Times New Roman"/>
          <w:sz w:val="24"/>
          <w:lang w:val="en-US"/>
        </w:rPr>
        <w:t>A</w:t>
      </w:r>
      <w:r w:rsidRPr="0034010F">
        <w:rPr>
          <w:rFonts w:ascii="Times New Roman" w:hAnsi="Times New Roman" w:cs="Times New Roman"/>
          <w:sz w:val="24"/>
          <w:lang w:val="en-US"/>
        </w:rPr>
        <w:t xml:space="preserve"> – Analysis of Variance</w:t>
      </w:r>
      <w:r>
        <w:rPr>
          <w:rFonts w:ascii="Times New Roman" w:hAnsi="Times New Roman" w:cs="Times New Roman"/>
          <w:sz w:val="24"/>
          <w:lang w:val="en-US"/>
        </w:rPr>
        <w:t>; R – range of the sample</w:t>
      </w:r>
      <w:r>
        <w:rPr>
          <w:rFonts w:ascii="Times New Roman" w:hAnsi="Times New Roman" w:cs="Times New Roman"/>
          <w:sz w:val="24"/>
          <w:lang w:val="uk-UA"/>
        </w:rPr>
        <w:t xml:space="preserve">; </w:t>
      </w:r>
      <w:r>
        <w:rPr>
          <w:rFonts w:ascii="Times New Roman" w:hAnsi="Times New Roman" w:cs="Times New Roman"/>
          <w:sz w:val="24"/>
          <w:lang w:val="en-US"/>
        </w:rPr>
        <w:t>SEM – standard error of mean value;</w:t>
      </w:r>
      <w:r w:rsidRPr="00E675F5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F – </w:t>
      </w:r>
      <w:r w:rsidRPr="005C3193">
        <w:rPr>
          <w:rFonts w:ascii="Times New Roman" w:hAnsi="Times New Roman" w:cs="Times New Roman"/>
          <w:sz w:val="24"/>
          <w:lang w:val="en-US"/>
        </w:rPr>
        <w:t>inverse</w:t>
      </w:r>
      <w:r>
        <w:rPr>
          <w:rFonts w:ascii="Times New Roman" w:hAnsi="Times New Roman" w:cs="Times New Roman"/>
          <w:sz w:val="24"/>
          <w:lang w:val="en-US"/>
        </w:rPr>
        <w:t xml:space="preserve"> value of the cumulative F-d</w:t>
      </w:r>
      <w:r w:rsidRPr="005C3193">
        <w:rPr>
          <w:rFonts w:ascii="Times New Roman" w:hAnsi="Times New Roman" w:cs="Times New Roman"/>
          <w:sz w:val="24"/>
          <w:lang w:val="en-US"/>
        </w:rPr>
        <w:t>istribution</w:t>
      </w:r>
      <w:r>
        <w:rPr>
          <w:rFonts w:ascii="Times New Roman" w:hAnsi="Times New Roman" w:cs="Times New Roman"/>
          <w:sz w:val="24"/>
          <w:lang w:val="en-US"/>
        </w:rPr>
        <w:t xml:space="preserve">; </w:t>
      </w:r>
      <w:r>
        <w:rPr>
          <w:rFonts w:ascii="Times New Roman" w:hAnsi="Times New Roman" w:cs="Times New Roman"/>
          <w:sz w:val="24"/>
          <w:szCs w:val="24"/>
          <w:lang w:val="en-US"/>
        </w:rPr>
        <w:t>statistical values – see endnotes for table 1</w:t>
      </w:r>
      <w:r w:rsidR="006F54EE">
        <w:rPr>
          <w:rFonts w:ascii="Times New Roman" w:hAnsi="Times New Roman" w:cs="Times New Roman"/>
          <w:sz w:val="24"/>
          <w:szCs w:val="24"/>
          <w:lang w:val="en-US"/>
        </w:rPr>
        <w:t>, n/a – not applicable</w:t>
      </w:r>
    </w:p>
    <w:p w14:paraId="12F09EF0" w14:textId="77777777" w:rsidR="00695545" w:rsidRPr="00225688" w:rsidRDefault="00695545" w:rsidP="00695545">
      <w:pPr>
        <w:spacing w:after="160" w:line="259" w:lineRule="auto"/>
        <w:rPr>
          <w:lang w:val="en-US"/>
        </w:rPr>
      </w:pPr>
    </w:p>
    <w:p w14:paraId="777C900B" w14:textId="77777777" w:rsidR="004B2B53" w:rsidRPr="00695545" w:rsidRDefault="004B2B53">
      <w:pPr>
        <w:rPr>
          <w:lang w:val="en-US"/>
        </w:rPr>
      </w:pPr>
    </w:p>
    <w:sectPr w:rsidR="004B2B53" w:rsidRPr="006955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545"/>
    <w:rsid w:val="00017920"/>
    <w:rsid w:val="000273E2"/>
    <w:rsid w:val="00043109"/>
    <w:rsid w:val="000444AF"/>
    <w:rsid w:val="00055438"/>
    <w:rsid w:val="00077A72"/>
    <w:rsid w:val="00091FB0"/>
    <w:rsid w:val="000B2E00"/>
    <w:rsid w:val="000B340D"/>
    <w:rsid w:val="000B6E9E"/>
    <w:rsid w:val="000C6E59"/>
    <w:rsid w:val="000C6EFD"/>
    <w:rsid w:val="000D0D04"/>
    <w:rsid w:val="000D5DA8"/>
    <w:rsid w:val="000D678E"/>
    <w:rsid w:val="000E7720"/>
    <w:rsid w:val="000F263A"/>
    <w:rsid w:val="00111792"/>
    <w:rsid w:val="001161C8"/>
    <w:rsid w:val="00125092"/>
    <w:rsid w:val="00137A36"/>
    <w:rsid w:val="00142634"/>
    <w:rsid w:val="00150556"/>
    <w:rsid w:val="001562E1"/>
    <w:rsid w:val="00162D7B"/>
    <w:rsid w:val="001771C7"/>
    <w:rsid w:val="00180C6D"/>
    <w:rsid w:val="001B7F99"/>
    <w:rsid w:val="001C02F4"/>
    <w:rsid w:val="001C2B0E"/>
    <w:rsid w:val="001C2F6A"/>
    <w:rsid w:val="001D1095"/>
    <w:rsid w:val="001D49B3"/>
    <w:rsid w:val="001E66D8"/>
    <w:rsid w:val="001F111C"/>
    <w:rsid w:val="001F18BE"/>
    <w:rsid w:val="001F2E7D"/>
    <w:rsid w:val="001F5339"/>
    <w:rsid w:val="001F5E23"/>
    <w:rsid w:val="001F7708"/>
    <w:rsid w:val="00200454"/>
    <w:rsid w:val="00201CB5"/>
    <w:rsid w:val="00214C04"/>
    <w:rsid w:val="00217EE5"/>
    <w:rsid w:val="00221241"/>
    <w:rsid w:val="00222CB3"/>
    <w:rsid w:val="0025157D"/>
    <w:rsid w:val="0026244F"/>
    <w:rsid w:val="00271FCF"/>
    <w:rsid w:val="002770FF"/>
    <w:rsid w:val="00277742"/>
    <w:rsid w:val="00287A76"/>
    <w:rsid w:val="00296A1F"/>
    <w:rsid w:val="002A4199"/>
    <w:rsid w:val="002B12EB"/>
    <w:rsid w:val="002B6B67"/>
    <w:rsid w:val="002C28D4"/>
    <w:rsid w:val="002C40C8"/>
    <w:rsid w:val="002E09FE"/>
    <w:rsid w:val="002E11F5"/>
    <w:rsid w:val="002E787C"/>
    <w:rsid w:val="002F073A"/>
    <w:rsid w:val="002F0BE1"/>
    <w:rsid w:val="002F7086"/>
    <w:rsid w:val="00307594"/>
    <w:rsid w:val="00314F61"/>
    <w:rsid w:val="00320F85"/>
    <w:rsid w:val="00321214"/>
    <w:rsid w:val="003212F3"/>
    <w:rsid w:val="003273F4"/>
    <w:rsid w:val="00327A24"/>
    <w:rsid w:val="00331791"/>
    <w:rsid w:val="003369A1"/>
    <w:rsid w:val="00340C38"/>
    <w:rsid w:val="003469F8"/>
    <w:rsid w:val="00354840"/>
    <w:rsid w:val="00365A2E"/>
    <w:rsid w:val="003821BC"/>
    <w:rsid w:val="00382C4C"/>
    <w:rsid w:val="00383E5A"/>
    <w:rsid w:val="00385AC3"/>
    <w:rsid w:val="0039240A"/>
    <w:rsid w:val="003A3C27"/>
    <w:rsid w:val="003B1F8D"/>
    <w:rsid w:val="003D23B6"/>
    <w:rsid w:val="0040040E"/>
    <w:rsid w:val="00403971"/>
    <w:rsid w:val="00415FEA"/>
    <w:rsid w:val="004160B2"/>
    <w:rsid w:val="004175DB"/>
    <w:rsid w:val="00417D84"/>
    <w:rsid w:val="00420FBA"/>
    <w:rsid w:val="00432547"/>
    <w:rsid w:val="00442D37"/>
    <w:rsid w:val="00464D9B"/>
    <w:rsid w:val="0047052B"/>
    <w:rsid w:val="004738F9"/>
    <w:rsid w:val="004776B7"/>
    <w:rsid w:val="0048006B"/>
    <w:rsid w:val="004A5557"/>
    <w:rsid w:val="004A5707"/>
    <w:rsid w:val="004B2B53"/>
    <w:rsid w:val="004C23FA"/>
    <w:rsid w:val="004D5E5E"/>
    <w:rsid w:val="004E179B"/>
    <w:rsid w:val="004E493B"/>
    <w:rsid w:val="004E734C"/>
    <w:rsid w:val="004F3FFE"/>
    <w:rsid w:val="0050595A"/>
    <w:rsid w:val="00512E77"/>
    <w:rsid w:val="00525B51"/>
    <w:rsid w:val="00533777"/>
    <w:rsid w:val="00535F73"/>
    <w:rsid w:val="00540DF8"/>
    <w:rsid w:val="00543011"/>
    <w:rsid w:val="0054708B"/>
    <w:rsid w:val="005474C5"/>
    <w:rsid w:val="00551311"/>
    <w:rsid w:val="005543C6"/>
    <w:rsid w:val="005651B0"/>
    <w:rsid w:val="00584442"/>
    <w:rsid w:val="00586476"/>
    <w:rsid w:val="00590F33"/>
    <w:rsid w:val="005B614A"/>
    <w:rsid w:val="005B7AAC"/>
    <w:rsid w:val="005D19D7"/>
    <w:rsid w:val="005D3E75"/>
    <w:rsid w:val="005E5CCB"/>
    <w:rsid w:val="006010ED"/>
    <w:rsid w:val="006143D5"/>
    <w:rsid w:val="00617B84"/>
    <w:rsid w:val="006317C6"/>
    <w:rsid w:val="00641A5F"/>
    <w:rsid w:val="00652182"/>
    <w:rsid w:val="006549B9"/>
    <w:rsid w:val="006700E4"/>
    <w:rsid w:val="00674055"/>
    <w:rsid w:val="006803AC"/>
    <w:rsid w:val="00684638"/>
    <w:rsid w:val="00694630"/>
    <w:rsid w:val="00695545"/>
    <w:rsid w:val="00696645"/>
    <w:rsid w:val="006976A8"/>
    <w:rsid w:val="006A1937"/>
    <w:rsid w:val="006A1BE4"/>
    <w:rsid w:val="006A39F5"/>
    <w:rsid w:val="006B1188"/>
    <w:rsid w:val="006B1F8A"/>
    <w:rsid w:val="006B51D2"/>
    <w:rsid w:val="006C74A3"/>
    <w:rsid w:val="006D5B12"/>
    <w:rsid w:val="006D5DE7"/>
    <w:rsid w:val="006D66FE"/>
    <w:rsid w:val="006F54EE"/>
    <w:rsid w:val="00701A1A"/>
    <w:rsid w:val="00704692"/>
    <w:rsid w:val="00716842"/>
    <w:rsid w:val="007227DA"/>
    <w:rsid w:val="007314DF"/>
    <w:rsid w:val="00747B1C"/>
    <w:rsid w:val="00755D35"/>
    <w:rsid w:val="007569C4"/>
    <w:rsid w:val="0077510E"/>
    <w:rsid w:val="00775656"/>
    <w:rsid w:val="00783504"/>
    <w:rsid w:val="007C2713"/>
    <w:rsid w:val="007C5C76"/>
    <w:rsid w:val="007D7E2F"/>
    <w:rsid w:val="007D7F33"/>
    <w:rsid w:val="007E246A"/>
    <w:rsid w:val="007F0D32"/>
    <w:rsid w:val="007F1D49"/>
    <w:rsid w:val="00802B41"/>
    <w:rsid w:val="008037C1"/>
    <w:rsid w:val="00813786"/>
    <w:rsid w:val="00817EA0"/>
    <w:rsid w:val="00821FC8"/>
    <w:rsid w:val="00834575"/>
    <w:rsid w:val="00847367"/>
    <w:rsid w:val="00857297"/>
    <w:rsid w:val="00865136"/>
    <w:rsid w:val="00880BA9"/>
    <w:rsid w:val="00882647"/>
    <w:rsid w:val="008832D8"/>
    <w:rsid w:val="00887D8E"/>
    <w:rsid w:val="008A25AB"/>
    <w:rsid w:val="008A4D8A"/>
    <w:rsid w:val="008B070D"/>
    <w:rsid w:val="008E0077"/>
    <w:rsid w:val="009131B7"/>
    <w:rsid w:val="00924A9B"/>
    <w:rsid w:val="00933AE8"/>
    <w:rsid w:val="009351FC"/>
    <w:rsid w:val="00942703"/>
    <w:rsid w:val="009718F4"/>
    <w:rsid w:val="00976A49"/>
    <w:rsid w:val="009B1F21"/>
    <w:rsid w:val="009B63D3"/>
    <w:rsid w:val="009D17D9"/>
    <w:rsid w:val="009F2810"/>
    <w:rsid w:val="00A17FD6"/>
    <w:rsid w:val="00A21569"/>
    <w:rsid w:val="00A273C9"/>
    <w:rsid w:val="00A403E1"/>
    <w:rsid w:val="00A42231"/>
    <w:rsid w:val="00A42509"/>
    <w:rsid w:val="00A44107"/>
    <w:rsid w:val="00A527D1"/>
    <w:rsid w:val="00A63737"/>
    <w:rsid w:val="00A66255"/>
    <w:rsid w:val="00A67E2A"/>
    <w:rsid w:val="00AA1031"/>
    <w:rsid w:val="00AA3684"/>
    <w:rsid w:val="00AA7CB6"/>
    <w:rsid w:val="00AB02A4"/>
    <w:rsid w:val="00AB4EFE"/>
    <w:rsid w:val="00AD0325"/>
    <w:rsid w:val="00AF4808"/>
    <w:rsid w:val="00AF4DD3"/>
    <w:rsid w:val="00AF73E9"/>
    <w:rsid w:val="00AF7854"/>
    <w:rsid w:val="00B023A9"/>
    <w:rsid w:val="00B133BE"/>
    <w:rsid w:val="00B2520A"/>
    <w:rsid w:val="00B42D5A"/>
    <w:rsid w:val="00B46183"/>
    <w:rsid w:val="00B46C9E"/>
    <w:rsid w:val="00B64E08"/>
    <w:rsid w:val="00B65268"/>
    <w:rsid w:val="00B7181D"/>
    <w:rsid w:val="00B738AF"/>
    <w:rsid w:val="00B73F42"/>
    <w:rsid w:val="00B757B2"/>
    <w:rsid w:val="00B9055F"/>
    <w:rsid w:val="00B96539"/>
    <w:rsid w:val="00B97E68"/>
    <w:rsid w:val="00BB128D"/>
    <w:rsid w:val="00BB1E4F"/>
    <w:rsid w:val="00BC20A8"/>
    <w:rsid w:val="00BD2945"/>
    <w:rsid w:val="00BD7B9C"/>
    <w:rsid w:val="00BF5D95"/>
    <w:rsid w:val="00BF7DD0"/>
    <w:rsid w:val="00C021B4"/>
    <w:rsid w:val="00C04FF6"/>
    <w:rsid w:val="00C216C9"/>
    <w:rsid w:val="00C30393"/>
    <w:rsid w:val="00C420C3"/>
    <w:rsid w:val="00C63FDD"/>
    <w:rsid w:val="00C72BC9"/>
    <w:rsid w:val="00C82D36"/>
    <w:rsid w:val="00C85F0E"/>
    <w:rsid w:val="00C91BD5"/>
    <w:rsid w:val="00CA2E9C"/>
    <w:rsid w:val="00CA3119"/>
    <w:rsid w:val="00CB29BC"/>
    <w:rsid w:val="00CB4F43"/>
    <w:rsid w:val="00CC4AE1"/>
    <w:rsid w:val="00CD4EAF"/>
    <w:rsid w:val="00CF0ADD"/>
    <w:rsid w:val="00CF0C35"/>
    <w:rsid w:val="00CF6822"/>
    <w:rsid w:val="00D004DB"/>
    <w:rsid w:val="00D14ABE"/>
    <w:rsid w:val="00D15EC5"/>
    <w:rsid w:val="00D17B38"/>
    <w:rsid w:val="00D218E1"/>
    <w:rsid w:val="00D27D8C"/>
    <w:rsid w:val="00D515A6"/>
    <w:rsid w:val="00D526BF"/>
    <w:rsid w:val="00D53492"/>
    <w:rsid w:val="00D550D0"/>
    <w:rsid w:val="00D56442"/>
    <w:rsid w:val="00D62D63"/>
    <w:rsid w:val="00D71E2A"/>
    <w:rsid w:val="00D72DB1"/>
    <w:rsid w:val="00D7412C"/>
    <w:rsid w:val="00D77913"/>
    <w:rsid w:val="00D933B4"/>
    <w:rsid w:val="00D9512F"/>
    <w:rsid w:val="00DA7B39"/>
    <w:rsid w:val="00DB21EF"/>
    <w:rsid w:val="00DC01AF"/>
    <w:rsid w:val="00DC3F80"/>
    <w:rsid w:val="00DE1788"/>
    <w:rsid w:val="00DE3DBC"/>
    <w:rsid w:val="00E006A5"/>
    <w:rsid w:val="00E016B4"/>
    <w:rsid w:val="00E15978"/>
    <w:rsid w:val="00E45D88"/>
    <w:rsid w:val="00E4715E"/>
    <w:rsid w:val="00E55670"/>
    <w:rsid w:val="00E610DB"/>
    <w:rsid w:val="00E625E1"/>
    <w:rsid w:val="00E63BB1"/>
    <w:rsid w:val="00E64E1E"/>
    <w:rsid w:val="00EA3150"/>
    <w:rsid w:val="00ED6116"/>
    <w:rsid w:val="00EE04A6"/>
    <w:rsid w:val="00EF418C"/>
    <w:rsid w:val="00EF6B74"/>
    <w:rsid w:val="00EF7211"/>
    <w:rsid w:val="00F204D5"/>
    <w:rsid w:val="00F2113B"/>
    <w:rsid w:val="00F373A2"/>
    <w:rsid w:val="00F37D75"/>
    <w:rsid w:val="00F50011"/>
    <w:rsid w:val="00F60647"/>
    <w:rsid w:val="00F76743"/>
    <w:rsid w:val="00F7725D"/>
    <w:rsid w:val="00F815A2"/>
    <w:rsid w:val="00F859B1"/>
    <w:rsid w:val="00FB5EAC"/>
    <w:rsid w:val="00FB68B1"/>
    <w:rsid w:val="00FB6BBD"/>
    <w:rsid w:val="00FF50C8"/>
    <w:rsid w:val="00FF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4A34334"/>
  <w15:chartTrackingRefBased/>
  <w15:docId w15:val="{AAE6657D-BE17-3C4C-A7D4-CAAA52458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54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microsoft.com/office/2014/relationships/chartEx" Target="charts/chartEx1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38063\Desktop\Colon%20injury%20Article\Statistics-3.xlsx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Лист4!$M$2:$M$113</cx:f>
        <cx:lvl ptCount="112">
          <cx:pt idx="0">Shape-stable</cx:pt>
          <cx:pt idx="1">Shape-stable</cx:pt>
          <cx:pt idx="2">Shape-stable</cx:pt>
          <cx:pt idx="3">Shape-stable</cx:pt>
          <cx:pt idx="4">Shape-stable</cx:pt>
          <cx:pt idx="5">Shape-stable</cx:pt>
          <cx:pt idx="6">Shape-stable</cx:pt>
          <cx:pt idx="7">Shape-stable</cx:pt>
          <cx:pt idx="8">Shape-stable</cx:pt>
          <cx:pt idx="9">Shape-stable</cx:pt>
          <cx:pt idx="10">Shape-stable</cx:pt>
          <cx:pt idx="11">Shape-stable</cx:pt>
          <cx:pt idx="12">Shape-stable</cx:pt>
          <cx:pt idx="13">Shape-stable</cx:pt>
          <cx:pt idx="14">Shape-stable</cx:pt>
          <cx:pt idx="15">Shape-stable</cx:pt>
          <cx:pt idx="16">Shape-stable</cx:pt>
          <cx:pt idx="17">Shape-stable</cx:pt>
          <cx:pt idx="18">Shape-stable</cx:pt>
          <cx:pt idx="19">Shape-stable</cx:pt>
          <cx:pt idx="20">Shape-stable</cx:pt>
          <cx:pt idx="21">Shape-stable</cx:pt>
          <cx:pt idx="22">Shape-stable</cx:pt>
          <cx:pt idx="23">Shape-stable</cx:pt>
          <cx:pt idx="24">Shape-stable</cx:pt>
          <cx:pt idx="25">Shape-stable</cx:pt>
          <cx:pt idx="26">Shape-stable</cx:pt>
          <cx:pt idx="27">Shape-stable</cx:pt>
          <cx:pt idx="28">Shape-stable</cx:pt>
          <cx:pt idx="29">Shape-stable</cx:pt>
          <cx:pt idx="30">Shape-stable</cx:pt>
          <cx:pt idx="31">Shape-stable</cx:pt>
          <cx:pt idx="32">Shape-stable</cx:pt>
          <cx:pt idx="33">Shape-stable</cx:pt>
          <cx:pt idx="34">Shape-stable</cx:pt>
          <cx:pt idx="35">Shape-stable</cx:pt>
          <cx:pt idx="36">Shape-stable</cx:pt>
          <cx:pt idx="37">Shape-stable</cx:pt>
          <cx:pt idx="38">Shape-stable</cx:pt>
          <cx:pt idx="39">Shape-stable</cx:pt>
          <cx:pt idx="40">Shape-stable</cx:pt>
          <cx:pt idx="41">Shape-stable</cx:pt>
          <cx:pt idx="42">Shape-stable</cx:pt>
          <cx:pt idx="43">Shape-stable</cx:pt>
          <cx:pt idx="44">Shape-stable</cx:pt>
          <cx:pt idx="45">Shape-stable</cx:pt>
          <cx:pt idx="46">Shape-stable</cx:pt>
          <cx:pt idx="47">Shape-stable</cx:pt>
          <cx:pt idx="48">Shape-stable</cx:pt>
          <cx:pt idx="49">Shape-stable</cx:pt>
          <cx:pt idx="50">Shape-stable</cx:pt>
          <cx:pt idx="51">Shape-stable</cx:pt>
          <cx:pt idx="52">Shape-stable</cx:pt>
          <cx:pt idx="53">Shape-stable</cx:pt>
          <cx:pt idx="54">Shape-stable</cx:pt>
          <cx:pt idx="55">Shape-stable</cx:pt>
          <cx:pt idx="56">Shape-stable</cx:pt>
          <cx:pt idx="57">Shape-stable</cx:pt>
          <cx:pt idx="58">Shape-stable</cx:pt>
          <cx:pt idx="59">Shape-stable</cx:pt>
          <cx:pt idx="60">Shape-stable</cx:pt>
          <cx:pt idx="61">Shape-stable</cx:pt>
          <cx:pt idx="62">Shape-stable</cx:pt>
          <cx:pt idx="63">Shape-stable</cx:pt>
          <cx:pt idx="64">Shape-stable</cx:pt>
          <cx:pt idx="65">Shape-stable</cx:pt>
          <cx:pt idx="66">Shape-stable</cx:pt>
          <cx:pt idx="67">Shape-stable</cx:pt>
          <cx:pt idx="68">Shape-stable</cx:pt>
          <cx:pt idx="69">Hollow-point</cx:pt>
          <cx:pt idx="70">Hollow-point</cx:pt>
          <cx:pt idx="71">Hollow-point</cx:pt>
          <cx:pt idx="72">Hollow-point</cx:pt>
          <cx:pt idx="73">Hollow-point</cx:pt>
          <cx:pt idx="74">Hollow-point</cx:pt>
          <cx:pt idx="75">Hollow-point</cx:pt>
          <cx:pt idx="76">Hollow-point</cx:pt>
          <cx:pt idx="77">Hollow-point</cx:pt>
          <cx:pt idx="78">Hollow-point</cx:pt>
          <cx:pt idx="79">Hollow-point</cx:pt>
          <cx:pt idx="80">Hollow-point</cx:pt>
          <cx:pt idx="81">Hollow-point</cx:pt>
          <cx:pt idx="82">Hollow-point</cx:pt>
          <cx:pt idx="83">Hollow-point</cx:pt>
          <cx:pt idx="84">Hollow-point</cx:pt>
          <cx:pt idx="85">Hollow-point</cx:pt>
          <cx:pt idx="86">Hollow-point</cx:pt>
          <cx:pt idx="87">Hollow-point</cx:pt>
          <cx:pt idx="88">Hollow-point</cx:pt>
          <cx:pt idx="89">Hollow-point</cx:pt>
          <cx:pt idx="90">Hollow-point</cx:pt>
          <cx:pt idx="91">Hollow-point</cx:pt>
          <cx:pt idx="92">Hollow-point</cx:pt>
          <cx:pt idx="93">Hollow-point</cx:pt>
          <cx:pt idx="94">Hollow-point</cx:pt>
          <cx:pt idx="95">Hollow-point</cx:pt>
          <cx:pt idx="96">Hollow-point</cx:pt>
          <cx:pt idx="97">Hollow-point</cx:pt>
          <cx:pt idx="98">Hollow-point</cx:pt>
          <cx:pt idx="99">Hollow-point</cx:pt>
          <cx:pt idx="100">Hollow-point</cx:pt>
          <cx:pt idx="101">Hollow-point</cx:pt>
          <cx:pt idx="102">Hollow-point</cx:pt>
          <cx:pt idx="103">Hollow-point</cx:pt>
          <cx:pt idx="104">Hollow-point</cx:pt>
          <cx:pt idx="105">Hollow-point</cx:pt>
          <cx:pt idx="106">Hollow-point</cx:pt>
          <cx:pt idx="107">Hollow-point</cx:pt>
          <cx:pt idx="108">Hollow-point</cx:pt>
          <cx:pt idx="109">Hollow-point</cx:pt>
          <cx:pt idx="110">Hollow-point</cx:pt>
          <cx:pt idx="111">Hollow-point</cx:pt>
        </cx:lvl>
      </cx:strDim>
      <cx:numDim type="val">
        <cx:f>Лист4!$N$2:$N$113</cx:f>
        <cx:lvl ptCount="112" formatCode="General">
          <cx:pt idx="0">1</cx:pt>
          <cx:pt idx="1">1</cx:pt>
          <cx:pt idx="2">1</cx:pt>
          <cx:pt idx="3">1</cx:pt>
          <cx:pt idx="4">1</cx:pt>
          <cx:pt idx="5">1</cx:pt>
          <cx:pt idx="6">1</cx:pt>
          <cx:pt idx="7">1</cx:pt>
          <cx:pt idx="8">1</cx:pt>
          <cx:pt idx="9">1</cx:pt>
          <cx:pt idx="10">1</cx:pt>
          <cx:pt idx="11">1</cx:pt>
          <cx:pt idx="12">1</cx:pt>
          <cx:pt idx="13">1</cx:pt>
          <cx:pt idx="14">1</cx:pt>
          <cx:pt idx="15">1</cx:pt>
          <cx:pt idx="16">1</cx:pt>
          <cx:pt idx="17">1</cx:pt>
          <cx:pt idx="18">1</cx:pt>
          <cx:pt idx="19">1</cx:pt>
          <cx:pt idx="20">1</cx:pt>
          <cx:pt idx="21">1</cx:pt>
          <cx:pt idx="22">1</cx:pt>
          <cx:pt idx="23">1</cx:pt>
          <cx:pt idx="24">1</cx:pt>
          <cx:pt idx="25">1</cx:pt>
          <cx:pt idx="26">1</cx:pt>
          <cx:pt idx="27">1</cx:pt>
          <cx:pt idx="28">2</cx:pt>
          <cx:pt idx="29">2</cx:pt>
          <cx:pt idx="30">2</cx:pt>
          <cx:pt idx="31">2</cx:pt>
          <cx:pt idx="32">2</cx:pt>
          <cx:pt idx="33">2</cx:pt>
          <cx:pt idx="34">2</cx:pt>
          <cx:pt idx="35">2</cx:pt>
          <cx:pt idx="36">2</cx:pt>
          <cx:pt idx="37">2</cx:pt>
          <cx:pt idx="38">2</cx:pt>
          <cx:pt idx="39">2</cx:pt>
          <cx:pt idx="40">2</cx:pt>
          <cx:pt idx="41">2</cx:pt>
          <cx:pt idx="42">2</cx:pt>
          <cx:pt idx="43">2</cx:pt>
          <cx:pt idx="44">2</cx:pt>
          <cx:pt idx="45">2</cx:pt>
          <cx:pt idx="46">2</cx:pt>
          <cx:pt idx="47">2</cx:pt>
          <cx:pt idx="48">2</cx:pt>
          <cx:pt idx="49">2</cx:pt>
          <cx:pt idx="50">2</cx:pt>
          <cx:pt idx="51">2</cx:pt>
          <cx:pt idx="52">2</cx:pt>
          <cx:pt idx="53">2</cx:pt>
          <cx:pt idx="54">2</cx:pt>
          <cx:pt idx="55">2</cx:pt>
          <cx:pt idx="56">2</cx:pt>
          <cx:pt idx="57">2</cx:pt>
          <cx:pt idx="58">2</cx:pt>
          <cx:pt idx="59">3</cx:pt>
          <cx:pt idx="60">3</cx:pt>
          <cx:pt idx="61">3</cx:pt>
          <cx:pt idx="62">3</cx:pt>
          <cx:pt idx="63">3</cx:pt>
          <cx:pt idx="64">3</cx:pt>
          <cx:pt idx="65">3</cx:pt>
          <cx:pt idx="66">4</cx:pt>
          <cx:pt idx="67">4</cx:pt>
          <cx:pt idx="68">5</cx:pt>
          <cx:pt idx="69">2</cx:pt>
          <cx:pt idx="70">2</cx:pt>
          <cx:pt idx="71">2</cx:pt>
          <cx:pt idx="72">2</cx:pt>
          <cx:pt idx="73">2</cx:pt>
          <cx:pt idx="74">2</cx:pt>
          <cx:pt idx="75">2</cx:pt>
          <cx:pt idx="76">2</cx:pt>
          <cx:pt idx="77">2</cx:pt>
          <cx:pt idx="78">2</cx:pt>
          <cx:pt idx="79">2</cx:pt>
          <cx:pt idx="80">2</cx:pt>
          <cx:pt idx="81">2</cx:pt>
          <cx:pt idx="82">2</cx:pt>
          <cx:pt idx="83">2</cx:pt>
          <cx:pt idx="84">2</cx:pt>
          <cx:pt idx="85">2</cx:pt>
          <cx:pt idx="86">2</cx:pt>
          <cx:pt idx="87">2</cx:pt>
          <cx:pt idx="88">2</cx:pt>
          <cx:pt idx="89">2</cx:pt>
          <cx:pt idx="90">2</cx:pt>
          <cx:pt idx="91">2</cx:pt>
          <cx:pt idx="92">3</cx:pt>
          <cx:pt idx="93">3</cx:pt>
          <cx:pt idx="94">3</cx:pt>
          <cx:pt idx="95">3</cx:pt>
          <cx:pt idx="96">3</cx:pt>
          <cx:pt idx="97">3</cx:pt>
          <cx:pt idx="98">3</cx:pt>
          <cx:pt idx="99">3</cx:pt>
          <cx:pt idx="100">3</cx:pt>
          <cx:pt idx="101">3</cx:pt>
          <cx:pt idx="102">3</cx:pt>
          <cx:pt idx="103">4</cx:pt>
          <cx:pt idx="104">4</cx:pt>
          <cx:pt idx="105">4</cx:pt>
          <cx:pt idx="106">4</cx:pt>
          <cx:pt idx="107">4</cx:pt>
          <cx:pt idx="108">4</cx:pt>
          <cx:pt idx="109">4</cx:pt>
          <cx:pt idx="110">5</cx:pt>
          <cx:pt idx="111">5</cx:pt>
        </cx:lvl>
      </cx:numDim>
    </cx:data>
  </cx:chartData>
  <cx:chart>
    <cx:title pos="t" align="ctr" overlay="0">
      <cx:tx>
        <cx:rich>
          <a:bodyPr rot="0" spcFirstLastPara="1" vertOverflow="ellipsis" vert="horz" wrap="square" lIns="0" tIns="0" rIns="0" bIns="0" anchor="ctr" anchorCtr="1"/>
          <a:lstStyle/>
          <a:p>
            <a:pPr algn="ctr">
              <a:defRPr sz="1100" baseline="0"/>
            </a:pPr>
            <a:r>
              <a:rPr lang="en-US" sz="1100" baseline="0">
                <a:latin typeface="Times New Roman" panose="02020603050405020304" pitchFamily="18" charset="0"/>
              </a:rPr>
              <a:t>Mean values of Colon Injury Scale in relation to bullet types</a:t>
            </a:r>
            <a:endParaRPr lang="ru-RU" sz="1100" baseline="0">
              <a:latin typeface="Times New Roman" panose="02020603050405020304" pitchFamily="18" charset="0"/>
            </a:endParaRPr>
          </a:p>
        </cx:rich>
      </cx:tx>
    </cx:title>
    <cx:plotArea>
      <cx:plotAreaRegion>
        <cx:plotSurface>
          <cx:spPr>
            <a:ln>
              <a:solidFill>
                <a:schemeClr val="accent1"/>
              </a:solidFill>
            </a:ln>
          </cx:spPr>
        </cx:plotSurface>
        <cx:series layoutId="boxWhisker" uniqueId="{A44039FA-D46E-48F6-8ED4-4344FD083010}">
          <cx:spPr>
            <a:solidFill>
              <a:schemeClr val="accent6">
                <a:lumMod val="40000"/>
                <a:lumOff val="60000"/>
              </a:schemeClr>
            </a:solidFill>
          </cx:spPr>
          <cx:dataLabels pos="b">
            <cx:numFmt formatCode="# ##0,00" sourceLinked="0"/>
            <cx:txPr>
              <a:bodyPr spcFirstLastPara="1" vertOverflow="ellipsis" wrap="square" lIns="0" tIns="0" rIns="0" bIns="0" anchor="ctr" anchorCtr="1"/>
              <a:lstStyle/>
              <a:p>
                <a:pPr>
                  <a:defRPr sz="1200" b="1" i="0" baseline="0">
                    <a:latin typeface="Times New Roman" panose="02020603050405020304" pitchFamily="18" charset="0"/>
                  </a:defRPr>
                </a:pPr>
                <a:endParaRPr lang="ru-RU" sz="1200" b="1" i="0" baseline="0">
                  <a:latin typeface="Times New Roman" panose="02020603050405020304" pitchFamily="18" charset="0"/>
                </a:endParaRPr>
              </a:p>
            </cx:txPr>
            <cx:visibility seriesName="0" categoryName="0" value="1"/>
            <cx:separator>, </cx:separator>
            <cx:dataLabelHidden idx="0"/>
            <cx:dataLabelHidden idx="65"/>
            <cx:dataLabelHidden idx="69"/>
            <cx:dataLabelHidden idx="70"/>
            <cx:dataLabelHidden idx="71"/>
            <cx:dataLabelHidden idx="73"/>
            <cx:dataLabelHidden idx="113"/>
            <cx:dataLabelHidden idx="116"/>
            <cx:dataLabelHidden idx="117"/>
            <cx:dataLabelHidden idx="118"/>
          </cx:dataLabels>
          <cx:dataId val="0"/>
          <cx:layoutPr>
            <cx:visibility meanLine="1" meanMarker="1" nonoutliers="0" outliers="0"/>
            <cx:statistics quartileMethod="exclusive"/>
          </cx:layoutPr>
        </cx:series>
      </cx:plotAreaRegion>
      <cx:axis id="0">
        <cx:catScaling gapWidth="1.5"/>
        <cx:tickLabels/>
        <cx:txPr>
          <a:bodyPr rot="-60000000" spcFirstLastPara="1" vertOverflow="ellipsis" vert="horz" wrap="square" lIns="0" tIns="0" rIns="0" bIns="0" anchor="ctr" anchorCtr="1"/>
          <a:lstStyle/>
          <a:p>
            <a:pPr>
              <a:defRPr sz="1000" baseline="0">
                <a:latin typeface="Times New Roman" panose="02020603050405020304" pitchFamily="18" charset="0"/>
              </a:defRPr>
            </a:pPr>
            <a:endParaRPr lang="ru-RU" sz="1000" baseline="0">
              <a:latin typeface="Times New Roman" panose="02020603050405020304" pitchFamily="18" charset="0"/>
            </a:endParaRPr>
          </a:p>
        </cx:txPr>
      </cx:axis>
      <cx:axis id="1">
        <cx:valScaling max="5" min="1"/>
        <cx:majorGridlines/>
        <cx:tickLabels/>
      </cx:axis>
    </cx:plotArea>
  </cx:chart>
  <cx:clrMapOvr bg1="lt1" tx1="dk1" bg2="lt2" tx2="dk2" accent1="accent1" accent2="accent2" accent3="accent3" accent4="accent4" accent5="accent5" accent6="accent6" hlink="hlink" folHlink="folHlink"/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40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baseline="0"/>
    <cs:bodyPr rot="-60000000" vert="horz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65000"/>
          <a:lumOff val="35000"/>
          <a:alpha val="75000"/>
        </a:schemeClr>
      </a:solidFill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lumMod val="60000"/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75000"/>
            <a:lumOff val="2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</cs:dropLine>
  <cs:errorBar>
    <cs:lnRef idx="0"/>
    <cs:fillRef idx="0"/>
    <cs:effectRef idx="0"/>
    <cs:fontRef idx="minor">
      <a:schemeClr val="dk1"/>
    </cs:fontRef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  <a:lumOff val="10000"/>
              </a:schemeClr>
            </a:gs>
            <a:gs pos="0">
              <a:schemeClr val="lt1">
                <a:lumMod val="75000"/>
                <a:alpha val="36000"/>
                <a:lumOff val="10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dk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/>
    <cs:bodyPr rot="-60000000" vert="horz"/>
  </cs:seriesAxis>
  <cs:seriesLine>
    <cs:lnRef idx="0"/>
    <cs:fillRef idx="0"/>
    <cs:effectRef idx="0"/>
    <cs:fontRef idx="minor">
      <a:schemeClr val="dk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  <cs:bodyPr rot="0" vert="horz"/>
  </cs:title>
  <cs:trendline>
    <cs:lnRef idx="0"/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lt1">
            <a:lumMod val="85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  <cs:bodyPr rot="-60000000" vert="horz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2022-05-18T18:55:00Z</dcterms:created>
  <dcterms:modified xsi:type="dcterms:W3CDTF">2022-05-22T20:10:00Z</dcterms:modified>
</cp:coreProperties>
</file>