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Ex1.xml" ContentType="application/vnd.ms-office.chartex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0B920" w14:textId="309588B7" w:rsidR="00A5395B" w:rsidRPr="0090303D" w:rsidRDefault="00A5395B" w:rsidP="00A5395B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p w14:paraId="6DEDE7B9" w14:textId="2DCB00D9" w:rsidR="00025B07" w:rsidRPr="006F07D7" w:rsidRDefault="00025B07" w:rsidP="00025B0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  <w:lang w:val="en-US"/>
        </w:rPr>
      </w:pPr>
      <w:r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Table 1. Analyses of the </w:t>
      </w:r>
      <w:r w:rsidR="006F07D7" w:rsidRPr="006F07D7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hemorrhagic shock severity in relation to cause of gunshot injury by 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en-US"/>
        </w:rPr>
        <w:t>shape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uk-UA"/>
        </w:rPr>
        <w:t>-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en-US"/>
        </w:rPr>
        <w:t>stable or hollow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uk-UA"/>
        </w:rPr>
        <w:t>-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en-US"/>
        </w:rPr>
        <w:t>point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</w:t>
      </w:r>
      <w:r w:rsidR="006F07D7" w:rsidRPr="006F07D7">
        <w:rPr>
          <w:rFonts w:ascii="Times New Roman" w:hAnsi="Times New Roman" w:cs="Times New Roman"/>
          <w:bCs/>
          <w:sz w:val="24"/>
          <w:szCs w:val="24"/>
          <w:lang w:val="en-US"/>
        </w:rPr>
        <w:t>bullets</w:t>
      </w:r>
    </w:p>
    <w:p w14:paraId="380AF943" w14:textId="5FEC50CF" w:rsidR="00A5395B" w:rsidRPr="0090303D" w:rsidRDefault="00A5395B" w:rsidP="00A5395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  <w:lang w:val="uk-UA"/>
        </w:rPr>
      </w:pPr>
    </w:p>
    <w:tbl>
      <w:tblPr>
        <w:tblpPr w:leftFromText="181" w:rightFromText="181" w:vertAnchor="text" w:tblpY="313"/>
        <w:tblOverlap w:val="never"/>
        <w:tblW w:w="9248" w:type="dxa"/>
        <w:tblLayout w:type="fixed"/>
        <w:tblLook w:val="04A0" w:firstRow="1" w:lastRow="0" w:firstColumn="1" w:lastColumn="0" w:noHBand="0" w:noVBand="1"/>
      </w:tblPr>
      <w:tblGrid>
        <w:gridCol w:w="1665"/>
        <w:gridCol w:w="990"/>
        <w:gridCol w:w="1419"/>
        <w:gridCol w:w="1419"/>
        <w:gridCol w:w="1417"/>
        <w:gridCol w:w="1166"/>
        <w:gridCol w:w="1172"/>
      </w:tblGrid>
      <w:tr w:rsidR="00CF4A42" w:rsidRPr="00E93EE2" w14:paraId="0F12F1E0" w14:textId="77777777" w:rsidTr="00363B77">
        <w:trPr>
          <w:trHeight w:val="345"/>
        </w:trPr>
        <w:tc>
          <w:tcPr>
            <w:tcW w:w="26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14:paraId="180943E7" w14:textId="17C91095" w:rsidR="00CF4A42" w:rsidRPr="00D87BA3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Shock s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everity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99"/>
            <w:noWrap/>
            <w:vAlign w:val="center"/>
            <w:hideMark/>
          </w:tcPr>
          <w:p w14:paraId="367EB01D" w14:textId="6A21981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Grouping of patients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35370F0B" w14:textId="20A4377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All patients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</w:t>
            </w:r>
          </w:p>
          <w:p w14:paraId="1C48EFEA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112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99"/>
            <w:vAlign w:val="center"/>
            <w:hideMark/>
          </w:tcPr>
          <w:p w14:paraId="776B1E3E" w14:textId="6201FA3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value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FFFF99"/>
            <w:vAlign w:val="center"/>
          </w:tcPr>
          <w:p w14:paraId="75531329" w14:textId="7522DD3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 value</w:t>
            </w:r>
          </w:p>
        </w:tc>
      </w:tr>
      <w:tr w:rsidR="00CF4A42" w:rsidRPr="00CF4A42" w14:paraId="162982DB" w14:textId="77777777" w:rsidTr="00363B77">
        <w:trPr>
          <w:trHeight w:val="1286"/>
        </w:trPr>
        <w:tc>
          <w:tcPr>
            <w:tcW w:w="26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4D5DA17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4D79B"/>
            <w:vAlign w:val="center"/>
            <w:hideMark/>
          </w:tcPr>
          <w:p w14:paraId="7B1C9BA3" w14:textId="57905CD2" w:rsidR="00CF4A4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Injured by </w:t>
            </w:r>
            <w:r w:rsidRPr="00C865E9">
              <w:rPr>
                <w:rFonts w:ascii="Times New Roman" w:hAnsi="Times New Roman" w:cs="Times New Roman"/>
                <w:lang w:val="en-US"/>
              </w:rPr>
              <w:t>Shape</w:t>
            </w:r>
            <w:r w:rsidRPr="00C865E9">
              <w:rPr>
                <w:rFonts w:ascii="Times New Roman" w:hAnsi="Times New Roman" w:cs="Times New Roman"/>
                <w:lang w:val="uk-UA"/>
              </w:rPr>
              <w:t>-</w:t>
            </w:r>
            <w:r w:rsidRPr="00C865E9">
              <w:rPr>
                <w:rFonts w:ascii="Times New Roman" w:hAnsi="Times New Roman" w:cs="Times New Roman"/>
                <w:lang w:val="en-US"/>
              </w:rPr>
              <w:t>stable</w:t>
            </w:r>
            <w:r w:rsidRPr="00C865E9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C865E9">
              <w:rPr>
                <w:rFonts w:ascii="Times New Roman" w:hAnsi="Times New Roman" w:cs="Times New Roman"/>
                <w:lang w:val="en-US"/>
              </w:rPr>
              <w:t>bullets</w:t>
            </w:r>
          </w:p>
          <w:p w14:paraId="138BC304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69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CD5B4"/>
            <w:vAlign w:val="center"/>
            <w:hideMark/>
          </w:tcPr>
          <w:p w14:paraId="73C51B3C" w14:textId="0570D71D" w:rsidR="00CF4A4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/>
              </w:rPr>
              <w:t>Injured</w:t>
            </w:r>
            <w:r w:rsidRPr="00C865E9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by </w:t>
            </w:r>
            <w:r w:rsidRPr="00C865E9">
              <w:rPr>
                <w:rFonts w:ascii="Times New Roman" w:hAnsi="Times New Roman" w:cs="Times New Roman"/>
                <w:lang w:val="en-US"/>
              </w:rPr>
              <w:t>Hollow</w:t>
            </w:r>
            <w:r w:rsidRPr="00C865E9">
              <w:rPr>
                <w:rFonts w:ascii="Times New Roman" w:hAnsi="Times New Roman" w:cs="Times New Roman"/>
                <w:lang w:val="uk-UA"/>
              </w:rPr>
              <w:t>-</w:t>
            </w:r>
            <w:r w:rsidRPr="00C865E9">
              <w:rPr>
                <w:rFonts w:ascii="Times New Roman" w:hAnsi="Times New Roman" w:cs="Times New Roman"/>
                <w:lang w:val="en-US"/>
              </w:rPr>
              <w:t>point</w:t>
            </w:r>
            <w:r w:rsidRPr="00C865E9">
              <w:rPr>
                <w:rFonts w:ascii="Times New Roman" w:hAnsi="Times New Roman" w:cs="Times New Roman"/>
                <w:lang w:val="uk-UA"/>
              </w:rPr>
              <w:t xml:space="preserve"> </w:t>
            </w:r>
            <w:r w:rsidRPr="00C865E9">
              <w:rPr>
                <w:rFonts w:ascii="Times New Roman" w:hAnsi="Times New Roman" w:cs="Times New Roman"/>
                <w:lang w:val="en-US"/>
              </w:rPr>
              <w:t>bullets</w:t>
            </w:r>
          </w:p>
          <w:p w14:paraId="6BB2C222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 = 43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CE7D93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67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6EED1B67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68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B4478B" w14:textId="02ED9155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75B265E5" w14:textId="77777777" w:rsidTr="00362A32">
        <w:trPr>
          <w:trHeight w:val="300"/>
        </w:trPr>
        <w:tc>
          <w:tcPr>
            <w:tcW w:w="1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451B175A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Stages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B5BBB33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56977256" w14:textId="59A76A4F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(36.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D5B4"/>
            <w:noWrap/>
            <w:vAlign w:val="center"/>
            <w:hideMark/>
          </w:tcPr>
          <w:p w14:paraId="1F4AE526" w14:textId="464656C1" w:rsidR="00CF4A42" w:rsidRPr="00255D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5A8828C" w14:textId="59479DDB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0CA527BA" w14:textId="2E352D04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6F1CF81" w14:textId="21C5619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</w:tr>
      <w:tr w:rsidR="00CF4A42" w:rsidRPr="00E93EE2" w14:paraId="6EDECAEE" w14:textId="77777777" w:rsidTr="00362A32">
        <w:trPr>
          <w:trHeight w:val="300"/>
        </w:trPr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57FC00D2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9B8513A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3C816F3F" w14:textId="022E0A1F" w:rsidR="00CF4A42" w:rsidRPr="00255D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39.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D5B4"/>
            <w:noWrap/>
            <w:vAlign w:val="center"/>
            <w:hideMark/>
          </w:tcPr>
          <w:p w14:paraId="227D5DFF" w14:textId="341EAF75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37.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0FB8A5B" w14:textId="7DE30FC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(38.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1CF783DA" w14:textId="46708F5F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04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E89FDE9" w14:textId="3EC97D6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8389</w:t>
            </w:r>
          </w:p>
        </w:tc>
      </w:tr>
      <w:tr w:rsidR="00CF4A42" w:rsidRPr="00E93EE2" w14:paraId="4156CF28" w14:textId="77777777" w:rsidTr="00362A32">
        <w:trPr>
          <w:trHeight w:val="300"/>
        </w:trPr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741BECE4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E5BDE56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64A0BEC8" w14:textId="2BBA4C27" w:rsidR="00CF4A42" w:rsidRPr="00255D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6A6A6"/>
              <w:right w:val="nil"/>
            </w:tcBorders>
            <w:shd w:val="clear" w:color="000000" w:fill="FCD5B4"/>
            <w:noWrap/>
            <w:vAlign w:val="center"/>
            <w:hideMark/>
          </w:tcPr>
          <w:p w14:paraId="49014785" w14:textId="2DD1E1F2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(41.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6A6A6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F4B2063" w14:textId="7BBE72F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(27.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5026410B" w14:textId="673B889C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01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6A6A6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69A1CFC" w14:textId="4A4D9FD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0081</w:t>
            </w:r>
          </w:p>
        </w:tc>
      </w:tr>
      <w:tr w:rsidR="00CF4A42" w:rsidRPr="00E93EE2" w14:paraId="5CDCCD16" w14:textId="77777777" w:rsidTr="00362A32">
        <w:trPr>
          <w:trHeight w:val="300"/>
        </w:trPr>
        <w:tc>
          <w:tcPr>
            <w:tcW w:w="1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3A5602AE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0B19C30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077654F0" w14:textId="03E36B86" w:rsidR="00CF4A42" w:rsidRPr="00255D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1A99EECF" w14:textId="0DA938C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(16.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3E7121F" w14:textId="32613D8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(9.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22AEF2A0" w14:textId="727B4A1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29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C9EA2EB" w14:textId="59DB931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0699</w:t>
            </w:r>
          </w:p>
        </w:tc>
      </w:tr>
      <w:tr w:rsidR="00CF4A42" w:rsidRPr="00E93EE2" w14:paraId="3AEB009F" w14:textId="77777777" w:rsidTr="00362A32">
        <w:trPr>
          <w:trHeight w:val="30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1DB4BC48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-test for severity, df = 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9A7D03A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75EC1224" w14:textId="63E0AA3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17.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7C80DD72" w14:textId="6C675E6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13.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6BC4DAE" w14:textId="70A8E4F9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16.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14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FD0260" w14:textId="7658170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E195" w14:textId="62C2817C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</w:tr>
      <w:tr w:rsidR="00CF4A42" w:rsidRPr="00E93EE2" w14:paraId="6B21360A" w14:textId="77777777" w:rsidTr="00362A32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6483B863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C45ABFF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7E41D0C" w14:textId="1A8356C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0002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553B0CCE" w14:textId="2A4659FF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0012</w:t>
            </w:r>
          </w:p>
        </w:tc>
        <w:tc>
          <w:tcPr>
            <w:tcW w:w="1418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5567248F" w14:textId="46DCFEE1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0003</w:t>
            </w:r>
          </w:p>
        </w:tc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70F2671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6A3287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27BB9131" w14:textId="77777777" w:rsidTr="00362A32">
        <w:trPr>
          <w:trHeight w:val="30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74230508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Stages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E84F738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І-ІІ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65E52D9C" w14:textId="393E99DF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(75.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1E95F430" w14:textId="4358C77C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(41.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9C92EB1" w14:textId="57E756F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(62.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2610FC11" w14:textId="6A43D68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69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4A2E1C1" w14:textId="24561D6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0004</w:t>
            </w:r>
          </w:p>
        </w:tc>
      </w:tr>
      <w:tr w:rsidR="00CF4A42" w:rsidRPr="00E93EE2" w14:paraId="07DBCC57" w14:textId="77777777" w:rsidTr="00362A32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61BDC3D0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80DF98C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ІІІ-IV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29468C37" w14:textId="25D8448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0219F255" w14:textId="012955F4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(58.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44C3A65" w14:textId="04A4E761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(37.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4B68E4F2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23F0DB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43210D5C" w14:textId="77777777" w:rsidTr="00362A32">
        <w:trPr>
          <w:trHeight w:val="36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163AE3B9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-test for severity, d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 = 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C3EF9EF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47073BD6" w14:textId="14B22684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31.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7B8F5DE0" w14:textId="75C92E1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4611521C" w14:textId="211C9B6A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62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87E034" w14:textId="5D7C280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F12C" w14:textId="09ABED8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</w:tr>
      <w:tr w:rsidR="00CF4A42" w:rsidRPr="00E93EE2" w14:paraId="629DE0D3" w14:textId="77777777" w:rsidTr="00362A32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660A5D4F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6AA8634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46EB3EF3" w14:textId="331EDE7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&lt;0.0001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49DAC3BF" w14:textId="2C55FF7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2858</w:t>
            </w:r>
          </w:p>
        </w:tc>
        <w:tc>
          <w:tcPr>
            <w:tcW w:w="1418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68945D90" w14:textId="1CA67504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0082</w:t>
            </w:r>
          </w:p>
        </w:tc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1ED63BB9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DFCF4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2797D770" w14:textId="77777777" w:rsidTr="00362A32">
        <w:trPr>
          <w:trHeight w:val="30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5DC6E3BB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Stages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321B580C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I, IV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4AC2E47A" w14:textId="7E6AF77B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(42.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44FE1D9F" w14:textId="54B8DC15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(20.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80808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03E2435" w14:textId="35541015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38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(33.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noWrap/>
            <w:vAlign w:val="center"/>
            <w:hideMark/>
          </w:tcPr>
          <w:p w14:paraId="7AFFE156" w14:textId="2E103C5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26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4574A983" w14:textId="55E3AABB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0218</w:t>
            </w:r>
          </w:p>
        </w:tc>
      </w:tr>
      <w:tr w:rsidR="00CF4A42" w:rsidRPr="00E93EE2" w14:paraId="58AF6F2D" w14:textId="77777777" w:rsidTr="00362A32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0730BD28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3D5565C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II-III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D79B"/>
            <w:noWrap/>
            <w:vAlign w:val="center"/>
            <w:hideMark/>
          </w:tcPr>
          <w:p w14:paraId="07F9D63A" w14:textId="53F00B9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(58.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7F6D4073" w14:textId="7A0BD50F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(79.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9E01DD" w14:textId="3F3650D6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74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 (66.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)</w:t>
            </w:r>
          </w:p>
        </w:tc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56BA6156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50937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2E9500B5" w14:textId="77777777" w:rsidTr="00362A32">
        <w:trPr>
          <w:trHeight w:val="36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5D48F646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-test for severity, d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 = 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31CCEF8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χ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133CDD62" w14:textId="271C1B2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000000" w:fill="FCD5B4"/>
            <w:noWrap/>
            <w:vAlign w:val="center"/>
            <w:hideMark/>
          </w:tcPr>
          <w:p w14:paraId="2105B18D" w14:textId="5435E59A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17.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808080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14:paraId="7279237E" w14:textId="439CAE0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62</w:t>
            </w:r>
          </w:p>
        </w:tc>
        <w:tc>
          <w:tcPr>
            <w:tcW w:w="116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539E99" w14:textId="0BFC7FE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  <w:tc>
          <w:tcPr>
            <w:tcW w:w="117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816F2" w14:textId="3BA2F0C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n/a</w:t>
            </w:r>
          </w:p>
        </w:tc>
      </w:tr>
      <w:tr w:rsidR="00CF4A42" w:rsidRPr="00E93EE2" w14:paraId="7866D7A9" w14:textId="77777777" w:rsidTr="00362A32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2548DB79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71881E0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23B752D" w14:textId="47E157A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1854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shd w:val="clear" w:color="000000" w:fill="FCD5B4"/>
            <w:noWrap/>
            <w:vAlign w:val="center"/>
            <w:hideMark/>
          </w:tcPr>
          <w:p w14:paraId="3E0AEA22" w14:textId="556A434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0001</w:t>
            </w:r>
          </w:p>
        </w:tc>
        <w:tc>
          <w:tcPr>
            <w:tcW w:w="1418" w:type="dxa"/>
            <w:tcBorders>
              <w:top w:val="single" w:sz="4" w:space="0" w:color="80808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</w:tcPr>
          <w:p w14:paraId="43C4E954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6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7438173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117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FF280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3260DA7E" w14:textId="77777777" w:rsidTr="0034010F">
        <w:trPr>
          <w:trHeight w:val="300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1C6C7352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Descriptive statistic for groups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790CD43" w14:textId="77777777" w:rsidR="00CF4A42" w:rsidRPr="008F7E74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8F7E74">
              <w:rPr>
                <w:rFonts w:ascii="Times New Roman" w:hAnsi="Times New Roman" w:cs="Times New Roman"/>
                <w:szCs w:val="28"/>
                <w:lang w:val="en-US"/>
              </w:rPr>
              <w:t>M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91F26DB" w14:textId="253B921C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94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1B227D26" w14:textId="43F07C20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70</w:t>
            </w:r>
          </w:p>
        </w:tc>
        <w:tc>
          <w:tcPr>
            <w:tcW w:w="3753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527C943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0F9F857" wp14:editId="10B8D2E9">
                      <wp:simplePos x="0" y="0"/>
                      <wp:positionH relativeFrom="column">
                        <wp:posOffset>784860</wp:posOffset>
                      </wp:positionH>
                      <wp:positionV relativeFrom="paragraph">
                        <wp:posOffset>-1682750</wp:posOffset>
                      </wp:positionV>
                      <wp:extent cx="818515" cy="269875"/>
                      <wp:effectExtent l="0" t="0" r="19685" b="15875"/>
                      <wp:wrapNone/>
                      <wp:docPr id="3" name="Надпись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8515" cy="26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66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A064D1D" w14:textId="77777777" w:rsidR="00CF4A42" w:rsidRPr="00E46F08" w:rsidRDefault="00CF4A42" w:rsidP="00E46F0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lang w:val="en-US"/>
                                    </w:rPr>
                                  </w:pPr>
                                  <w:r w:rsidRPr="00E46F08">
                                    <w:rPr>
                                      <w:rFonts w:ascii="Times New Roman" w:hAnsi="Times New Roman" w:cs="Times New Roman"/>
                                      <w:b/>
                                      <w:lang w:val="en-US"/>
                                    </w:rPr>
                                    <w:t>p &lt; 0.0001</w:t>
                                  </w:r>
                                </w:p>
                                <w:p w14:paraId="0EC941DB" w14:textId="77777777" w:rsidR="00CF4A42" w:rsidRPr="00E46F08" w:rsidRDefault="00CF4A42" w:rsidP="00E46F08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lang w:val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F9F85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3" o:spid="_x0000_s1026" type="#_x0000_t202" style="position:absolute;margin-left:61.8pt;margin-top:-132.5pt;width:64.45pt;height:21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" fillcolor="#ff6" strokeweight=".5pt">
                      <v:textbox>
                        <w:txbxContent>
                          <w:p w14:paraId="6A064D1D" w14:textId="77777777" w:rsidR="00CF4A42" w:rsidRPr="00E46F08" w:rsidRDefault="00CF4A42" w:rsidP="00E46F0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  <w:r w:rsidRPr="00E46F08"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  <w:t>p &lt; 0.0001</w:t>
                            </w:r>
                          </w:p>
                          <w:p w14:paraId="0EC941DB" w14:textId="77777777" w:rsidR="00CF4A42" w:rsidRPr="00E46F08" w:rsidRDefault="00CF4A42" w:rsidP="00E46F0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3EE2"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mc:AlternateContent>
                <mc:Choice Requires="cx1">
                  <w:drawing>
                    <wp:anchor distT="0" distB="0" distL="114300" distR="114300" simplePos="0" relativeHeight="251670528" behindDoc="0" locked="0" layoutInCell="1" allowOverlap="1" wp14:anchorId="1D7FFC0E" wp14:editId="51F56809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-2516505</wp:posOffset>
                      </wp:positionV>
                      <wp:extent cx="2371725" cy="2647950"/>
                      <wp:effectExtent l="0" t="0" r="9525" b="0"/>
                      <wp:wrapNone/>
                      <wp:docPr id="1" name="Диаграмма 1"/>
                      <wp:cNvGraphicFramePr/>
                      <a:graphic xmlns:a="http://schemas.openxmlformats.org/drawingml/2006/main">
                        <a:graphicData uri="http://schemas.microsoft.com/office/drawing/2014/chartex">
                          <cx:chart xmlns:cx="http://schemas.microsoft.com/office/drawing/2014/chartex" xmlns:r="http://schemas.openxmlformats.org/officeDocument/2006/relationships" r:id="rId4"/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drawing>
                    <wp:anchor distT="0" distB="0" distL="114300" distR="114300" simplePos="0" relativeHeight="251670528" behindDoc="0" locked="0" layoutInCell="1" allowOverlap="1" wp14:anchorId="1D7FFC0E" wp14:editId="51F56809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-2516505</wp:posOffset>
                      </wp:positionV>
                      <wp:extent cx="2371725" cy="2647950"/>
                      <wp:effectExtent l="0" t="0" r="9525" b="0"/>
                      <wp:wrapNone/>
                      <wp:docPr id="1" name="Диаграмма 1"/>
                      <wp:cNvGraphicFramePr>
                        <a:graphicFrameLocks xmlns:a="http://schemas.openxmlformats.org/drawingml/2006/main" noGrp="1" noDrilldown="1" noSelect="1" noChangeAspect="1" noMove="1" noResize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Диаграмма 1"/>
                              <pic:cNvPicPr>
                                <a:picLocks noGrp="1" noRot="1" noChangeAspect="1" noMove="1" noResize="1" noEditPoints="1" noAdjustHandles="1" noChangeArrowheads="1" noChangeShapeType="1"/>
                              </pic:cNvPicPr>
                            </pic:nvPicPr>
                            <pic:blipFill>
                              <a:blip r:embed="rId5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71725" cy="264795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Fallback>
              </mc:AlternateContent>
            </w:r>
          </w:p>
        </w:tc>
      </w:tr>
      <w:tr w:rsidR="00CF4A42" w:rsidRPr="00E93EE2" w14:paraId="65C20F76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48AAF4BB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617B856B" w14:textId="77777777" w:rsidR="00CF4A42" w:rsidRPr="008F7E74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d</w:t>
            </w:r>
            <w:r w:rsidRPr="008F7E74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f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ABA51C1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68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38DF4AEE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42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4A62ED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3C5B0630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60D81B40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D9A49FA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SD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314F2F6" w14:textId="0E8487BD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89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55B97380" w14:textId="66321BD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80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90CED1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69082763" w14:textId="77777777" w:rsidTr="0034010F">
        <w:trPr>
          <w:trHeight w:val="36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0B092640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90D0B4F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SD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perscript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477E065" w14:textId="7C6BE91B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79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05E83E90" w14:textId="3F5EF78A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64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B4D2CF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48ACF707" w14:textId="77777777" w:rsidTr="0034010F">
        <w:trPr>
          <w:trHeight w:val="36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78DBF926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29F20E22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R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4614F469" w14:textId="5F95B50B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154.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5%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2CF1339E" w14:textId="23E1D48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111.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2%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C55F536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50708F18" w14:textId="77777777" w:rsidTr="0034010F">
        <w:trPr>
          <w:trHeight w:val="36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2E8D9C4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9B18712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d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7A977C40" w14:textId="02FC858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35.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2%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2086A4BA" w14:textId="1AB96644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25.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1%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6A489D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7A20B2F0" w14:textId="77777777" w:rsidTr="0034010F">
        <w:trPr>
          <w:trHeight w:val="33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092E6051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331B9AC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V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vertAlign w:val="subscript"/>
                <w:lang w:val="en-US" w:eastAsia="ru-RU"/>
              </w:rPr>
              <w:t>σ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35ACE8CE" w14:textId="56EA5B4A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45.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8%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456C0133" w14:textId="5374C28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29.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8%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76DD9D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17D9492F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537D9866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44C5A99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CQD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503C5561" w14:textId="7AB035C2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33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35A4541D" w14:textId="340930F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20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3BA942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6F161A67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05D93B76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9CAD7DC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Mo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75C80363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1536DF88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2A33E7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464A598E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3DFFDA6D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1B6B6EED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Me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C4D79B"/>
            <w:noWrap/>
            <w:vAlign w:val="center"/>
            <w:hideMark/>
          </w:tcPr>
          <w:p w14:paraId="038B4016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2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CD5B4"/>
            <w:noWrap/>
            <w:vAlign w:val="center"/>
            <w:hideMark/>
          </w:tcPr>
          <w:p w14:paraId="10263222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3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45E074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07389F2E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2D5A74D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0241A7FD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IQR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4D79B"/>
            <w:noWrap/>
            <w:vAlign w:val="bottom"/>
            <w:hideMark/>
          </w:tcPr>
          <w:p w14:paraId="2BD651C1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1420" w:type="dxa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CD5B4"/>
            <w:noWrap/>
            <w:vAlign w:val="bottom"/>
            <w:hideMark/>
          </w:tcPr>
          <w:p w14:paraId="580B1F79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1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C344F1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738E56B3" w14:textId="77777777" w:rsidTr="0034010F">
        <w:trPr>
          <w:trHeight w:val="315"/>
        </w:trPr>
        <w:tc>
          <w:tcPr>
            <w:tcW w:w="16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shd w:val="clear" w:color="000000" w:fill="FFFF99"/>
            <w:vAlign w:val="center"/>
            <w:hideMark/>
          </w:tcPr>
          <w:p w14:paraId="223F6215" w14:textId="52B93913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Student t-test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808080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74A28635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T</w:t>
            </w:r>
          </w:p>
        </w:tc>
        <w:tc>
          <w:tcPr>
            <w:tcW w:w="2840" w:type="dxa"/>
            <w:gridSpan w:val="2"/>
            <w:tcBorders>
              <w:top w:val="single" w:sz="4" w:space="0" w:color="auto"/>
              <w:left w:val="nil"/>
              <w:bottom w:val="single" w:sz="4" w:space="0" w:color="808080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14:paraId="1A03A381" w14:textId="38DD1E6E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63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A45645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  <w:tr w:rsidR="00CF4A42" w:rsidRPr="00E93EE2" w14:paraId="65A0E748" w14:textId="77777777" w:rsidTr="0034010F">
        <w:trPr>
          <w:trHeight w:val="300"/>
        </w:trPr>
        <w:tc>
          <w:tcPr>
            <w:tcW w:w="16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6A6A6"/>
            </w:tcBorders>
            <w:vAlign w:val="center"/>
            <w:hideMark/>
          </w:tcPr>
          <w:p w14:paraId="36A115BA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center"/>
            <w:hideMark/>
          </w:tcPr>
          <w:p w14:paraId="5CCB4E6B" w14:textId="77777777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p-value</w:t>
            </w:r>
          </w:p>
        </w:tc>
        <w:tc>
          <w:tcPr>
            <w:tcW w:w="2840" w:type="dxa"/>
            <w:gridSpan w:val="2"/>
            <w:tcBorders>
              <w:top w:val="single" w:sz="4" w:space="0" w:color="80808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99"/>
            <w:noWrap/>
            <w:vAlign w:val="center"/>
            <w:hideMark/>
          </w:tcPr>
          <w:p w14:paraId="7E8C5481" w14:textId="1E47BCC8" w:rsidR="00CF4A42" w:rsidRPr="00E93EE2" w:rsidRDefault="00CF4A42" w:rsidP="00CF4A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0.</w:t>
            </w:r>
            <w:r w:rsidRPr="00E93EE2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53</w:t>
            </w:r>
          </w:p>
        </w:tc>
        <w:tc>
          <w:tcPr>
            <w:tcW w:w="3753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92DFCF" w14:textId="77777777" w:rsidR="00CF4A42" w:rsidRPr="00E93EE2" w:rsidRDefault="00CF4A42" w:rsidP="00CF4A4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</w:p>
        </w:tc>
      </w:tr>
    </w:tbl>
    <w:p w14:paraId="68D5A240" w14:textId="77777777" w:rsidR="00A5395B" w:rsidRDefault="00A5395B" w:rsidP="00A5395B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6FC1D3A" w14:textId="7760323D" w:rsidR="00D77447" w:rsidRPr="0062429A" w:rsidRDefault="00A5395B" w:rsidP="0062429A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F7E74">
        <w:rPr>
          <w:rFonts w:ascii="Times New Roman" w:hAnsi="Times New Roman" w:cs="Times New Roman"/>
          <w:sz w:val="24"/>
          <w:szCs w:val="24"/>
          <w:lang w:val="en-US"/>
        </w:rPr>
        <w:t>Table notes</w:t>
      </w:r>
      <w:r w:rsidRPr="008F7E74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r w:rsidRPr="008F7E74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χ</w:t>
      </w:r>
      <w:r w:rsidRPr="008F7E74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en-US" w:eastAsia="ru-RU"/>
        </w:rPr>
        <w:t xml:space="preserve">2 </w:t>
      </w:r>
      <w:r w:rsidRPr="008F7E74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– value of 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inverse probability of </w:t>
      </w:r>
      <w:r w:rsidRPr="008F7E74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>χ</w:t>
      </w:r>
      <w:r w:rsidRPr="008F7E74">
        <w:rPr>
          <w:rFonts w:ascii="Times New Roman" w:eastAsia="Times New Roman" w:hAnsi="Times New Roman" w:cs="Times New Roman"/>
          <w:color w:val="000000"/>
          <w:sz w:val="24"/>
          <w:vertAlign w:val="superscript"/>
          <w:lang w:val="en-US" w:eastAsia="ru-RU"/>
        </w:rPr>
        <w:t xml:space="preserve">2 </w:t>
      </w:r>
      <w:r w:rsidRPr="008F7E74">
        <w:rPr>
          <w:rFonts w:ascii="Times New Roman" w:eastAsia="Times New Roman" w:hAnsi="Times New Roman" w:cs="Times New Roman"/>
          <w:color w:val="000000"/>
          <w:sz w:val="24"/>
          <w:lang w:val="en-US" w:eastAsia="ru-RU"/>
        </w:rPr>
        <w:t xml:space="preserve">distribution; p-value – probability; 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>M –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AMV, arithmetic 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>mean value; d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>f </w:t>
      </w:r>
      <w:r w:rsidR="008F7E74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degree of freedom; SD – 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standard deviation; 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>SD</w:t>
      </w:r>
      <w:r w:rsidRPr="008F7E7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– variance; V</w:t>
      </w:r>
      <w:r w:rsidRPr="008F7E7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R</w:t>
      </w:r>
      <w:r w:rsidR="008F7E74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relative range; V</w:t>
      </w:r>
      <w:r w:rsidRPr="008F7E7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RMD, relative mean difference; V</w:t>
      </w:r>
      <w:r w:rsidRPr="008F7E74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σ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CV, coefficient of variation; CQD - coefficient of quartile deviatio</w:t>
      </w:r>
      <w:r w:rsidR="008F7E74" w:rsidRPr="008F7E74">
        <w:rPr>
          <w:rFonts w:ascii="Times New Roman" w:hAnsi="Times New Roman" w:cs="Times New Roman"/>
          <w:sz w:val="24"/>
          <w:szCs w:val="24"/>
          <w:lang w:val="en-US"/>
        </w:rPr>
        <w:t>n; Me – median; Mo – mode; IQR –</w:t>
      </w:r>
      <w:r w:rsidRPr="008F7E74">
        <w:rPr>
          <w:rFonts w:ascii="Times New Roman" w:hAnsi="Times New Roman" w:cs="Times New Roman"/>
          <w:sz w:val="24"/>
          <w:szCs w:val="24"/>
          <w:lang w:val="en-US"/>
        </w:rPr>
        <w:t xml:space="preserve"> interquartile range</w:t>
      </w:r>
      <w:r w:rsidR="008F7E74">
        <w:rPr>
          <w:rFonts w:ascii="Times New Roman" w:hAnsi="Times New Roman" w:cs="Times New Roman"/>
          <w:sz w:val="24"/>
          <w:szCs w:val="24"/>
          <w:lang w:val="en-US"/>
        </w:rPr>
        <w:t xml:space="preserve">; T </w:t>
      </w:r>
      <w:r w:rsidR="008F7E74">
        <w:rPr>
          <w:rFonts w:ascii="Times New Roman" w:hAnsi="Times New Roman" w:cs="Times New Roman"/>
          <w:sz w:val="24"/>
          <w:szCs w:val="24"/>
          <w:lang w:val="uk-UA"/>
        </w:rPr>
        <w:t xml:space="preserve">– </w:t>
      </w:r>
      <w:r w:rsidR="008F7E74" w:rsidRPr="005C3193">
        <w:rPr>
          <w:rFonts w:ascii="Times New Roman" w:hAnsi="Times New Roman" w:cs="Times New Roman"/>
          <w:sz w:val="24"/>
          <w:lang w:val="en-US"/>
        </w:rPr>
        <w:t>inverse</w:t>
      </w:r>
      <w:r w:rsidR="008F7E74">
        <w:rPr>
          <w:rFonts w:ascii="Times New Roman" w:hAnsi="Times New Roman" w:cs="Times New Roman"/>
          <w:sz w:val="24"/>
          <w:lang w:val="en-US"/>
        </w:rPr>
        <w:t xml:space="preserve"> value of the cumulative t-d</w:t>
      </w:r>
      <w:r w:rsidR="008F7E74" w:rsidRPr="005C3193">
        <w:rPr>
          <w:rFonts w:ascii="Times New Roman" w:hAnsi="Times New Roman" w:cs="Times New Roman"/>
          <w:sz w:val="24"/>
          <w:lang w:val="en-US"/>
        </w:rPr>
        <w:t>istribution</w:t>
      </w:r>
      <w:r w:rsidR="008F7E7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D77447" w:rsidRPr="00624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activeWritingStyle w:appName="MSWord" w:lang="en-US" w:vendorID="64" w:dllVersion="6" w:nlCheck="1" w:checkStyle="1"/>
  <w:activeWritingStyle w:appName="MSWord" w:lang="ru-RU" w:vendorID="64" w:dllVersion="6" w:nlCheck="1" w:checkStyle="0"/>
  <w:activeWritingStyle w:appName="MSWord" w:lang="en-US" w:vendorID="64" w:dllVersion="4096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F3E"/>
    <w:rsid w:val="00025B07"/>
    <w:rsid w:val="0005722B"/>
    <w:rsid w:val="00077229"/>
    <w:rsid w:val="00090A74"/>
    <w:rsid w:val="001D6368"/>
    <w:rsid w:val="002119AE"/>
    <w:rsid w:val="00225688"/>
    <w:rsid w:val="00255DE2"/>
    <w:rsid w:val="0034010F"/>
    <w:rsid w:val="00362A32"/>
    <w:rsid w:val="00385373"/>
    <w:rsid w:val="00527E56"/>
    <w:rsid w:val="00591F3E"/>
    <w:rsid w:val="005B1C30"/>
    <w:rsid w:val="005C0579"/>
    <w:rsid w:val="005C3193"/>
    <w:rsid w:val="005D21BB"/>
    <w:rsid w:val="0062429A"/>
    <w:rsid w:val="006F07D7"/>
    <w:rsid w:val="00757E86"/>
    <w:rsid w:val="008613C0"/>
    <w:rsid w:val="0086465A"/>
    <w:rsid w:val="00892AC1"/>
    <w:rsid w:val="008F7E74"/>
    <w:rsid w:val="00972BC3"/>
    <w:rsid w:val="009E2CC3"/>
    <w:rsid w:val="00A5395B"/>
    <w:rsid w:val="00AA3E2D"/>
    <w:rsid w:val="00C03CE8"/>
    <w:rsid w:val="00C865E9"/>
    <w:rsid w:val="00CA6E7B"/>
    <w:rsid w:val="00CC7665"/>
    <w:rsid w:val="00CF4A42"/>
    <w:rsid w:val="00D52179"/>
    <w:rsid w:val="00D71E36"/>
    <w:rsid w:val="00D77447"/>
    <w:rsid w:val="00D836BB"/>
    <w:rsid w:val="00E46F08"/>
    <w:rsid w:val="00E675F5"/>
    <w:rsid w:val="00FD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29E7693"/>
  <w15:docId w15:val="{F1B21FBC-1CD9-5344-82BE-C38FC9A27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95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39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539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39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5395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39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395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406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microsoft.com/office/2014/relationships/chartEx" Target="charts/chartEx1.xml"/></Relationships>
</file>

<file path=word/charts/_rels/chartEx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38063\Desktop\Statistics.xlsx" TargetMode="External"/></Relationships>
</file>

<file path=word/charts/chartEx1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Лист1!$E$38:$E$149</cx:f>
        <cx:lvl ptCount="112">
          <cx:pt idx="0">Shape-stable</cx:pt>
          <cx:pt idx="1">Shape-stable</cx:pt>
          <cx:pt idx="2">Shape-stable</cx:pt>
          <cx:pt idx="3">Shape-stable</cx:pt>
          <cx:pt idx="4">Shape-stable</cx:pt>
          <cx:pt idx="5">Shape-stable</cx:pt>
          <cx:pt idx="6">Shape-stable</cx:pt>
          <cx:pt idx="7">Shape-stable</cx:pt>
          <cx:pt idx="8">Shape-stable</cx:pt>
          <cx:pt idx="9">Shape-stable</cx:pt>
          <cx:pt idx="10">Shape-stable</cx:pt>
          <cx:pt idx="11">Shape-stable</cx:pt>
          <cx:pt idx="12">Shape-stable</cx:pt>
          <cx:pt idx="13">Shape-stable</cx:pt>
          <cx:pt idx="14">Shape-stable</cx:pt>
          <cx:pt idx="15">Shape-stable</cx:pt>
          <cx:pt idx="16">Shape-stable</cx:pt>
          <cx:pt idx="17">Shape-stable</cx:pt>
          <cx:pt idx="18">Shape-stable</cx:pt>
          <cx:pt idx="19">Shape-stable</cx:pt>
          <cx:pt idx="20">Shape-stable</cx:pt>
          <cx:pt idx="21">Shape-stable</cx:pt>
          <cx:pt idx="22">Shape-stable</cx:pt>
          <cx:pt idx="23">Shape-stable</cx:pt>
          <cx:pt idx="24">Shape-stable</cx:pt>
          <cx:pt idx="25">Shape-stable</cx:pt>
          <cx:pt idx="26">Shape-stable</cx:pt>
          <cx:pt idx="27">Shape-stable</cx:pt>
          <cx:pt idx="28">Shape-stable</cx:pt>
          <cx:pt idx="29">Shape-stable</cx:pt>
          <cx:pt idx="30">Shape-stable</cx:pt>
          <cx:pt idx="31">Shape-stable</cx:pt>
          <cx:pt idx="32">Shape-stable</cx:pt>
          <cx:pt idx="33">Shape-stable</cx:pt>
          <cx:pt idx="34">Shape-stable</cx:pt>
          <cx:pt idx="35">Shape-stable</cx:pt>
          <cx:pt idx="36">Shape-stable</cx:pt>
          <cx:pt idx="37">Shape-stable</cx:pt>
          <cx:pt idx="38">Shape-stable</cx:pt>
          <cx:pt idx="39">Shape-stable</cx:pt>
          <cx:pt idx="40">Shape-stable</cx:pt>
          <cx:pt idx="41">Shape-stable</cx:pt>
          <cx:pt idx="42">Shape-stable</cx:pt>
          <cx:pt idx="43">Shape-stable</cx:pt>
          <cx:pt idx="44">Shape-stable</cx:pt>
          <cx:pt idx="45">Shape-stable</cx:pt>
          <cx:pt idx="46">Shape-stable</cx:pt>
          <cx:pt idx="47">Shape-stable</cx:pt>
          <cx:pt idx="48">Shape-stable</cx:pt>
          <cx:pt idx="49">Shape-stable</cx:pt>
          <cx:pt idx="50">Shape-stable</cx:pt>
          <cx:pt idx="51">Shape-stable</cx:pt>
          <cx:pt idx="52">Shape-stable</cx:pt>
          <cx:pt idx="53">Shape-stable</cx:pt>
          <cx:pt idx="54">Shape-stable</cx:pt>
          <cx:pt idx="55">Shape-stable</cx:pt>
          <cx:pt idx="56">Shape-stable</cx:pt>
          <cx:pt idx="57">Shape-stable</cx:pt>
          <cx:pt idx="58">Shape-stable</cx:pt>
          <cx:pt idx="59">Shape-stable</cx:pt>
          <cx:pt idx="60">Shape-stable</cx:pt>
          <cx:pt idx="61">Shape-stable</cx:pt>
          <cx:pt idx="62">Shape-stable</cx:pt>
          <cx:pt idx="63">Shape-stable</cx:pt>
          <cx:pt idx="64">Shape-stable</cx:pt>
          <cx:pt idx="65">Shape-stable</cx:pt>
          <cx:pt idx="66">Shape-stable</cx:pt>
          <cx:pt idx="67">Shape-stable</cx:pt>
          <cx:pt idx="68">Shape-stable</cx:pt>
          <cx:pt idx="69">Hollow-point</cx:pt>
          <cx:pt idx="70">Hollow-point</cx:pt>
          <cx:pt idx="71">Hollow-point</cx:pt>
          <cx:pt idx="72">Hollow-point</cx:pt>
          <cx:pt idx="73">Hollow-point</cx:pt>
          <cx:pt idx="74">Hollow-point</cx:pt>
          <cx:pt idx="75">Hollow-point</cx:pt>
          <cx:pt idx="76">Hollow-point</cx:pt>
          <cx:pt idx="77">Hollow-point</cx:pt>
          <cx:pt idx="78">Hollow-point</cx:pt>
          <cx:pt idx="79">Hollow-point</cx:pt>
          <cx:pt idx="80">Hollow-point</cx:pt>
          <cx:pt idx="81">Hollow-point</cx:pt>
          <cx:pt idx="82">Hollow-point</cx:pt>
          <cx:pt idx="83">Hollow-point</cx:pt>
          <cx:pt idx="84">Hollow-point</cx:pt>
          <cx:pt idx="85">Hollow-point</cx:pt>
          <cx:pt idx="86">Hollow-point</cx:pt>
          <cx:pt idx="87">Hollow-point</cx:pt>
          <cx:pt idx="88">Hollow-point</cx:pt>
          <cx:pt idx="89">Hollow-point</cx:pt>
          <cx:pt idx="90">Hollow-point</cx:pt>
          <cx:pt idx="91">Hollow-point</cx:pt>
          <cx:pt idx="92">Hollow-point</cx:pt>
          <cx:pt idx="93">Hollow-point</cx:pt>
          <cx:pt idx="94">Hollow-point</cx:pt>
          <cx:pt idx="95">Hollow-point</cx:pt>
          <cx:pt idx="96">Hollow-point</cx:pt>
          <cx:pt idx="97">Hollow-point</cx:pt>
          <cx:pt idx="98">Hollow-point</cx:pt>
          <cx:pt idx="99">Hollow-point</cx:pt>
          <cx:pt idx="100">Hollow-point</cx:pt>
          <cx:pt idx="101">Hollow-point</cx:pt>
          <cx:pt idx="102">Hollow-point</cx:pt>
          <cx:pt idx="103">Hollow-point</cx:pt>
          <cx:pt idx="104">Hollow-point</cx:pt>
          <cx:pt idx="105">Hollow-point</cx:pt>
          <cx:pt idx="106">Hollow-point</cx:pt>
          <cx:pt idx="107">Hollow-point</cx:pt>
          <cx:pt idx="108">Hollow-point</cx:pt>
          <cx:pt idx="109">Hollow-point</cx:pt>
          <cx:pt idx="110">Hollow-point</cx:pt>
          <cx:pt idx="111">Hollow-point</cx:pt>
        </cx:lvl>
      </cx:strDim>
      <cx:numDim type="val">
        <cx:f>Лист1!$F$38:$F$149</cx:f>
        <cx:lvl ptCount="112" formatCode="General">
          <cx:pt idx="0">1</cx:pt>
          <cx:pt idx="1">1</cx:pt>
          <cx:pt idx="2">1</cx:pt>
          <cx:pt idx="3">1</cx:pt>
          <cx:pt idx="4">1</cx:pt>
          <cx:pt idx="5">1</cx:pt>
          <cx:pt idx="6">1</cx:pt>
          <cx:pt idx="7">1</cx:pt>
          <cx:pt idx="8">1</cx:pt>
          <cx:pt idx="9">1</cx:pt>
          <cx:pt idx="10">1</cx:pt>
          <cx:pt idx="11">1</cx:pt>
          <cx:pt idx="12">1</cx:pt>
          <cx:pt idx="13">1</cx:pt>
          <cx:pt idx="14">1</cx:pt>
          <cx:pt idx="15">1</cx:pt>
          <cx:pt idx="16">1</cx:pt>
          <cx:pt idx="17">1</cx:pt>
          <cx:pt idx="18">1</cx:pt>
          <cx:pt idx="19">1</cx:pt>
          <cx:pt idx="20">1</cx:pt>
          <cx:pt idx="21">1</cx:pt>
          <cx:pt idx="22">1</cx:pt>
          <cx:pt idx="23">1</cx:pt>
          <cx:pt idx="24">1</cx:pt>
          <cx:pt idx="25">2</cx:pt>
          <cx:pt idx="26">2</cx:pt>
          <cx:pt idx="27">2</cx:pt>
          <cx:pt idx="28">2</cx:pt>
          <cx:pt idx="29">2</cx:pt>
          <cx:pt idx="30">2</cx:pt>
          <cx:pt idx="31">2</cx:pt>
          <cx:pt idx="32">2</cx:pt>
          <cx:pt idx="33">2</cx:pt>
          <cx:pt idx="34">2</cx:pt>
          <cx:pt idx="35">2</cx:pt>
          <cx:pt idx="36">2</cx:pt>
          <cx:pt idx="37">2</cx:pt>
          <cx:pt idx="38">2</cx:pt>
          <cx:pt idx="39">2</cx:pt>
          <cx:pt idx="40">2</cx:pt>
          <cx:pt idx="41">2</cx:pt>
          <cx:pt idx="42">2</cx:pt>
          <cx:pt idx="43">2</cx:pt>
          <cx:pt idx="44">2</cx:pt>
          <cx:pt idx="45">2</cx:pt>
          <cx:pt idx="46">2</cx:pt>
          <cx:pt idx="47">2</cx:pt>
          <cx:pt idx="48">2</cx:pt>
          <cx:pt idx="49">2</cx:pt>
          <cx:pt idx="50">2</cx:pt>
          <cx:pt idx="51">2</cx:pt>
          <cx:pt idx="52">3</cx:pt>
          <cx:pt idx="53">3</cx:pt>
          <cx:pt idx="54">3</cx:pt>
          <cx:pt idx="55">3</cx:pt>
          <cx:pt idx="56">3</cx:pt>
          <cx:pt idx="57">3</cx:pt>
          <cx:pt idx="58">3</cx:pt>
          <cx:pt idx="59">3</cx:pt>
          <cx:pt idx="60">3</cx:pt>
          <cx:pt idx="61">3</cx:pt>
          <cx:pt idx="62">3</cx:pt>
          <cx:pt idx="63">3</cx:pt>
          <cx:pt idx="64">3</cx:pt>
          <cx:pt idx="65">4</cx:pt>
          <cx:pt idx="66">4</cx:pt>
          <cx:pt idx="67">4</cx:pt>
          <cx:pt idx="68">4</cx:pt>
          <cx:pt idx="69">1</cx:pt>
          <cx:pt idx="70">1</cx:pt>
          <cx:pt idx="71">2</cx:pt>
          <cx:pt idx="72">2</cx:pt>
          <cx:pt idx="73">2</cx:pt>
          <cx:pt idx="74">2</cx:pt>
          <cx:pt idx="75">2</cx:pt>
          <cx:pt idx="76">2</cx:pt>
          <cx:pt idx="77">2</cx:pt>
          <cx:pt idx="78">2</cx:pt>
          <cx:pt idx="79">2</cx:pt>
          <cx:pt idx="80">2</cx:pt>
          <cx:pt idx="81">2</cx:pt>
          <cx:pt idx="82">2</cx:pt>
          <cx:pt idx="83">2</cx:pt>
          <cx:pt idx="84">2</cx:pt>
          <cx:pt idx="85">2</cx:pt>
          <cx:pt idx="86">2</cx:pt>
          <cx:pt idx="87">3</cx:pt>
          <cx:pt idx="88">3</cx:pt>
          <cx:pt idx="89">3</cx:pt>
          <cx:pt idx="90">3</cx:pt>
          <cx:pt idx="91">3</cx:pt>
          <cx:pt idx="92">3</cx:pt>
          <cx:pt idx="93">3</cx:pt>
          <cx:pt idx="94">3</cx:pt>
          <cx:pt idx="95">3</cx:pt>
          <cx:pt idx="96">3</cx:pt>
          <cx:pt idx="97">3</cx:pt>
          <cx:pt idx="98">3</cx:pt>
          <cx:pt idx="99">3</cx:pt>
          <cx:pt idx="100">3</cx:pt>
          <cx:pt idx="101">3</cx:pt>
          <cx:pt idx="102">3</cx:pt>
          <cx:pt idx="103">3</cx:pt>
          <cx:pt idx="104">3</cx:pt>
          <cx:pt idx="105">4</cx:pt>
          <cx:pt idx="106">4</cx:pt>
          <cx:pt idx="107">4</cx:pt>
          <cx:pt idx="108">4</cx:pt>
          <cx:pt idx="109">4</cx:pt>
          <cx:pt idx="110">4</cx:pt>
          <cx:pt idx="111">4</cx:pt>
        </cx:lvl>
      </cx:numDim>
    </cx:data>
  </cx:chartData>
  <cx:chart>
    <cx:title pos="t" align="ctr" overlay="0">
      <cx:tx>
        <cx:rich>
          <a:bodyPr rot="0" spcFirstLastPara="1" vertOverflow="ellipsis" vert="horz" wrap="square" lIns="0" tIns="0" rIns="0" bIns="0" anchor="ctr" anchorCtr="1"/>
          <a:lstStyle/>
          <a:p>
            <a:pPr algn="ctr">
              <a:defRPr sz="1100" baseline="0"/>
            </a:pPr>
            <a:r>
              <a:rPr lang="en-US" sz="1100" baseline="0">
                <a:latin typeface="Times New Roman" panose="02020603050405020304" pitchFamily="18" charset="0"/>
              </a:rPr>
              <a:t>Statistics of hemorrhagic shock severity depending on bullet stability</a:t>
            </a:r>
            <a:endParaRPr lang="ru-RU" sz="1100" baseline="0">
              <a:latin typeface="Times New Roman" panose="02020603050405020304" pitchFamily="18" charset="0"/>
            </a:endParaRPr>
          </a:p>
        </cx:rich>
      </cx:tx>
    </cx:title>
    <cx:plotArea>
      <cx:plotAreaRegion>
        <cx:series layoutId="boxWhisker" uniqueId="{5B3CAF90-A652-4415-8891-7E1A935FCA4C}">
          <cx:spPr>
            <a:solidFill>
              <a:schemeClr val="accent6">
                <a:lumMod val="40000"/>
                <a:lumOff val="60000"/>
              </a:schemeClr>
            </a:solidFill>
          </cx:spPr>
          <cx:dataLabels pos="b">
            <cx:numFmt formatCode="# ##0,00" sourceLinked="0"/>
            <cx:txPr>
              <a:bodyPr spcFirstLastPara="1" vertOverflow="ellipsis" wrap="square" lIns="0" tIns="0" rIns="0" bIns="0" anchor="ctr" anchorCtr="1"/>
              <a:lstStyle/>
              <a:p>
                <a:pPr>
                  <a:defRPr lang="ru-RU" sz="1100" b="1" i="0" u="none" strike="noStrike" baseline="0">
                    <a:solidFill>
                      <a:sysClr val="windowText" lastClr="000000">
                        <a:lumMod val="75000"/>
                        <a:lumOff val="25000"/>
                      </a:sysClr>
                    </a:solidFill>
                    <a:latin typeface="Times New Roman" panose="02020603050405020304" pitchFamily="18" charset="0"/>
                  </a:defRPr>
                </a:pPr>
                <a:endParaRPr lang="ru-RU" sz="1100" b="1" i="0" baseline="0">
                  <a:latin typeface="Times New Roman" panose="02020603050405020304" pitchFamily="18" charset="0"/>
                </a:endParaRPr>
              </a:p>
            </cx:txPr>
            <cx:visibility seriesName="0" categoryName="0" value="1"/>
            <cx:separator>, </cx:separator>
            <cx:dataLabelHidden idx="0"/>
            <cx:dataLabelHidden idx="64"/>
            <cx:dataLabelHidden idx="69"/>
            <cx:dataLabelHidden idx="70"/>
            <cx:dataLabelHidden idx="71"/>
            <cx:dataLabelHidden idx="73"/>
            <cx:dataLabelHidden idx="115"/>
            <cx:dataLabelHidden idx="116"/>
            <cx:dataLabelHidden idx="117"/>
            <cx:dataLabelHidden idx="118"/>
          </cx:dataLabels>
          <cx:dataId val="0"/>
          <cx:layoutPr>
            <cx:visibility meanLine="1" meanMarker="1" nonoutliers="0" outliers="0"/>
            <cx:statistics quartileMethod="inclusive"/>
          </cx:layoutPr>
        </cx:series>
      </cx:plotAreaRegion>
      <cx:axis id="0">
        <cx:catScaling gapWidth="1.5"/>
        <cx:tickLabels/>
        <cx:txPr>
          <a:bodyPr rot="-60000000" spcFirstLastPara="1" vertOverflow="ellipsis" vert="horz" wrap="square" lIns="0" tIns="0" rIns="0" bIns="0" anchor="ctr" anchorCtr="1"/>
          <a:lstStyle/>
          <a:p>
            <a:pPr>
              <a:defRPr sz="1000" baseline="0">
                <a:latin typeface="Times New Roman" panose="02020603050405020304" pitchFamily="18" charset="0"/>
              </a:defRPr>
            </a:pPr>
            <a:endParaRPr lang="ru-RU" sz="1000" baseline="0">
              <a:latin typeface="Times New Roman" panose="02020603050405020304" pitchFamily="18" charset="0"/>
            </a:endParaRPr>
          </a:p>
        </cx:txPr>
      </cx:axis>
      <cx:axis id="1">
        <cx:valScaling max="4" min="1"/>
        <cx:majorGridlines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40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baseline="0"/>
    <cs:bodyPr rot="-60000000" vert="horz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/>
  </cs:dataLabel>
  <cs:dataLabelCallout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dk1">
          <a:lumMod val="65000"/>
          <a:lumOff val="35000"/>
          <a:alpha val="7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lumMod val="60000"/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75000"/>
            <a:lumOff val="25000"/>
          </a:schemeClr>
        </a:solidFill>
      </a:ln>
    </cs:spPr>
    <cs:defRPr sz="9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 cap="flat" cmpd="sng" algn="ctr">
        <a:solidFill>
          <a:schemeClr val="dk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</cs:dropLine>
  <cs:errorBar>
    <cs:lnRef idx="0"/>
    <cs:fillRef idx="0"/>
    <cs:effectRef idx="0"/>
    <cs:fontRef idx="minor">
      <a:schemeClr val="dk1"/>
    </cs:fontRef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  <a:lumOff val="10000"/>
              </a:schemeClr>
            </a:gs>
            <a:gs pos="0">
              <a:schemeClr val="lt1">
                <a:lumMod val="75000"/>
                <a:alpha val="36000"/>
                <a:lumOff val="10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15875" cap="flat" cmpd="sng" algn="ctr">
        <a:solidFill>
          <a:schemeClr val="dk1">
            <a:lumMod val="65000"/>
            <a:lumOff val="3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/>
    <cs:bodyPr rot="-60000000" vert="horz"/>
  </cs:seriesAxis>
  <cs:seriesLine>
    <cs:lnRef idx="0"/>
    <cs:fillRef idx="0"/>
    <cs:effectRef idx="0"/>
    <cs:fontRef idx="minor">
      <a:schemeClr val="dk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  <cs:bodyPr rot="0" vert="horz"/>
  </cs:title>
  <cs:trendline>
    <cs:lnRef idx="0"/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lt1">
            <a:lumMod val="85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  <cs:bodyPr rot="-60000000" vert="horz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380637315995</dc:creator>
  <cp:keywords/>
  <dc:description/>
  <cp:lastModifiedBy>Microsoft Office User</cp:lastModifiedBy>
  <cp:revision>4</cp:revision>
  <dcterms:created xsi:type="dcterms:W3CDTF">2022-05-18T19:12:00Z</dcterms:created>
  <dcterms:modified xsi:type="dcterms:W3CDTF">2022-05-22T07:47:00Z</dcterms:modified>
</cp:coreProperties>
</file>