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24D8A" w14:textId="77777777" w:rsidR="00643861" w:rsidRPr="003E2B73" w:rsidRDefault="00643861" w:rsidP="00643861">
      <w:pPr>
        <w:widowControl/>
        <w:spacing w:before="720" w:after="360" w:line="480" w:lineRule="auto"/>
        <w:jc w:val="center"/>
        <w:rPr>
          <w:b/>
          <w:bCs/>
          <w:kern w:val="0"/>
          <w:sz w:val="20"/>
          <w:szCs w:val="20"/>
        </w:rPr>
      </w:pPr>
      <w:r w:rsidRPr="003E2B73">
        <w:rPr>
          <w:b/>
          <w:bCs/>
          <w:kern w:val="0"/>
          <w:sz w:val="20"/>
          <w:szCs w:val="20"/>
        </w:rPr>
        <w:t>Electronic Supplementary Information</w:t>
      </w:r>
    </w:p>
    <w:p w14:paraId="5E856446" w14:textId="77777777" w:rsidR="00B100F8" w:rsidRPr="003E2B73" w:rsidRDefault="00B100F8" w:rsidP="00B100F8">
      <w:pPr>
        <w:spacing w:before="720" w:after="360"/>
        <w:rPr>
          <w:rStyle w:val="fontstyle01"/>
          <w:rFonts w:cs="Times New Roman" w:hint="eastAsia"/>
          <w:bCs/>
          <w:sz w:val="20"/>
          <w:szCs w:val="20"/>
        </w:rPr>
      </w:pPr>
      <w:r w:rsidRPr="003E2B73">
        <w:rPr>
          <w:rStyle w:val="fontstyle01"/>
          <w:rFonts w:cs="Times New Roman"/>
          <w:bCs/>
          <w:sz w:val="20"/>
          <w:szCs w:val="20"/>
          <w:vertAlign w:val="superscript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Pr="003E2B73">
        <w:rPr>
          <w:rStyle w:val="fontstyle01"/>
          <w:rFonts w:cs="Times New Roman"/>
          <w:bCs/>
          <w:sz w:val="20"/>
          <w:szCs w:val="20"/>
          <w:vertAlign w:val="superscript"/>
        </w:rPr>
        <w:instrText>ADDIN CNKISM.UserStyle</w:instrText>
      </w:r>
      <w:r w:rsidRPr="003E2B73">
        <w:rPr>
          <w:rStyle w:val="fontstyle01"/>
          <w:rFonts w:cs="Times New Roman"/>
          <w:bCs/>
          <w:sz w:val="20"/>
          <w:szCs w:val="20"/>
          <w:vertAlign w:val="superscript"/>
        </w:rPr>
      </w:r>
      <w:r w:rsidRPr="003E2B73">
        <w:rPr>
          <w:rStyle w:val="fontstyle01"/>
          <w:rFonts w:cs="Times New Roman"/>
          <w:bCs/>
          <w:sz w:val="20"/>
          <w:szCs w:val="20"/>
          <w:vertAlign w:val="superscript"/>
        </w:rPr>
        <w:fldChar w:fldCharType="end"/>
      </w:r>
      <w:bookmarkStart w:id="0" w:name="OLE_LINK164"/>
      <w:bookmarkStart w:id="1" w:name="OLE_LINK175"/>
      <w:bookmarkStart w:id="2" w:name="OLE_LINK76"/>
      <w:bookmarkStart w:id="3" w:name="OLE_LINK80"/>
      <w:r w:rsidRPr="003E2B73">
        <w:rPr>
          <w:rStyle w:val="fontstyle01"/>
          <w:rFonts w:cs="Times New Roman"/>
          <w:bCs/>
          <w:sz w:val="20"/>
          <w:szCs w:val="20"/>
        </w:rPr>
        <w:t>Study on the acute toxicity of trichlorfon</w:t>
      </w:r>
      <w:r w:rsidR="003057F5" w:rsidRPr="003E2B73">
        <w:rPr>
          <w:rStyle w:val="fontstyle01"/>
          <w:rFonts w:cs="Times New Roman"/>
          <w:bCs/>
          <w:sz w:val="20"/>
          <w:szCs w:val="20"/>
        </w:rPr>
        <w:t xml:space="preserve"> and its breakdown product dichlorvos</w:t>
      </w:r>
      <w:r w:rsidRPr="003E2B73">
        <w:rPr>
          <w:rStyle w:val="fontstyle01"/>
          <w:rFonts w:cs="Times New Roman"/>
          <w:bCs/>
          <w:sz w:val="20"/>
          <w:szCs w:val="20"/>
        </w:rPr>
        <w:t xml:space="preserve"> to goldfish (</w:t>
      </w:r>
      <w:r w:rsidRPr="003E2B73">
        <w:rPr>
          <w:rStyle w:val="fontstyle01"/>
          <w:rFonts w:cs="Times New Roman"/>
          <w:bCs/>
          <w:i/>
          <w:sz w:val="20"/>
          <w:szCs w:val="20"/>
        </w:rPr>
        <w:t>Carassius auratus</w:t>
      </w:r>
      <w:r w:rsidRPr="003E2B73">
        <w:rPr>
          <w:rStyle w:val="fontstyle01"/>
          <w:rFonts w:cs="Times New Roman"/>
          <w:bCs/>
          <w:sz w:val="20"/>
          <w:szCs w:val="20"/>
        </w:rPr>
        <w:t xml:space="preserve">) based on </w:t>
      </w:r>
      <w:r w:rsidRPr="003E2B73">
        <w:rPr>
          <w:rStyle w:val="fontstyle01"/>
          <w:rFonts w:cs="Times New Roman"/>
          <w:bCs/>
          <w:sz w:val="20"/>
          <w:szCs w:val="20"/>
          <w:vertAlign w:val="superscript"/>
        </w:rPr>
        <w:t>1</w:t>
      </w:r>
      <w:r w:rsidRPr="003E2B73">
        <w:rPr>
          <w:rStyle w:val="fontstyle01"/>
          <w:rFonts w:cs="Times New Roman"/>
          <w:bCs/>
          <w:sz w:val="20"/>
          <w:szCs w:val="20"/>
        </w:rPr>
        <w:t>H NMR metabonomics</w:t>
      </w:r>
      <w:bookmarkEnd w:id="0"/>
      <w:bookmarkEnd w:id="1"/>
      <w:bookmarkEnd w:id="2"/>
      <w:bookmarkEnd w:id="3"/>
    </w:p>
    <w:p w14:paraId="3E64B3A9" w14:textId="3E10FF05" w:rsidR="00B100F8" w:rsidRPr="004E1CE0" w:rsidRDefault="00B100F8" w:rsidP="00B100F8">
      <w:pPr>
        <w:spacing w:line="480" w:lineRule="auto"/>
        <w:jc w:val="left"/>
        <w:rPr>
          <w:rStyle w:val="fontstyle01"/>
          <w:rFonts w:cs="Times New Roman" w:hint="eastAsia"/>
          <w:sz w:val="20"/>
          <w:szCs w:val="20"/>
          <w:vertAlign w:val="superscript"/>
        </w:rPr>
      </w:pPr>
      <w:r w:rsidRPr="004E1CE0">
        <w:rPr>
          <w:rStyle w:val="fontstyle01"/>
          <w:rFonts w:cs="Times New Roman"/>
          <w:sz w:val="20"/>
          <w:szCs w:val="20"/>
        </w:rPr>
        <w:t>Hui-Hui Meng,</w:t>
      </w:r>
      <w:r w:rsidR="00782F02" w:rsidRPr="004E1CE0">
        <w:rPr>
          <w:rStyle w:val="fontstyle01"/>
          <w:rFonts w:cs="Times New Roman" w:hint="eastAsia"/>
          <w:sz w:val="20"/>
          <w:szCs w:val="20"/>
        </w:rPr>
        <w:t xml:space="preserve"> </w:t>
      </w:r>
      <w:r w:rsidR="00782F02" w:rsidRPr="004E1CE0">
        <w:rPr>
          <w:rStyle w:val="fontstyle01"/>
          <w:rFonts w:cs="Times New Roman"/>
          <w:sz w:val="20"/>
          <w:szCs w:val="20"/>
        </w:rPr>
        <w:t>Wen-Ya Liu,</w:t>
      </w:r>
      <w:r w:rsidRPr="004E1CE0">
        <w:rPr>
          <w:rStyle w:val="fontstyle01"/>
          <w:rFonts w:cs="Times New Roman"/>
          <w:sz w:val="20"/>
          <w:szCs w:val="20"/>
        </w:rPr>
        <w:t xml:space="preserve"> Wen-Long Zhao, Qi Zheng, Jun-Song Wang</w:t>
      </w:r>
      <w:r w:rsidRPr="004E1CE0">
        <w:rPr>
          <w:rStyle w:val="fontstyle01"/>
          <w:rFonts w:cs="Times New Roman"/>
          <w:sz w:val="20"/>
          <w:szCs w:val="20"/>
          <w:vertAlign w:val="superscript"/>
        </w:rPr>
        <w:t>*</w:t>
      </w:r>
    </w:p>
    <w:p w14:paraId="384D3941" w14:textId="77777777" w:rsidR="00B100F8" w:rsidRPr="004E1CE0" w:rsidRDefault="00B100F8" w:rsidP="00B100F8">
      <w:pPr>
        <w:spacing w:line="480" w:lineRule="auto"/>
        <w:jc w:val="left"/>
        <w:rPr>
          <w:rFonts w:cs="Times New Roman"/>
          <w:sz w:val="20"/>
          <w:szCs w:val="20"/>
        </w:rPr>
      </w:pPr>
      <w:r w:rsidRPr="004E1CE0">
        <w:rPr>
          <w:rFonts w:cs="Times New Roman"/>
          <w:sz w:val="20"/>
          <w:szCs w:val="20"/>
        </w:rPr>
        <w:t xml:space="preserve">Center of Molecular Metabolism, </w:t>
      </w:r>
      <w:bookmarkStart w:id="4" w:name="OLE_LINK162"/>
      <w:bookmarkStart w:id="5" w:name="OLE_LINK163"/>
      <w:r w:rsidRPr="004E1CE0">
        <w:rPr>
          <w:rFonts w:cs="Times New Roman"/>
          <w:sz w:val="20"/>
          <w:szCs w:val="20"/>
        </w:rPr>
        <w:t>Nanjing University of Science and Technology</w:t>
      </w:r>
      <w:bookmarkEnd w:id="4"/>
      <w:bookmarkEnd w:id="5"/>
      <w:r w:rsidRPr="004E1CE0">
        <w:rPr>
          <w:rFonts w:cs="Times New Roman"/>
          <w:sz w:val="20"/>
          <w:szCs w:val="20"/>
        </w:rPr>
        <w:t xml:space="preserve">, </w:t>
      </w:r>
      <w:bookmarkStart w:id="6" w:name="OLE_LINK104"/>
      <w:r w:rsidRPr="004E1CE0">
        <w:rPr>
          <w:rFonts w:cs="Times New Roman"/>
          <w:sz w:val="20"/>
          <w:szCs w:val="20"/>
        </w:rPr>
        <w:t>200 Xiaolingwei Street</w:t>
      </w:r>
      <w:bookmarkEnd w:id="6"/>
      <w:r w:rsidRPr="004E1CE0">
        <w:rPr>
          <w:rFonts w:cs="Times New Roman"/>
          <w:sz w:val="20"/>
          <w:szCs w:val="20"/>
        </w:rPr>
        <w:t>, Nanjing, 210094, China.</w:t>
      </w:r>
    </w:p>
    <w:p w14:paraId="059A4ACF" w14:textId="77777777" w:rsidR="00B100F8" w:rsidRPr="004E1CE0" w:rsidRDefault="00B100F8" w:rsidP="00B100F8">
      <w:pPr>
        <w:spacing w:line="480" w:lineRule="auto"/>
        <w:jc w:val="left"/>
        <w:rPr>
          <w:rFonts w:cs="Times New Roman"/>
          <w:sz w:val="20"/>
          <w:szCs w:val="20"/>
        </w:rPr>
      </w:pPr>
    </w:p>
    <w:p w14:paraId="0B3492A9" w14:textId="77777777" w:rsidR="00B100F8" w:rsidRPr="004E1CE0" w:rsidRDefault="00B100F8" w:rsidP="00B100F8">
      <w:pPr>
        <w:spacing w:after="240" w:line="480" w:lineRule="auto"/>
        <w:rPr>
          <w:rFonts w:cs="Times New Roman"/>
          <w:sz w:val="20"/>
          <w:szCs w:val="20"/>
        </w:rPr>
      </w:pPr>
      <w:r w:rsidRPr="004E1CE0">
        <w:rPr>
          <w:rFonts w:ascii="Times" w:hAnsi="Times" w:cs="Times New Roman"/>
          <w:kern w:val="0"/>
          <w:sz w:val="20"/>
          <w:szCs w:val="20"/>
        </w:rPr>
        <w:t>*To whom correspondence should be address</w:t>
      </w:r>
      <w:r w:rsidRPr="004E1CE0">
        <w:rPr>
          <w:rFonts w:ascii="Times" w:hAnsi="Times" w:cs="Times New Roman" w:hint="eastAsia"/>
          <w:kern w:val="0"/>
          <w:sz w:val="20"/>
          <w:szCs w:val="20"/>
        </w:rPr>
        <w:t xml:space="preserve">ed. </w:t>
      </w:r>
      <w:r w:rsidRPr="004E1CE0">
        <w:rPr>
          <w:rFonts w:cs="Times New Roman" w:hint="eastAsia"/>
          <w:sz w:val="20"/>
          <w:szCs w:val="20"/>
        </w:rPr>
        <w:t xml:space="preserve"> </w:t>
      </w:r>
      <w:r w:rsidRPr="004E1CE0">
        <w:rPr>
          <w:rFonts w:cs="Times New Roman"/>
          <w:sz w:val="20"/>
          <w:szCs w:val="20"/>
        </w:rPr>
        <w:t>Jun-Song Wang</w:t>
      </w:r>
    </w:p>
    <w:p w14:paraId="7AEB1E5B" w14:textId="77777777" w:rsidR="00B100F8" w:rsidRPr="004E1CE0" w:rsidRDefault="00B100F8" w:rsidP="00B100F8">
      <w:pPr>
        <w:spacing w:line="480" w:lineRule="auto"/>
        <w:rPr>
          <w:rStyle w:val="a7"/>
          <w:rFonts w:ascii="Times" w:hAnsi="Times" w:cs="Times New Roman"/>
          <w:kern w:val="0"/>
          <w:sz w:val="20"/>
          <w:szCs w:val="20"/>
        </w:rPr>
      </w:pPr>
      <w:r w:rsidRPr="004E1CE0">
        <w:rPr>
          <w:rFonts w:cs="Times New Roman"/>
          <w:sz w:val="20"/>
          <w:szCs w:val="20"/>
        </w:rPr>
        <w:t>Tel: +86 25 8430 3216</w:t>
      </w:r>
      <w:r w:rsidRPr="004E1CE0">
        <w:rPr>
          <w:rFonts w:cs="Times New Roman" w:hint="eastAsia"/>
          <w:sz w:val="20"/>
          <w:szCs w:val="20"/>
        </w:rPr>
        <w:t>；</w:t>
      </w:r>
      <w:r w:rsidRPr="004E1CE0">
        <w:rPr>
          <w:rFonts w:ascii="Times" w:hAnsi="Times" w:cs="Times New Roman" w:hint="eastAsia"/>
          <w:kern w:val="0"/>
          <w:sz w:val="20"/>
          <w:szCs w:val="20"/>
        </w:rPr>
        <w:t>E-mail:</w:t>
      </w:r>
      <w:r w:rsidRPr="004E1CE0">
        <w:rPr>
          <w:rFonts w:ascii="Times" w:hAnsi="Times" w:cs="Times New Roman"/>
          <w:kern w:val="0"/>
          <w:sz w:val="20"/>
          <w:szCs w:val="20"/>
        </w:rPr>
        <w:t xml:space="preserve"> </w:t>
      </w:r>
      <w:hyperlink r:id="rId6" w:history="1">
        <w:r w:rsidRPr="004E1CE0">
          <w:rPr>
            <w:rStyle w:val="a7"/>
            <w:rFonts w:ascii="Times" w:hAnsi="Times" w:cs="Times New Roman"/>
            <w:kern w:val="0"/>
            <w:sz w:val="20"/>
            <w:szCs w:val="20"/>
          </w:rPr>
          <w:t>wang.junsong@gmail.com</w:t>
        </w:r>
      </w:hyperlink>
    </w:p>
    <w:p w14:paraId="28F87568" w14:textId="77777777" w:rsidR="0074292C" w:rsidRPr="004E1CE0" w:rsidRDefault="0074292C">
      <w:pPr>
        <w:widowControl/>
        <w:jc w:val="left"/>
        <w:rPr>
          <w:rStyle w:val="a7"/>
          <w:rFonts w:ascii="Times" w:hAnsi="Times" w:cs="Times New Roman"/>
          <w:kern w:val="0"/>
          <w:sz w:val="20"/>
          <w:szCs w:val="20"/>
        </w:rPr>
      </w:pPr>
    </w:p>
    <w:p w14:paraId="5EBCE36E" w14:textId="61903339" w:rsidR="001C526D" w:rsidRPr="004E1CE0" w:rsidRDefault="00A46E8E" w:rsidP="001C526D">
      <w:pPr>
        <w:spacing w:after="240" w:line="360" w:lineRule="auto"/>
        <w:jc w:val="left"/>
        <w:rPr>
          <w:rFonts w:cs="Times New Roman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5C400B27" wp14:editId="2FCED1AD">
            <wp:extent cx="5274310" cy="298640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526D" w:rsidRPr="004E1CE0">
        <w:rPr>
          <w:rFonts w:cs="Times New Roman"/>
          <w:b/>
          <w:color w:val="000000"/>
          <w:sz w:val="20"/>
          <w:szCs w:val="20"/>
        </w:rPr>
        <w:t xml:space="preserve"> Fig</w:t>
      </w:r>
      <w:r w:rsidR="00525EFD" w:rsidRPr="004E1CE0">
        <w:rPr>
          <w:rFonts w:cs="Times New Roman"/>
          <w:b/>
          <w:color w:val="000000"/>
          <w:sz w:val="20"/>
          <w:szCs w:val="20"/>
        </w:rPr>
        <w:t xml:space="preserve"> </w:t>
      </w:r>
      <w:r w:rsidR="006B2C89" w:rsidRPr="004E1CE0">
        <w:rPr>
          <w:rFonts w:cs="Times New Roman"/>
          <w:b/>
          <w:color w:val="000000"/>
          <w:sz w:val="20"/>
          <w:szCs w:val="20"/>
        </w:rPr>
        <w:t>S1</w:t>
      </w:r>
      <w:r w:rsidR="001C526D" w:rsidRPr="004E1CE0">
        <w:rPr>
          <w:rFonts w:cs="Times New Roman"/>
          <w:color w:val="000000"/>
          <w:sz w:val="20"/>
          <w:szCs w:val="20"/>
        </w:rPr>
        <w:t xml:space="preserve"> Typical </w:t>
      </w:r>
      <w:r w:rsidR="001C526D" w:rsidRPr="004E1CE0">
        <w:rPr>
          <w:rFonts w:cs="Times New Roman"/>
          <w:color w:val="000000"/>
          <w:sz w:val="20"/>
          <w:szCs w:val="20"/>
          <w:vertAlign w:val="superscript"/>
        </w:rPr>
        <w:t>1</w:t>
      </w:r>
      <w:r w:rsidR="001C526D" w:rsidRPr="004E1CE0">
        <w:rPr>
          <w:rFonts w:cs="Times New Roman"/>
          <w:color w:val="000000"/>
          <w:sz w:val="20"/>
          <w:szCs w:val="20"/>
        </w:rPr>
        <w:t xml:space="preserve">HNMR spectra of liver from HD and NC group. 1, Isoleucine; 2, Leucine; 3, Valine; 4, 3-Hydroxyisobutyrate; 5, Lactate; 6, Alanine; 7, Lysine; 8, Glutamate; 9, Methionine; 10, Succinate; 11, Glutamine; 12, Sarcosine; 13, Aspartate; 14, Asparagine; 15, Creatine phosphate; 16, Glucose; 17, </w:t>
      </w:r>
      <w:r w:rsidR="001C526D" w:rsidRPr="004E1CE0">
        <w:rPr>
          <w:rFonts w:cs="Times New Roman"/>
          <w:color w:val="000000"/>
          <w:sz w:val="20"/>
          <w:szCs w:val="20"/>
        </w:rPr>
        <w:lastRenderedPageBreak/>
        <w:t>Taurine; 18, Maltose; 19, Uridine; 20, GTP; 21, UDP-glucose; 22, Inosine; 23, AMP; 24, Fumarate; 25, Tyrosine; 26, Histidine; 27, Phenylalanine; 28, Tyrptophan; 29, Guanosine; 30, Nicotinamide N-oxide; 31, Hypoxanthine; 32, NAD+.</w:t>
      </w:r>
    </w:p>
    <w:p w14:paraId="0F6DEC33" w14:textId="77777777" w:rsidR="0074292C" w:rsidRPr="004E1CE0" w:rsidRDefault="0074292C">
      <w:pPr>
        <w:widowControl/>
        <w:jc w:val="left"/>
        <w:rPr>
          <w:sz w:val="20"/>
          <w:szCs w:val="20"/>
        </w:rPr>
      </w:pPr>
      <w:r w:rsidRPr="004E1CE0">
        <w:rPr>
          <w:sz w:val="20"/>
          <w:szCs w:val="20"/>
        </w:rPr>
        <w:br w:type="page"/>
      </w:r>
    </w:p>
    <w:p w14:paraId="070B0FF6" w14:textId="07065112" w:rsidR="004E1099" w:rsidRPr="004E1CE0" w:rsidRDefault="00F120BF" w:rsidP="00DE726E">
      <w:pPr>
        <w:spacing w:after="240" w:line="480" w:lineRule="auto"/>
        <w:rPr>
          <w:rFonts w:cs="Times New Roman"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FFDF683" wp14:editId="775BF3A0">
            <wp:extent cx="5274310" cy="2511425"/>
            <wp:effectExtent l="0" t="0" r="254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1099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4E1099" w:rsidRPr="004E1CE0">
        <w:rPr>
          <w:rFonts w:cs="Times New Roman" w:hint="eastAsia"/>
          <w:b/>
          <w:color w:val="000000"/>
          <w:sz w:val="20"/>
          <w:szCs w:val="20"/>
        </w:rPr>
        <w:t>F</w:t>
      </w:r>
      <w:r w:rsidR="004E1099" w:rsidRPr="004E1CE0">
        <w:rPr>
          <w:rFonts w:cs="Times New Roman"/>
          <w:b/>
          <w:color w:val="000000"/>
          <w:sz w:val="20"/>
          <w:szCs w:val="20"/>
        </w:rPr>
        <w:t>ig</w:t>
      </w:r>
      <w:r w:rsidR="00003B77" w:rsidRPr="004E1CE0">
        <w:rPr>
          <w:rFonts w:cs="Times New Roman"/>
          <w:b/>
          <w:color w:val="000000"/>
          <w:sz w:val="20"/>
          <w:szCs w:val="20"/>
        </w:rPr>
        <w:t xml:space="preserve"> </w:t>
      </w:r>
      <w:r w:rsidR="004E1099" w:rsidRPr="004E1CE0">
        <w:rPr>
          <w:rFonts w:cs="Times New Roman"/>
          <w:b/>
          <w:color w:val="000000"/>
          <w:sz w:val="20"/>
          <w:szCs w:val="20"/>
        </w:rPr>
        <w:t>S</w:t>
      </w:r>
      <w:r w:rsidR="00DC2F2C" w:rsidRPr="004E1CE0">
        <w:rPr>
          <w:rFonts w:cs="Times New Roman"/>
          <w:b/>
          <w:color w:val="000000"/>
          <w:sz w:val="20"/>
          <w:szCs w:val="20"/>
        </w:rPr>
        <w:t>2</w:t>
      </w:r>
      <w:r w:rsidR="004E1099" w:rsidRPr="004E1CE0">
        <w:rPr>
          <w:rFonts w:cs="Times New Roman"/>
          <w:color w:val="000000"/>
          <w:sz w:val="20"/>
          <w:szCs w:val="20"/>
        </w:rPr>
        <w:t xml:space="preserve"> Typical </w:t>
      </w:r>
      <w:r w:rsidR="004E1099" w:rsidRPr="004E1CE0">
        <w:rPr>
          <w:rFonts w:cs="Times New Roman"/>
          <w:color w:val="000000"/>
          <w:sz w:val="20"/>
          <w:szCs w:val="20"/>
          <w:vertAlign w:val="superscript"/>
        </w:rPr>
        <w:t>1</w:t>
      </w:r>
      <w:r w:rsidR="004E1099" w:rsidRPr="004E1CE0">
        <w:rPr>
          <w:rFonts w:cs="Times New Roman"/>
          <w:color w:val="000000"/>
          <w:sz w:val="20"/>
          <w:szCs w:val="20"/>
        </w:rPr>
        <w:t>HNMR spectra of kidney of HD and NC group. 1, Isoleucine; 2, Leucine; 3, Valine; 4, Isobutyrate; 5, Lactate; 6, Alanine; 7, Lysine; 8, Acetate; 9, Proline; 10, Glutamate; 11, Methionine; 12, Glutamine; 13, Citrate; 14, Riboflavin; 15, Aspartate; 16, Dimethylamine; 17, Sarcosine; 18, Asparagine; 19, Trimethylamine; 20, Creatine; 21, Ornithine; 22, Phenylalanine; 23, Choline; 24, Carnitine; 25, Arginine; 26, Betaine; 27, Taurine; 28, Methanol; 29, Glucose; 30, Glycine; 31, Serine; 32, Uridine; 33, Inosine; 34, Fumarate; 35, Tyrosine; 36, Histidine; 37, Tryptophan; 38, Hypoxanthine; 39, Formate; 40, Nicotinurate.</w:t>
      </w:r>
    </w:p>
    <w:p w14:paraId="4E700305" w14:textId="77777777" w:rsidR="0074292C" w:rsidRPr="004E1CE0" w:rsidRDefault="0074292C">
      <w:pPr>
        <w:widowControl/>
        <w:jc w:val="left"/>
        <w:rPr>
          <w:sz w:val="20"/>
          <w:szCs w:val="20"/>
        </w:rPr>
      </w:pPr>
      <w:r w:rsidRPr="004E1CE0">
        <w:rPr>
          <w:sz w:val="20"/>
          <w:szCs w:val="20"/>
        </w:rPr>
        <w:br w:type="page"/>
      </w:r>
    </w:p>
    <w:p w14:paraId="3A30A890" w14:textId="0D6286D4" w:rsidR="00DE726E" w:rsidRPr="004E1CE0" w:rsidRDefault="00BD701D" w:rsidP="00DE726E">
      <w:pPr>
        <w:widowControl/>
        <w:spacing w:after="240" w:line="480" w:lineRule="auto"/>
        <w:jc w:val="left"/>
        <w:rPr>
          <w:rFonts w:cs="Times New Roman"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EA3DBE5" wp14:editId="74AC5075">
            <wp:extent cx="5274310" cy="284607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 w:hint="eastAsia"/>
          <w:b/>
          <w:color w:val="000000"/>
          <w:sz w:val="20"/>
          <w:szCs w:val="20"/>
        </w:rPr>
        <w:t>F</w:t>
      </w:r>
      <w:r w:rsidR="00DE726E" w:rsidRPr="004E1CE0">
        <w:rPr>
          <w:rFonts w:cs="Times New Roman"/>
          <w:b/>
          <w:color w:val="000000"/>
          <w:sz w:val="20"/>
          <w:szCs w:val="20"/>
        </w:rPr>
        <w:t>ig</w:t>
      </w:r>
      <w:r w:rsidR="00B07FDC" w:rsidRPr="004E1CE0">
        <w:rPr>
          <w:rFonts w:cs="Times New Roman"/>
          <w:b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b/>
          <w:color w:val="000000"/>
          <w:sz w:val="20"/>
          <w:szCs w:val="20"/>
        </w:rPr>
        <w:t>S</w:t>
      </w:r>
      <w:r w:rsidR="009B7A28" w:rsidRPr="004E1CE0">
        <w:rPr>
          <w:rFonts w:cs="Times New Roman"/>
          <w:b/>
          <w:color w:val="000000"/>
          <w:sz w:val="20"/>
          <w:szCs w:val="20"/>
        </w:rPr>
        <w:t>3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Typical 1HNMR spectra of brain of HD and NC group. 1, Isoleucine;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2, Leucine; 3,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Valine; 4, Isobutyrate;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5, Lactate; 6, Alanine; 7, Lysine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; 8, </w:t>
      </w:r>
      <w:r w:rsidR="00DE726E" w:rsidRPr="004E1CE0">
        <w:rPr>
          <w:rFonts w:cs="Times New Roman"/>
          <w:color w:val="000000"/>
          <w:sz w:val="20"/>
          <w:szCs w:val="20"/>
        </w:rPr>
        <w:t>Ornithine;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9, Acetate; 10, Acetamide; 11, Glutamate;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12, Glutamine;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13, Succinate;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14, Citrate;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15, Sarcosine;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16, Creatine;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17, O-Acetylcarnitine;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18, Choline;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19, Carnitine;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20, O-Acetylcholine;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21, Taurine;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22, Methanol;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23, Betaine;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24, myo-Inositol;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25, Glycine;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26, Histidine;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27, Inosine;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28, Uridine;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29, AMP;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30, Fumarate;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31, Tyrosine;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32, Phenylalanine;33, Nicotinurate;34, Xanthine;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35, Hypoxanthine;</w:t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>36, Formate.</w:t>
      </w:r>
    </w:p>
    <w:p w14:paraId="77BF7CAB" w14:textId="77777777" w:rsidR="0074292C" w:rsidRPr="004E1CE0" w:rsidRDefault="0074292C">
      <w:pPr>
        <w:widowControl/>
        <w:jc w:val="left"/>
        <w:rPr>
          <w:sz w:val="20"/>
          <w:szCs w:val="20"/>
        </w:rPr>
      </w:pPr>
      <w:r w:rsidRPr="004E1CE0">
        <w:rPr>
          <w:sz w:val="20"/>
          <w:szCs w:val="20"/>
        </w:rPr>
        <w:br w:type="page"/>
      </w:r>
    </w:p>
    <w:p w14:paraId="081E9C98" w14:textId="320988C9" w:rsidR="00DE726E" w:rsidRPr="004E1CE0" w:rsidRDefault="00BD701D" w:rsidP="0074292C">
      <w:pPr>
        <w:widowControl/>
        <w:jc w:val="left"/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10B8A5A" wp14:editId="33AC2ADC">
            <wp:extent cx="5274310" cy="3175635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A190F" w14:textId="6177B782" w:rsidR="00462B23" w:rsidRPr="004E1CE0" w:rsidRDefault="00462B23" w:rsidP="00462B23">
      <w:pPr>
        <w:widowControl/>
        <w:spacing w:after="240" w:line="360" w:lineRule="auto"/>
        <w:rPr>
          <w:rFonts w:cs="Times New Roman"/>
          <w:color w:val="000000"/>
          <w:sz w:val="20"/>
          <w:szCs w:val="20"/>
        </w:rPr>
      </w:pPr>
      <w:r w:rsidRPr="004E1CE0">
        <w:rPr>
          <w:rFonts w:cs="Times New Roman"/>
          <w:b/>
          <w:color w:val="000000"/>
          <w:sz w:val="20"/>
          <w:szCs w:val="20"/>
        </w:rPr>
        <w:t xml:space="preserve"> Fig</w:t>
      </w:r>
      <w:r w:rsidR="00AD679E" w:rsidRPr="004E1CE0">
        <w:rPr>
          <w:rFonts w:cs="Times New Roman"/>
          <w:b/>
          <w:color w:val="000000"/>
          <w:sz w:val="20"/>
          <w:szCs w:val="20"/>
        </w:rPr>
        <w:t xml:space="preserve"> </w:t>
      </w:r>
      <w:r w:rsidR="00E61DE2" w:rsidRPr="004E1CE0">
        <w:rPr>
          <w:rFonts w:cs="Times New Roman"/>
          <w:b/>
          <w:color w:val="000000"/>
          <w:sz w:val="20"/>
          <w:szCs w:val="20"/>
        </w:rPr>
        <w:t>S4</w:t>
      </w:r>
      <w:r w:rsidRPr="004E1CE0">
        <w:rPr>
          <w:rFonts w:cs="Times New Roman"/>
          <w:color w:val="000000"/>
          <w:sz w:val="20"/>
          <w:szCs w:val="20"/>
        </w:rPr>
        <w:t xml:space="preserve"> OPLS-DA score plots (A), loading plot (B and D) and S-plots derived from </w:t>
      </w:r>
      <w:r w:rsidRPr="004E1CE0">
        <w:rPr>
          <w:rFonts w:cs="Times New Roman"/>
          <w:color w:val="000000"/>
          <w:sz w:val="20"/>
          <w:szCs w:val="20"/>
          <w:vertAlign w:val="superscript"/>
        </w:rPr>
        <w:t>1</w:t>
      </w:r>
      <w:r w:rsidRPr="004E1CE0">
        <w:rPr>
          <w:rFonts w:cs="Times New Roman"/>
          <w:color w:val="000000"/>
          <w:sz w:val="20"/>
          <w:szCs w:val="20"/>
        </w:rPr>
        <w:t>H NMR of kidneys from NC, LD and HD group.</w:t>
      </w:r>
      <w:r w:rsidRPr="004E1CE0" w:rsidDel="00D96917">
        <w:rPr>
          <w:rFonts w:cs="Times New Roman"/>
          <w:color w:val="000000"/>
          <w:sz w:val="20"/>
          <w:szCs w:val="20"/>
        </w:rPr>
        <w:t xml:space="preserve"> </w:t>
      </w:r>
      <w:r w:rsidRPr="004E1CE0">
        <w:rPr>
          <w:rFonts w:cs="Times New Roman"/>
          <w:color w:val="000000"/>
          <w:sz w:val="20"/>
          <w:szCs w:val="20"/>
        </w:rPr>
        <w:t xml:space="preserve">Each point represent one sample, and the ellipse represents 95% confidence interval in the score plots. </w:t>
      </w:r>
      <w:r w:rsidRPr="004E1CE0">
        <w:rPr>
          <w:sz w:val="20"/>
          <w:szCs w:val="20"/>
        </w:rPr>
        <w:t xml:space="preserve">The color bar </w:t>
      </w:r>
      <w:r w:rsidRPr="004E1CE0">
        <w:rPr>
          <w:rFonts w:cs="Times New Roman"/>
          <w:noProof/>
          <w:color w:val="000000"/>
          <w:sz w:val="20"/>
          <w:szCs w:val="20"/>
        </w:rPr>
        <w:drawing>
          <wp:inline distT="0" distB="0" distL="0" distR="0" wp14:anchorId="0E730BDE" wp14:editId="6E9B0D13">
            <wp:extent cx="559916" cy="81296"/>
            <wp:effectExtent l="0" t="0" r="0" b="0"/>
            <wp:docPr id="8" name="图片 8" descr="C:\Users\Nolans\Desktop\未标题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lans\Desktop\未标题-3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731" cy="13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1CE0">
        <w:rPr>
          <w:sz w:val="20"/>
          <w:szCs w:val="20"/>
        </w:rPr>
        <w:t xml:space="preserve"> was used to evaluate the statistical difference</w:t>
      </w:r>
      <w:r w:rsidRPr="004E1CE0">
        <w:rPr>
          <w:rFonts w:hint="eastAsia"/>
          <w:sz w:val="20"/>
          <w:szCs w:val="20"/>
        </w:rPr>
        <w:t>,</w:t>
      </w:r>
      <w:r w:rsidRPr="004E1CE0">
        <w:rPr>
          <w:sz w:val="20"/>
          <w:szCs w:val="20"/>
        </w:rPr>
        <w:t xml:space="preserve"> statistically significant (red) or non-significant (blue)</w:t>
      </w:r>
      <w:r w:rsidRPr="004E1CE0">
        <w:rPr>
          <w:rFonts w:hint="eastAsia"/>
          <w:sz w:val="20"/>
          <w:szCs w:val="20"/>
        </w:rPr>
        <w:t>.</w:t>
      </w:r>
    </w:p>
    <w:p w14:paraId="165023E0" w14:textId="77777777" w:rsidR="0074292C" w:rsidRPr="004E1CE0" w:rsidRDefault="0074292C">
      <w:pPr>
        <w:widowControl/>
        <w:jc w:val="left"/>
        <w:rPr>
          <w:sz w:val="20"/>
          <w:szCs w:val="20"/>
        </w:rPr>
      </w:pPr>
      <w:r w:rsidRPr="004E1CE0">
        <w:rPr>
          <w:sz w:val="20"/>
          <w:szCs w:val="20"/>
        </w:rPr>
        <w:br w:type="page"/>
      </w:r>
    </w:p>
    <w:p w14:paraId="1B7D1089" w14:textId="3EDDF904" w:rsidR="00DE726E" w:rsidRPr="004E1CE0" w:rsidRDefault="00410B88" w:rsidP="00DE726E">
      <w:pPr>
        <w:widowControl/>
        <w:spacing w:after="240" w:line="480" w:lineRule="auto"/>
        <w:rPr>
          <w:rFonts w:cs="Times New Roman"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480ED97" wp14:editId="5D554EC2">
            <wp:extent cx="5274310" cy="3159125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26E" w:rsidRPr="004E1CE0">
        <w:rPr>
          <w:rFonts w:cs="Times New Roman" w:hint="eastAsia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b/>
          <w:color w:val="000000"/>
          <w:sz w:val="20"/>
          <w:szCs w:val="20"/>
        </w:rPr>
        <w:t>Fig</w:t>
      </w:r>
      <w:r w:rsidR="0087629A" w:rsidRPr="004E1CE0">
        <w:rPr>
          <w:rFonts w:cs="Times New Roman"/>
          <w:b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b/>
          <w:color w:val="000000"/>
          <w:sz w:val="20"/>
          <w:szCs w:val="20"/>
        </w:rPr>
        <w:t>S</w:t>
      </w:r>
      <w:r w:rsidR="00BF1741" w:rsidRPr="004E1CE0">
        <w:rPr>
          <w:rFonts w:cs="Times New Roman"/>
          <w:b/>
          <w:color w:val="000000"/>
          <w:sz w:val="20"/>
          <w:szCs w:val="20"/>
        </w:rPr>
        <w:t>5</w:t>
      </w:r>
      <w:r w:rsidR="00DE726E" w:rsidRPr="004E1CE0">
        <w:rPr>
          <w:rFonts w:cs="Times New Roman"/>
          <w:color w:val="000000"/>
          <w:sz w:val="20"/>
          <w:szCs w:val="20"/>
        </w:rPr>
        <w:t xml:space="preserve"> OPLS-DA score plots (A), loading plot (B and D) and S-plots derived from </w:t>
      </w:r>
      <w:r w:rsidR="00DE726E" w:rsidRPr="004E1CE0">
        <w:rPr>
          <w:rFonts w:cs="Times New Roman"/>
          <w:color w:val="000000"/>
          <w:sz w:val="20"/>
          <w:szCs w:val="20"/>
          <w:vertAlign w:val="superscript"/>
        </w:rPr>
        <w:t>1</w:t>
      </w:r>
      <w:r w:rsidR="00DE726E" w:rsidRPr="004E1CE0">
        <w:rPr>
          <w:rFonts w:cs="Times New Roman"/>
          <w:color w:val="000000"/>
          <w:sz w:val="20"/>
          <w:szCs w:val="20"/>
        </w:rPr>
        <w:t>H NMR of brain from NC, LD and HD group.</w:t>
      </w:r>
      <w:r w:rsidR="00DE726E" w:rsidRPr="004E1CE0" w:rsidDel="00D96917">
        <w:rPr>
          <w:rFonts w:cs="Times New Roman"/>
          <w:color w:val="000000"/>
          <w:sz w:val="20"/>
          <w:szCs w:val="20"/>
        </w:rPr>
        <w:t xml:space="preserve"> </w:t>
      </w:r>
      <w:r w:rsidR="00DE726E" w:rsidRPr="004E1CE0">
        <w:rPr>
          <w:rFonts w:cs="Times New Roman"/>
          <w:color w:val="000000"/>
          <w:sz w:val="20"/>
          <w:szCs w:val="20"/>
        </w:rPr>
        <w:t xml:space="preserve">Each point represent one sample, and the ellipse represents 95% confidence interval in the score plots. </w:t>
      </w:r>
      <w:r w:rsidR="00DE726E" w:rsidRPr="004E1CE0">
        <w:rPr>
          <w:rFonts w:cs="Times New Roman"/>
          <w:sz w:val="20"/>
          <w:szCs w:val="20"/>
        </w:rPr>
        <w:t xml:space="preserve">The color bar </w:t>
      </w:r>
      <w:r w:rsidR="00DE726E" w:rsidRPr="004E1CE0">
        <w:rPr>
          <w:rFonts w:cs="Times New Roman"/>
          <w:noProof/>
          <w:color w:val="000000"/>
          <w:sz w:val="20"/>
          <w:szCs w:val="20"/>
        </w:rPr>
        <w:drawing>
          <wp:inline distT="0" distB="0" distL="0" distR="0" wp14:anchorId="05FFBA83" wp14:editId="3EA2D8D4">
            <wp:extent cx="559916" cy="81296"/>
            <wp:effectExtent l="0" t="0" r="0" b="0"/>
            <wp:docPr id="5" name="图片 5" descr="C:\Users\Nolans\Desktop\未标题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lans\Desktop\未标题-3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731" cy="13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726E" w:rsidRPr="004E1CE0">
        <w:rPr>
          <w:rFonts w:cs="Times New Roman"/>
          <w:sz w:val="20"/>
          <w:szCs w:val="20"/>
        </w:rPr>
        <w:t xml:space="preserve"> was </w:t>
      </w:r>
      <w:bookmarkStart w:id="7" w:name="OLE_LINK481"/>
      <w:bookmarkStart w:id="8" w:name="OLE_LINK482"/>
      <w:r w:rsidR="00DE726E" w:rsidRPr="004E1CE0">
        <w:rPr>
          <w:rFonts w:cs="Times New Roman"/>
          <w:color w:val="000000"/>
          <w:sz w:val="20"/>
          <w:szCs w:val="20"/>
        </w:rPr>
        <w:t>used to evaluate the statistical difference,</w:t>
      </w:r>
      <w:bookmarkEnd w:id="7"/>
      <w:bookmarkEnd w:id="8"/>
      <w:r w:rsidR="00DE726E" w:rsidRPr="004E1CE0">
        <w:rPr>
          <w:rFonts w:cs="Times New Roman"/>
          <w:sz w:val="20"/>
          <w:szCs w:val="20"/>
        </w:rPr>
        <w:t xml:space="preserve"> statistically significant (red) or non-significant (blue)</w:t>
      </w:r>
      <w:r w:rsidR="00DE726E" w:rsidRPr="004E1CE0">
        <w:rPr>
          <w:rFonts w:cs="Times New Roman"/>
          <w:color w:val="000000"/>
          <w:sz w:val="20"/>
          <w:szCs w:val="20"/>
        </w:rPr>
        <w:t>.</w:t>
      </w:r>
    </w:p>
    <w:p w14:paraId="27F0082D" w14:textId="77777777" w:rsidR="0074292C" w:rsidRPr="004E1CE0" w:rsidRDefault="0074292C">
      <w:pPr>
        <w:widowControl/>
        <w:jc w:val="left"/>
        <w:rPr>
          <w:rFonts w:cs="Times New Roman"/>
          <w:color w:val="000000"/>
          <w:sz w:val="20"/>
          <w:szCs w:val="20"/>
        </w:rPr>
      </w:pPr>
      <w:r w:rsidRPr="004E1CE0">
        <w:rPr>
          <w:rFonts w:cs="Times New Roman"/>
          <w:color w:val="000000"/>
          <w:sz w:val="20"/>
          <w:szCs w:val="20"/>
        </w:rPr>
        <w:br w:type="page"/>
      </w:r>
    </w:p>
    <w:p w14:paraId="3E7666DD" w14:textId="6773DCB9" w:rsidR="00D44ADE" w:rsidRPr="004E1CE0" w:rsidRDefault="00D44ADE" w:rsidP="00CC2942">
      <w:pPr>
        <w:widowControl/>
        <w:spacing w:after="240" w:line="480" w:lineRule="auto"/>
        <w:jc w:val="center"/>
        <w:rPr>
          <w:rFonts w:ascii="AdvGulliv-R" w:hAnsi="AdvGulliv-R" w:cs="Times New Roman" w:hint="eastAsia"/>
          <w:color w:val="000000"/>
          <w:sz w:val="20"/>
          <w:szCs w:val="20"/>
        </w:rPr>
      </w:pPr>
      <w:r w:rsidRPr="004E1CE0">
        <w:rPr>
          <w:rFonts w:ascii="AdvGulliv-R" w:hAnsi="AdvGulliv-R" w:cs="Times New Roman"/>
          <w:b/>
          <w:color w:val="000000"/>
          <w:sz w:val="20"/>
          <w:szCs w:val="20"/>
        </w:rPr>
        <w:lastRenderedPageBreak/>
        <w:t>Table S1</w:t>
      </w:r>
      <w:r w:rsidRPr="004E1CE0">
        <w:rPr>
          <w:rFonts w:ascii="AdvGulliv-R" w:hAnsi="AdvGulliv-R" w:cs="Times New Roman"/>
          <w:color w:val="000000"/>
          <w:sz w:val="20"/>
          <w:szCs w:val="20"/>
        </w:rPr>
        <w:t xml:space="preserve"> </w:t>
      </w:r>
      <w:r w:rsidRPr="004E1CE0">
        <w:rPr>
          <w:rFonts w:cs="Times New Roman"/>
          <w:color w:val="000000"/>
          <w:sz w:val="20"/>
          <w:szCs w:val="20"/>
        </w:rPr>
        <w:t>Identified metabolites for kidney with fold change (FC)</w:t>
      </w:r>
      <w:r w:rsidRPr="004E1CE0">
        <w:rPr>
          <w:rFonts w:cs="Times New Roman"/>
          <w:color w:val="000000"/>
          <w:sz w:val="20"/>
          <w:szCs w:val="20"/>
          <w:vertAlign w:val="superscript"/>
        </w:rPr>
        <w:t>a</w:t>
      </w:r>
      <w:r w:rsidRPr="004E1CE0">
        <w:rPr>
          <w:rFonts w:cs="Times New Roman"/>
          <w:color w:val="000000"/>
          <w:sz w:val="20"/>
          <w:szCs w:val="20"/>
        </w:rPr>
        <w:t xml:space="preserve"> and P value</w:t>
      </w:r>
      <w:r w:rsidRPr="004E1CE0">
        <w:rPr>
          <w:rFonts w:cs="Times New Roman"/>
          <w:color w:val="000000"/>
          <w:sz w:val="20"/>
          <w:szCs w:val="20"/>
          <w:vertAlign w:val="superscript"/>
        </w:rPr>
        <w:t>b</w:t>
      </w:r>
      <w:r w:rsidRPr="004E1CE0">
        <w:rPr>
          <w:sz w:val="20"/>
          <w:szCs w:val="20"/>
        </w:rPr>
        <w:t xml:space="preserve"> </w:t>
      </w:r>
    </w:p>
    <w:tbl>
      <w:tblPr>
        <w:tblW w:w="618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63"/>
        <w:gridCol w:w="1485"/>
        <w:gridCol w:w="711"/>
        <w:gridCol w:w="1557"/>
        <w:gridCol w:w="666"/>
      </w:tblGrid>
      <w:tr w:rsidR="006706ED" w:rsidRPr="004E1CE0" w14:paraId="6516D8BA" w14:textId="77777777" w:rsidTr="006706ED">
        <w:trPr>
          <w:trHeight w:val="300"/>
          <w:jc w:val="center"/>
        </w:trPr>
        <w:tc>
          <w:tcPr>
            <w:tcW w:w="1763" w:type="dxa"/>
            <w:vMerge w:val="restart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F54EED2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Metabolites</w:t>
            </w:r>
          </w:p>
        </w:tc>
        <w:tc>
          <w:tcPr>
            <w:tcW w:w="1485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AD384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LD vs. CON</w:t>
            </w:r>
          </w:p>
        </w:tc>
        <w:tc>
          <w:tcPr>
            <w:tcW w:w="711" w:type="dxa"/>
            <w:vMerge w:val="restart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F715801" w14:textId="77777777" w:rsidR="006706ED" w:rsidRPr="004E1CE0" w:rsidRDefault="006706ED" w:rsidP="00216D6C">
            <w:pPr>
              <w:widowControl/>
              <w:jc w:val="center"/>
              <w:rPr>
                <w:rFonts w:cs="Times New Roman"/>
                <w:i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5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9EB2B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HD vs. CON</w:t>
            </w:r>
          </w:p>
        </w:tc>
        <w:tc>
          <w:tcPr>
            <w:tcW w:w="666" w:type="dxa"/>
            <w:vMerge w:val="restart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0CF8B10" w14:textId="77777777" w:rsidR="006706ED" w:rsidRPr="004E1CE0" w:rsidRDefault="006706ED" w:rsidP="00216D6C">
            <w:pPr>
              <w:widowControl/>
              <w:jc w:val="center"/>
              <w:rPr>
                <w:rFonts w:cs="Times New Roman"/>
                <w:i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6706ED" w:rsidRPr="004E1CE0" w14:paraId="3F51CF36" w14:textId="77777777" w:rsidTr="006706ED">
        <w:trPr>
          <w:trHeight w:val="300"/>
          <w:jc w:val="center"/>
        </w:trPr>
        <w:tc>
          <w:tcPr>
            <w:tcW w:w="176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853169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C55AD0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Log</w:t>
            </w:r>
            <w:r w:rsidRPr="004E1CE0">
              <w:rPr>
                <w:rFonts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(FC)</w:t>
            </w:r>
          </w:p>
        </w:tc>
        <w:tc>
          <w:tcPr>
            <w:tcW w:w="71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39DD50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EC3AA7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Log</w:t>
            </w:r>
            <w:r w:rsidRPr="004E1CE0">
              <w:rPr>
                <w:rFonts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(FC)</w:t>
            </w:r>
          </w:p>
        </w:tc>
        <w:tc>
          <w:tcPr>
            <w:tcW w:w="66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92E46C" w14:textId="77777777" w:rsidR="006706ED" w:rsidRPr="004E1CE0" w:rsidRDefault="006706ED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6B513299" w14:textId="77777777" w:rsidTr="006706ED">
        <w:trPr>
          <w:trHeight w:val="300"/>
          <w:jc w:val="center"/>
        </w:trPr>
        <w:tc>
          <w:tcPr>
            <w:tcW w:w="1763" w:type="dxa"/>
            <w:tcBorders>
              <w:top w:val="single" w:sz="4" w:space="0" w:color="auto"/>
              <w:bottom w:val="nil"/>
            </w:tcBorders>
            <w:shd w:val="clear" w:color="000000" w:fill="CCCCCC"/>
            <w:noWrap/>
            <w:vAlign w:val="center"/>
            <w:hideMark/>
          </w:tcPr>
          <w:p w14:paraId="40872B80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1485" w:type="dxa"/>
            <w:tcBorders>
              <w:top w:val="single" w:sz="4" w:space="0" w:color="auto"/>
              <w:bottom w:val="nil"/>
            </w:tcBorders>
            <w:shd w:val="clear" w:color="000000" w:fill="FFCCCC"/>
            <w:noWrap/>
            <w:vAlign w:val="center"/>
            <w:hideMark/>
          </w:tcPr>
          <w:p w14:paraId="1C9CA20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0.173443</w:t>
            </w:r>
          </w:p>
        </w:tc>
        <w:tc>
          <w:tcPr>
            <w:tcW w:w="71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006F7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auto"/>
              <w:bottom w:val="nil"/>
            </w:tcBorders>
            <w:shd w:val="clear" w:color="000000" w:fill="FFCCCC"/>
            <w:noWrap/>
            <w:vAlign w:val="center"/>
            <w:hideMark/>
          </w:tcPr>
          <w:p w14:paraId="6BC0CCF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0.131593</w:t>
            </w:r>
          </w:p>
        </w:tc>
        <w:tc>
          <w:tcPr>
            <w:tcW w:w="6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E8339E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43A933C" w14:textId="77777777" w:rsidTr="006706ED">
        <w:trPr>
          <w:trHeight w:val="300"/>
          <w:jc w:val="center"/>
        </w:trPr>
        <w:tc>
          <w:tcPr>
            <w:tcW w:w="1763" w:type="dxa"/>
            <w:tcBorders>
              <w:top w:val="nil"/>
            </w:tcBorders>
            <w:shd w:val="clear" w:color="000000" w:fill="E6E6E6"/>
            <w:noWrap/>
            <w:vAlign w:val="center"/>
            <w:hideMark/>
          </w:tcPr>
          <w:p w14:paraId="250F1610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1485" w:type="dxa"/>
            <w:tcBorders>
              <w:top w:val="nil"/>
            </w:tcBorders>
            <w:shd w:val="clear" w:color="000000" w:fill="FFCCCC"/>
            <w:noWrap/>
            <w:vAlign w:val="center"/>
            <w:hideMark/>
          </w:tcPr>
          <w:p w14:paraId="4ECE2EA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0.26781</w:t>
            </w:r>
          </w:p>
        </w:tc>
        <w:tc>
          <w:tcPr>
            <w:tcW w:w="71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E11B34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tcBorders>
              <w:top w:val="nil"/>
            </w:tcBorders>
            <w:shd w:val="clear" w:color="000000" w:fill="FF9999"/>
            <w:noWrap/>
            <w:vAlign w:val="center"/>
            <w:hideMark/>
          </w:tcPr>
          <w:p w14:paraId="14DD85D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0.41542</w:t>
            </w:r>
          </w:p>
        </w:tc>
        <w:tc>
          <w:tcPr>
            <w:tcW w:w="66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653F50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5D0C3ED7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062F6753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1485" w:type="dxa"/>
            <w:shd w:val="clear" w:color="000000" w:fill="FFCCCC"/>
            <w:noWrap/>
            <w:vAlign w:val="center"/>
            <w:hideMark/>
          </w:tcPr>
          <w:p w14:paraId="639B9ED0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0.166114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4286C3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9999"/>
            <w:noWrap/>
            <w:vAlign w:val="center"/>
            <w:hideMark/>
          </w:tcPr>
          <w:p w14:paraId="7DCCBEA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0.323124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2BB788B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39C19725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39D3AFD9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Isobutyrate</w:t>
            </w:r>
          </w:p>
        </w:tc>
        <w:tc>
          <w:tcPr>
            <w:tcW w:w="1485" w:type="dxa"/>
            <w:shd w:val="clear" w:color="000000" w:fill="0000FF"/>
            <w:noWrap/>
            <w:vAlign w:val="center"/>
            <w:hideMark/>
          </w:tcPr>
          <w:p w14:paraId="090DE75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-1.74337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5707700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0000FF"/>
            <w:noWrap/>
            <w:vAlign w:val="center"/>
            <w:hideMark/>
          </w:tcPr>
          <w:p w14:paraId="76923402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-1.03119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1E2180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6658209D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52D039E9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Lactate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194A86D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-0.10349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B2304B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69781BC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-0.08265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FCE3F1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4D3B5C9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5DE80225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1485" w:type="dxa"/>
            <w:shd w:val="clear" w:color="000000" w:fill="FFCCCC"/>
            <w:noWrap/>
            <w:vAlign w:val="center"/>
            <w:hideMark/>
          </w:tcPr>
          <w:p w14:paraId="28A740D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0.120648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36FA4E4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FF9999"/>
            <w:noWrap/>
            <w:vAlign w:val="center"/>
            <w:hideMark/>
          </w:tcPr>
          <w:p w14:paraId="5D15936C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0.361628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FC572D9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D44ADE" w:rsidRPr="004E1CE0" w14:paraId="4F50A2F3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78F1E0BE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1485" w:type="dxa"/>
            <w:shd w:val="clear" w:color="000000" w:fill="FFCCCC"/>
            <w:noWrap/>
            <w:vAlign w:val="center"/>
            <w:hideMark/>
          </w:tcPr>
          <w:p w14:paraId="7247DB9F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0.122256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9C153A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9999"/>
            <w:noWrap/>
            <w:vAlign w:val="center"/>
            <w:hideMark/>
          </w:tcPr>
          <w:p w14:paraId="18B409D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0.3419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DEB19FB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5EF0F7BF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63882C47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Acetate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7A177E20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0.043524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24E85C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496E78A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0.199774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E17B7BF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6ABB492B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5D5D40AA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Proline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5D86914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-0.12713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E800A4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6116926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-0.00719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9FAEF4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39904867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2DF2DB8D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Glutamate</w:t>
            </w:r>
          </w:p>
        </w:tc>
        <w:tc>
          <w:tcPr>
            <w:tcW w:w="1485" w:type="dxa"/>
            <w:shd w:val="clear" w:color="000000" w:fill="FFCCCC"/>
            <w:noWrap/>
            <w:vAlign w:val="center"/>
            <w:hideMark/>
          </w:tcPr>
          <w:p w14:paraId="58DD7D6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0.21643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4208F57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3027DBE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-0.01901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042C7BA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228595D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6F365AA0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Methionine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133FA9B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0.039177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C5E48B8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181864A8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0.180154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ADA4224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78D486FF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00F9090D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Glutamine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6CDCD70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-0.13426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F3297FD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02FDA5F2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0.179278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7D3F11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EC890D5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0C4BE9B6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Citrate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5751B55F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-0.26698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4A7D793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9999FF"/>
            <w:noWrap/>
            <w:vAlign w:val="center"/>
            <w:hideMark/>
          </w:tcPr>
          <w:p w14:paraId="660608F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-0.33104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093524A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5ADE3101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6F69452B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Riboflavin</w:t>
            </w:r>
          </w:p>
        </w:tc>
        <w:tc>
          <w:tcPr>
            <w:tcW w:w="1485" w:type="dxa"/>
            <w:shd w:val="clear" w:color="auto" w:fill="9999FF"/>
            <w:noWrap/>
            <w:vAlign w:val="center"/>
            <w:hideMark/>
          </w:tcPr>
          <w:p w14:paraId="348F845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-0.37302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0D427D1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6666FF"/>
            <w:noWrap/>
            <w:vAlign w:val="center"/>
            <w:hideMark/>
          </w:tcPr>
          <w:p w14:paraId="6608313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-0.55404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3554FAB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6A3EB47A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190AE40F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Aspartate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51DBCE1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0.002837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87F375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9999"/>
            <w:noWrap/>
            <w:vAlign w:val="center"/>
            <w:hideMark/>
          </w:tcPr>
          <w:p w14:paraId="437B6B7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0.377387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0D659C4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***</w:t>
            </w:r>
          </w:p>
        </w:tc>
      </w:tr>
      <w:tr w:rsidR="00D44ADE" w:rsidRPr="004E1CE0" w14:paraId="5217C2DC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029EAB54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Dimethylamine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1C1F646C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-0.01789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B5C51D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1FBC5DF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-0.00251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86E149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A3F4050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749B56FF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Sarcosine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0665761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-0.05344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D710B9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74D60CD2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-0.09293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2B6CF6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09B99F68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7793291B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Trimethylamine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639CEE2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-0.06111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66996C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6BC9274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0.25901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EF3CAD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3CE15477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31251194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Asparagine</w:t>
            </w:r>
          </w:p>
        </w:tc>
        <w:tc>
          <w:tcPr>
            <w:tcW w:w="1485" w:type="dxa"/>
            <w:shd w:val="clear" w:color="auto" w:fill="CCCCFF"/>
            <w:noWrap/>
            <w:vAlign w:val="center"/>
            <w:hideMark/>
          </w:tcPr>
          <w:p w14:paraId="7620287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-0.24875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ABD44E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CCCCFF"/>
            <w:noWrap/>
            <w:vAlign w:val="center"/>
            <w:hideMark/>
          </w:tcPr>
          <w:p w14:paraId="5A0A474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-0.1242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75D99C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1C51AC6B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2B7225A9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Creatine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551B825C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0.183427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B64E59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9999FF"/>
            <w:noWrap/>
            <w:vAlign w:val="center"/>
            <w:hideMark/>
          </w:tcPr>
          <w:p w14:paraId="08C836A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-0.00432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03E5A759" w14:textId="77777777" w:rsidR="00D44ADE" w:rsidRPr="004E1CE0" w:rsidRDefault="00D44ADE" w:rsidP="00216D6C">
            <w:pPr>
              <w:widowControl/>
              <w:ind w:right="330"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5D2CE62A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0450495C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Ornithine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171B02A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0.061037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24164F0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21C9FB5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0.199748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CBD171F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5F84DA7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1E86B44C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30BF95B0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-0.06713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0DE3EC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291A465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0.187023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0090B02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59139BDA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41C7D84F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Choline</w:t>
            </w:r>
          </w:p>
        </w:tc>
        <w:tc>
          <w:tcPr>
            <w:tcW w:w="1485" w:type="dxa"/>
            <w:shd w:val="clear" w:color="000000" w:fill="FFCCCC"/>
            <w:noWrap/>
            <w:vAlign w:val="center"/>
            <w:hideMark/>
          </w:tcPr>
          <w:p w14:paraId="2AC223F8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0.115719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4EAAFB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6A6307E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-0.02338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7432B9E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44139E1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604EE39E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Carnitine</w:t>
            </w:r>
          </w:p>
        </w:tc>
        <w:tc>
          <w:tcPr>
            <w:tcW w:w="1485" w:type="dxa"/>
            <w:shd w:val="clear" w:color="000000" w:fill="FF6666"/>
            <w:noWrap/>
            <w:vAlign w:val="center"/>
            <w:hideMark/>
          </w:tcPr>
          <w:p w14:paraId="4D7F140B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0.535471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F30B633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9999FF"/>
            <w:noWrap/>
            <w:vAlign w:val="center"/>
            <w:hideMark/>
          </w:tcPr>
          <w:p w14:paraId="2ACA91F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-0.45543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84E05CC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D44ADE" w:rsidRPr="004E1CE0" w14:paraId="4FA3A5A5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75562D40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Arginine</w:t>
            </w:r>
          </w:p>
        </w:tc>
        <w:tc>
          <w:tcPr>
            <w:tcW w:w="1485" w:type="dxa"/>
            <w:shd w:val="clear" w:color="000000" w:fill="FF9999"/>
            <w:noWrap/>
            <w:vAlign w:val="center"/>
            <w:hideMark/>
          </w:tcPr>
          <w:p w14:paraId="0612D92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0.302988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C216C0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9999FF"/>
            <w:noWrap/>
            <w:vAlign w:val="center"/>
            <w:hideMark/>
          </w:tcPr>
          <w:p w14:paraId="493A57F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-0.3422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E4D1ECE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D44ADE" w:rsidRPr="004E1CE0" w14:paraId="546B4F65" w14:textId="77777777" w:rsidTr="006706ED">
        <w:trPr>
          <w:trHeight w:val="30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5416787E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Betaine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7D19538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-0.11004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FA69FD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9999FF"/>
            <w:noWrap/>
            <w:vAlign w:val="center"/>
            <w:hideMark/>
          </w:tcPr>
          <w:p w14:paraId="464EB25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-0.41298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41C1555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D44ADE" w:rsidRPr="004E1CE0" w14:paraId="07C62A2D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33D1B6A6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Taurine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0F58D9CC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0.093912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EA8124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9999FF"/>
            <w:noWrap/>
            <w:vAlign w:val="center"/>
            <w:hideMark/>
          </w:tcPr>
          <w:p w14:paraId="70D1AC8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-0.36495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6D440C9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1ACA45D8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584CBAF1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Methanol</w:t>
            </w:r>
          </w:p>
        </w:tc>
        <w:tc>
          <w:tcPr>
            <w:tcW w:w="1485" w:type="dxa"/>
            <w:shd w:val="clear" w:color="000000" w:fill="0000FF"/>
            <w:noWrap/>
            <w:vAlign w:val="center"/>
            <w:hideMark/>
          </w:tcPr>
          <w:p w14:paraId="12AC8B0B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-2.84377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005ED029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506459FC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0.136406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34DCEF0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092B54A6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5CE63DB1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Glucose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07D9A16C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-0.13155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431251D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9999"/>
            <w:noWrap/>
            <w:vAlign w:val="center"/>
            <w:hideMark/>
          </w:tcPr>
          <w:p w14:paraId="30DAD2B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0.436402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5D28B00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58693C76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5E5B0905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6575DEC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-0.03214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75F1647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48A73A90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0.298888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527E755C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418B74AE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5841663D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Serine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5FFC172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0.021261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5117A6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14:paraId="6A919A9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-0.04078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6EE425CF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6B4B04C0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1E080211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Uridine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34440B4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-0.0758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3170CEF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4FC0104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0.182383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163E338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169C14B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380223A0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Inosine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451D7DE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-0.29539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1774CDE8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shd w:val="clear" w:color="000000" w:fill="3333FF"/>
            <w:noWrap/>
            <w:vAlign w:val="center"/>
            <w:hideMark/>
          </w:tcPr>
          <w:p w14:paraId="770C0AD4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-0.7758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24086725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D44ADE" w:rsidRPr="004E1CE0" w14:paraId="520EED4D" w14:textId="77777777" w:rsidTr="00255792">
        <w:trPr>
          <w:trHeight w:val="270"/>
          <w:jc w:val="center"/>
        </w:trPr>
        <w:tc>
          <w:tcPr>
            <w:tcW w:w="1763" w:type="dxa"/>
            <w:tcBorders>
              <w:bottom w:val="nil"/>
            </w:tcBorders>
            <w:shd w:val="clear" w:color="000000" w:fill="E6E6E6"/>
            <w:noWrap/>
            <w:vAlign w:val="center"/>
            <w:hideMark/>
          </w:tcPr>
          <w:p w14:paraId="012945B3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Fumarate</w:t>
            </w:r>
          </w:p>
        </w:tc>
        <w:tc>
          <w:tcPr>
            <w:tcW w:w="1485" w:type="dxa"/>
            <w:tcBorders>
              <w:bottom w:val="nil"/>
            </w:tcBorders>
            <w:shd w:val="clear" w:color="000000" w:fill="6666FF"/>
            <w:noWrap/>
            <w:vAlign w:val="center"/>
            <w:hideMark/>
          </w:tcPr>
          <w:p w14:paraId="2763836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-0.51769</w:t>
            </w:r>
          </w:p>
        </w:tc>
        <w:tc>
          <w:tcPr>
            <w:tcW w:w="71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B5A432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68EEF6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0.079014</w:t>
            </w:r>
          </w:p>
        </w:tc>
        <w:tc>
          <w:tcPr>
            <w:tcW w:w="66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A43EED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0D4C1DFE" w14:textId="77777777" w:rsidTr="00255792">
        <w:trPr>
          <w:trHeight w:val="270"/>
          <w:jc w:val="center"/>
        </w:trPr>
        <w:tc>
          <w:tcPr>
            <w:tcW w:w="1763" w:type="dxa"/>
            <w:tcBorders>
              <w:top w:val="nil"/>
              <w:bottom w:val="nil"/>
            </w:tcBorders>
            <w:shd w:val="clear" w:color="000000" w:fill="CCCCCC"/>
            <w:noWrap/>
            <w:vAlign w:val="center"/>
            <w:hideMark/>
          </w:tcPr>
          <w:p w14:paraId="21B28FB2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148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3F68A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-0.091</w:t>
            </w:r>
          </w:p>
        </w:tc>
        <w:tc>
          <w:tcPr>
            <w:tcW w:w="71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9E58A2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nil"/>
              <w:bottom w:val="nil"/>
            </w:tcBorders>
            <w:shd w:val="clear" w:color="000000" w:fill="FFCCCC"/>
            <w:noWrap/>
            <w:vAlign w:val="center"/>
            <w:hideMark/>
          </w:tcPr>
          <w:p w14:paraId="4EBB1EC2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0.296831</w:t>
            </w:r>
          </w:p>
        </w:tc>
        <w:tc>
          <w:tcPr>
            <w:tcW w:w="6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97E57E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D44ADE" w:rsidRPr="004E1CE0" w14:paraId="1944DF2E" w14:textId="77777777" w:rsidTr="00255792">
        <w:trPr>
          <w:trHeight w:val="270"/>
          <w:jc w:val="center"/>
        </w:trPr>
        <w:tc>
          <w:tcPr>
            <w:tcW w:w="1763" w:type="dxa"/>
            <w:tcBorders>
              <w:top w:val="nil"/>
            </w:tcBorders>
            <w:shd w:val="clear" w:color="000000" w:fill="E6E6E6"/>
            <w:noWrap/>
            <w:vAlign w:val="center"/>
            <w:hideMark/>
          </w:tcPr>
          <w:p w14:paraId="3C275FA2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1485" w:type="dxa"/>
            <w:tcBorders>
              <w:top w:val="nil"/>
            </w:tcBorders>
            <w:shd w:val="clear" w:color="000000" w:fill="6666FF"/>
            <w:noWrap/>
            <w:vAlign w:val="center"/>
            <w:hideMark/>
          </w:tcPr>
          <w:p w14:paraId="4D8C92D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-0.62383</w:t>
            </w:r>
          </w:p>
        </w:tc>
        <w:tc>
          <w:tcPr>
            <w:tcW w:w="71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E9CC13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846AE7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-0.07523</w:t>
            </w:r>
          </w:p>
        </w:tc>
        <w:tc>
          <w:tcPr>
            <w:tcW w:w="66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9F3870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D1B337D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CCCCCC"/>
            <w:noWrap/>
            <w:vAlign w:val="center"/>
            <w:hideMark/>
          </w:tcPr>
          <w:p w14:paraId="0232ADEC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Tryptophan</w:t>
            </w:r>
          </w:p>
        </w:tc>
        <w:tc>
          <w:tcPr>
            <w:tcW w:w="1485" w:type="dxa"/>
            <w:shd w:val="clear" w:color="000000" w:fill="CCCCFF"/>
            <w:noWrap/>
            <w:vAlign w:val="center"/>
            <w:hideMark/>
          </w:tcPr>
          <w:p w14:paraId="6D46F1C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-0.18142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55B63E3A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4B7E2D3B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0.27837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429A1B6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57C44E8A" w14:textId="77777777" w:rsidTr="006706ED">
        <w:trPr>
          <w:trHeight w:val="270"/>
          <w:jc w:val="center"/>
        </w:trPr>
        <w:tc>
          <w:tcPr>
            <w:tcW w:w="1763" w:type="dxa"/>
            <w:shd w:val="clear" w:color="000000" w:fill="E6E6E6"/>
            <w:noWrap/>
            <w:vAlign w:val="center"/>
            <w:hideMark/>
          </w:tcPr>
          <w:p w14:paraId="079304CD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Hypoxanthine</w:t>
            </w:r>
          </w:p>
        </w:tc>
        <w:tc>
          <w:tcPr>
            <w:tcW w:w="1485" w:type="dxa"/>
            <w:shd w:val="clear" w:color="auto" w:fill="auto"/>
            <w:noWrap/>
            <w:vAlign w:val="center"/>
            <w:hideMark/>
          </w:tcPr>
          <w:p w14:paraId="2E2BDD6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-0.28773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14:paraId="63D98358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7" w:type="dxa"/>
            <w:shd w:val="clear" w:color="000000" w:fill="FFCCCC"/>
            <w:noWrap/>
            <w:vAlign w:val="center"/>
            <w:hideMark/>
          </w:tcPr>
          <w:p w14:paraId="2A90B96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0.137654</w:t>
            </w:r>
          </w:p>
        </w:tc>
        <w:tc>
          <w:tcPr>
            <w:tcW w:w="666" w:type="dxa"/>
            <w:shd w:val="clear" w:color="auto" w:fill="auto"/>
            <w:noWrap/>
            <w:vAlign w:val="center"/>
            <w:hideMark/>
          </w:tcPr>
          <w:p w14:paraId="0D24CC75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738D014" w14:textId="77777777" w:rsidTr="00255792">
        <w:trPr>
          <w:trHeight w:val="270"/>
          <w:jc w:val="center"/>
        </w:trPr>
        <w:tc>
          <w:tcPr>
            <w:tcW w:w="1763" w:type="dxa"/>
            <w:tcBorders>
              <w:bottom w:val="nil"/>
            </w:tcBorders>
            <w:shd w:val="clear" w:color="000000" w:fill="CCCCCC"/>
            <w:noWrap/>
            <w:vAlign w:val="center"/>
            <w:hideMark/>
          </w:tcPr>
          <w:p w14:paraId="2105DA27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Formate</w:t>
            </w:r>
          </w:p>
        </w:tc>
        <w:tc>
          <w:tcPr>
            <w:tcW w:w="1485" w:type="dxa"/>
            <w:tcBorders>
              <w:bottom w:val="nil"/>
            </w:tcBorders>
            <w:shd w:val="clear" w:color="000000" w:fill="6666FF"/>
            <w:noWrap/>
            <w:vAlign w:val="center"/>
            <w:hideMark/>
          </w:tcPr>
          <w:p w14:paraId="788ED1B9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-0.63754</w:t>
            </w:r>
          </w:p>
        </w:tc>
        <w:tc>
          <w:tcPr>
            <w:tcW w:w="71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1091F5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1557" w:type="dxa"/>
            <w:tcBorders>
              <w:bottom w:val="nil"/>
            </w:tcBorders>
            <w:shd w:val="clear" w:color="000000" w:fill="9999FF"/>
            <w:noWrap/>
            <w:vAlign w:val="center"/>
            <w:hideMark/>
          </w:tcPr>
          <w:p w14:paraId="08BC1F47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-0.33647</w:t>
            </w:r>
          </w:p>
        </w:tc>
        <w:tc>
          <w:tcPr>
            <w:tcW w:w="66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088DE8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14A5ABC2" w14:textId="77777777" w:rsidTr="00255792">
        <w:trPr>
          <w:trHeight w:val="270"/>
          <w:jc w:val="center"/>
        </w:trPr>
        <w:tc>
          <w:tcPr>
            <w:tcW w:w="1763" w:type="dxa"/>
            <w:tcBorders>
              <w:top w:val="nil"/>
              <w:bottom w:val="single" w:sz="2" w:space="0" w:color="auto"/>
            </w:tcBorders>
            <w:shd w:val="clear" w:color="000000" w:fill="E6E6E6"/>
            <w:noWrap/>
            <w:vAlign w:val="center"/>
            <w:hideMark/>
          </w:tcPr>
          <w:p w14:paraId="69935E17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lastRenderedPageBreak/>
              <w:t>Nicotinurate</w:t>
            </w:r>
          </w:p>
        </w:tc>
        <w:tc>
          <w:tcPr>
            <w:tcW w:w="1485" w:type="dxa"/>
            <w:tcBorders>
              <w:top w:val="nil"/>
              <w:bottom w:val="single" w:sz="2" w:space="0" w:color="auto"/>
            </w:tcBorders>
            <w:shd w:val="clear" w:color="000000" w:fill="9999FF"/>
            <w:noWrap/>
            <w:vAlign w:val="center"/>
            <w:hideMark/>
          </w:tcPr>
          <w:p w14:paraId="558D757E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-0.3414</w:t>
            </w:r>
          </w:p>
        </w:tc>
        <w:tc>
          <w:tcPr>
            <w:tcW w:w="711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EE13426" w14:textId="77777777" w:rsidR="00D44ADE" w:rsidRPr="004E1CE0" w:rsidRDefault="00D44ADE" w:rsidP="00216D6C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557" w:type="dxa"/>
            <w:tcBorders>
              <w:top w:val="nil"/>
              <w:bottom w:val="single" w:sz="2" w:space="0" w:color="auto"/>
            </w:tcBorders>
            <w:shd w:val="clear" w:color="000000" w:fill="CCCCFF"/>
            <w:noWrap/>
            <w:vAlign w:val="center"/>
            <w:hideMark/>
          </w:tcPr>
          <w:p w14:paraId="109A5353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-0.19913</w:t>
            </w:r>
          </w:p>
        </w:tc>
        <w:tc>
          <w:tcPr>
            <w:tcW w:w="666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0B7B4F81" w14:textId="77777777" w:rsidR="00D44ADE" w:rsidRPr="004E1CE0" w:rsidRDefault="00D44ADE" w:rsidP="00216D6C">
            <w:pPr>
              <w:widowControl/>
              <w:jc w:val="righ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2BAE52E" w14:textId="77777777" w:rsidR="00D44ADE" w:rsidRPr="004E1CE0" w:rsidRDefault="00D44ADE" w:rsidP="00CC2942">
      <w:pPr>
        <w:widowControl/>
        <w:spacing w:line="480" w:lineRule="auto"/>
        <w:jc w:val="left"/>
        <w:rPr>
          <w:rFonts w:cs="Times New Roman"/>
          <w:color w:val="000000"/>
          <w:sz w:val="20"/>
          <w:szCs w:val="20"/>
        </w:rPr>
      </w:pPr>
      <w:r w:rsidRPr="004E1CE0">
        <w:rPr>
          <w:rFonts w:cs="Times New Roman"/>
          <w:color w:val="000000"/>
          <w:sz w:val="20"/>
          <w:szCs w:val="20"/>
          <w:vertAlign w:val="superscript"/>
        </w:rPr>
        <w:t>a</w:t>
      </w:r>
      <w:r w:rsidRPr="004E1CE0">
        <w:rPr>
          <w:rFonts w:cs="Times New Roman"/>
          <w:color w:val="000000"/>
          <w:sz w:val="20"/>
          <w:szCs w:val="20"/>
        </w:rPr>
        <w:t xml:space="preserve">Metabolite color bar </w:t>
      </w:r>
    </w:p>
    <w:p w14:paraId="46F6D5ED" w14:textId="77777777" w:rsidR="00D44ADE" w:rsidRPr="004E1CE0" w:rsidRDefault="00D44ADE" w:rsidP="00CC2942">
      <w:pPr>
        <w:widowControl/>
        <w:spacing w:line="480" w:lineRule="auto"/>
        <w:jc w:val="center"/>
        <w:rPr>
          <w:rFonts w:cs="Times New Roman"/>
          <w:color w:val="000000"/>
          <w:kern w:val="0"/>
          <w:sz w:val="20"/>
          <w:szCs w:val="20"/>
        </w:rPr>
      </w:pPr>
      <w:r w:rsidRPr="004E1CE0">
        <w:rPr>
          <w:rFonts w:cs="Times New Roman"/>
          <w:noProof/>
          <w:color w:val="000000"/>
          <w:kern w:val="0"/>
          <w:sz w:val="20"/>
          <w:szCs w:val="20"/>
        </w:rPr>
        <w:drawing>
          <wp:inline distT="0" distB="0" distL="0" distR="0" wp14:anchorId="0865216C" wp14:editId="2ABFEEFF">
            <wp:extent cx="2407752" cy="391748"/>
            <wp:effectExtent l="0" t="0" r="0" b="8890"/>
            <wp:docPr id="4" name="图片 4" descr="C:\Users\Nolans\Desktop\color ba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olans\Desktop\color bar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794" cy="406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1CE0">
        <w:rPr>
          <w:rFonts w:cs="Times New Roman"/>
          <w:color w:val="000000"/>
          <w:kern w:val="0"/>
          <w:sz w:val="20"/>
          <w:szCs w:val="20"/>
        </w:rPr>
        <w:t xml:space="preserve"> </w:t>
      </w:r>
    </w:p>
    <w:p w14:paraId="0679B221" w14:textId="77777777" w:rsidR="00D44ADE" w:rsidRPr="004E1CE0" w:rsidRDefault="00D44ADE" w:rsidP="00CC2942">
      <w:pPr>
        <w:widowControl/>
        <w:spacing w:line="480" w:lineRule="auto"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bookmarkStart w:id="9" w:name="OLE_LINK486"/>
      <w:bookmarkStart w:id="10" w:name="OLE_LINK487"/>
      <w:bookmarkStart w:id="11" w:name="OLE_LINK488"/>
      <w:r w:rsidRPr="004E1CE0">
        <w:rPr>
          <w:rStyle w:val="fontstyle01"/>
          <w:rFonts w:ascii="Times New Roman" w:hAnsi="Times New Roman" w:cs="Times New Roman"/>
          <w:sz w:val="20"/>
          <w:szCs w:val="20"/>
        </w:rPr>
        <w:t>Color coded according to log</w:t>
      </w:r>
      <w:r w:rsidRPr="004E1CE0">
        <w:rPr>
          <w:rStyle w:val="fontstyle01"/>
          <w:rFonts w:ascii="Times New Roman" w:hAnsi="Times New Roman" w:cs="Times New Roman"/>
          <w:sz w:val="20"/>
          <w:szCs w:val="20"/>
          <w:vertAlign w:val="subscript"/>
        </w:rPr>
        <w:t>2</w:t>
      </w:r>
      <w:r w:rsidRPr="004E1CE0">
        <w:rPr>
          <w:rStyle w:val="fontstyle01"/>
          <w:rFonts w:ascii="Times New Roman" w:hAnsi="Times New Roman" w:cs="Times New Roman"/>
          <w:sz w:val="20"/>
          <w:szCs w:val="20"/>
        </w:rPr>
        <w:t xml:space="preserve">(FC), red represents the increase and blue the decrease in the treated groups. </w:t>
      </w:r>
      <w:bookmarkStart w:id="12" w:name="OLE_LINK70"/>
      <w:bookmarkEnd w:id="9"/>
      <w:bookmarkEnd w:id="10"/>
      <w:bookmarkEnd w:id="11"/>
      <w:r w:rsidRPr="004E1CE0">
        <w:rPr>
          <w:rStyle w:val="fontstyle01"/>
          <w:rFonts w:ascii="Times New Roman" w:hAnsi="Times New Roman" w:cs="Times New Roman"/>
          <w:sz w:val="20"/>
          <w:szCs w:val="20"/>
        </w:rPr>
        <w:t>P value are adjusted as following</w:t>
      </w:r>
      <w:bookmarkEnd w:id="12"/>
      <w:r w:rsidRPr="004E1CE0">
        <w:rPr>
          <w:rStyle w:val="fontstyle01"/>
          <w:rFonts w:ascii="Times New Roman" w:hAnsi="Times New Roman" w:cs="Times New Roman"/>
          <w:sz w:val="20"/>
          <w:szCs w:val="20"/>
        </w:rPr>
        <w:t>: *p &lt; 0.05, **p &lt; 0.01, ***p &lt; 0.001.</w:t>
      </w:r>
    </w:p>
    <w:p w14:paraId="05B344FA" w14:textId="77777777" w:rsidR="005666BF" w:rsidRPr="004E1CE0" w:rsidRDefault="0074292C" w:rsidP="0074292C">
      <w:pPr>
        <w:widowControl/>
        <w:jc w:val="left"/>
        <w:rPr>
          <w:rFonts w:ascii="AdvGulliv-R" w:hAnsi="AdvGulliv-R" w:cs="Times New Roman" w:hint="eastAsia"/>
          <w:color w:val="000000"/>
          <w:sz w:val="20"/>
          <w:szCs w:val="20"/>
        </w:rPr>
      </w:pPr>
      <w:r w:rsidRPr="004E1CE0">
        <w:rPr>
          <w:rFonts w:ascii="AdvGulliv-R" w:hAnsi="AdvGulliv-R" w:cs="Times New Roman" w:hint="eastAsia"/>
          <w:color w:val="000000"/>
          <w:sz w:val="20"/>
          <w:szCs w:val="20"/>
        </w:rPr>
        <w:br w:type="page"/>
      </w:r>
    </w:p>
    <w:p w14:paraId="4969EC02" w14:textId="2D6CB9BB" w:rsidR="00D44ADE" w:rsidRPr="004E1CE0" w:rsidRDefault="00D44ADE" w:rsidP="00CC2942">
      <w:pPr>
        <w:widowControl/>
        <w:spacing w:after="240" w:line="480" w:lineRule="auto"/>
        <w:jc w:val="center"/>
        <w:rPr>
          <w:rFonts w:ascii="AdvGulliv-R" w:hAnsi="AdvGulliv-R" w:cs="Times New Roman" w:hint="eastAsia"/>
          <w:color w:val="000000"/>
          <w:sz w:val="20"/>
          <w:szCs w:val="20"/>
        </w:rPr>
      </w:pPr>
      <w:r w:rsidRPr="004E1CE0">
        <w:rPr>
          <w:rFonts w:ascii="AdvGulliv-R" w:hAnsi="AdvGulliv-R" w:cs="Times New Roman"/>
          <w:b/>
          <w:color w:val="000000"/>
          <w:sz w:val="20"/>
          <w:szCs w:val="20"/>
        </w:rPr>
        <w:lastRenderedPageBreak/>
        <w:t>Table S2</w:t>
      </w:r>
      <w:r w:rsidRPr="004E1CE0">
        <w:rPr>
          <w:rFonts w:ascii="AdvGulliv-R" w:hAnsi="AdvGulliv-R" w:cs="Times New Roman"/>
          <w:color w:val="000000"/>
          <w:sz w:val="20"/>
          <w:szCs w:val="20"/>
        </w:rPr>
        <w:t xml:space="preserve"> </w:t>
      </w:r>
      <w:r w:rsidRPr="004E1CE0">
        <w:rPr>
          <w:rFonts w:cs="Times New Roman"/>
          <w:color w:val="000000"/>
          <w:sz w:val="20"/>
          <w:szCs w:val="20"/>
        </w:rPr>
        <w:t xml:space="preserve">Identified metabolites for </w:t>
      </w:r>
      <w:r w:rsidR="00FB6E18" w:rsidRPr="004E1CE0">
        <w:rPr>
          <w:rFonts w:cs="Times New Roman"/>
          <w:color w:val="000000"/>
          <w:sz w:val="20"/>
          <w:szCs w:val="20"/>
        </w:rPr>
        <w:t xml:space="preserve">brain </w:t>
      </w:r>
      <w:r w:rsidRPr="004E1CE0">
        <w:rPr>
          <w:rFonts w:cs="Times New Roman"/>
          <w:color w:val="000000"/>
          <w:sz w:val="20"/>
          <w:szCs w:val="20"/>
        </w:rPr>
        <w:t>with fold change (FC)</w:t>
      </w:r>
      <w:r w:rsidRPr="004E1CE0">
        <w:rPr>
          <w:rFonts w:cs="Times New Roman"/>
          <w:color w:val="000000"/>
          <w:sz w:val="20"/>
          <w:szCs w:val="20"/>
          <w:vertAlign w:val="superscript"/>
        </w:rPr>
        <w:t>a</w:t>
      </w:r>
      <w:r w:rsidRPr="004E1CE0">
        <w:rPr>
          <w:rFonts w:cs="Times New Roman"/>
          <w:color w:val="000000"/>
          <w:sz w:val="20"/>
          <w:szCs w:val="20"/>
        </w:rPr>
        <w:t xml:space="preserve"> and P value</w:t>
      </w:r>
      <w:r w:rsidRPr="004E1CE0">
        <w:rPr>
          <w:rFonts w:cs="Times New Roman"/>
          <w:color w:val="000000"/>
          <w:sz w:val="20"/>
          <w:szCs w:val="20"/>
          <w:vertAlign w:val="superscript"/>
        </w:rPr>
        <w:t>b</w:t>
      </w:r>
      <w:r w:rsidRPr="004E1CE0">
        <w:rPr>
          <w:rFonts w:cs="Times New Roman"/>
          <w:sz w:val="20"/>
          <w:szCs w:val="20"/>
        </w:rPr>
        <w:t xml:space="preserve"> </w:t>
      </w:r>
    </w:p>
    <w:tbl>
      <w:tblPr>
        <w:tblW w:w="6590" w:type="dxa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086"/>
        <w:gridCol w:w="1600"/>
        <w:gridCol w:w="652"/>
        <w:gridCol w:w="1474"/>
        <w:gridCol w:w="778"/>
      </w:tblGrid>
      <w:tr w:rsidR="00867BB9" w:rsidRPr="004E1CE0" w14:paraId="6518DA02" w14:textId="77777777" w:rsidTr="00867BB9">
        <w:trPr>
          <w:trHeight w:val="300"/>
          <w:jc w:val="center"/>
        </w:trPr>
        <w:tc>
          <w:tcPr>
            <w:tcW w:w="2086" w:type="dxa"/>
            <w:vMerge w:val="restart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7F8FE39C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Metabolites</w:t>
            </w:r>
          </w:p>
        </w:tc>
        <w:tc>
          <w:tcPr>
            <w:tcW w:w="1600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E489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LD vs. CON</w:t>
            </w:r>
          </w:p>
        </w:tc>
        <w:tc>
          <w:tcPr>
            <w:tcW w:w="652" w:type="dxa"/>
            <w:vMerge w:val="restart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F1B4831" w14:textId="77777777" w:rsidR="00867BB9" w:rsidRPr="004E1CE0" w:rsidRDefault="00867BB9" w:rsidP="00216D6C">
            <w:pPr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 w:hint="eastAsia"/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474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D5345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H</w:t>
            </w: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D vs. CON</w:t>
            </w:r>
          </w:p>
        </w:tc>
        <w:tc>
          <w:tcPr>
            <w:tcW w:w="778" w:type="dxa"/>
            <w:vMerge w:val="restart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3860653E" w14:textId="77777777" w:rsidR="00867BB9" w:rsidRPr="004E1CE0" w:rsidRDefault="00867BB9" w:rsidP="00216D6C">
            <w:pPr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 w:hint="eastAsia"/>
                <w:i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867BB9" w:rsidRPr="004E1CE0" w14:paraId="7CF2F7E7" w14:textId="77777777" w:rsidTr="00216D6C">
        <w:trPr>
          <w:trHeight w:val="300"/>
          <w:jc w:val="center"/>
        </w:trPr>
        <w:tc>
          <w:tcPr>
            <w:tcW w:w="208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705A71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4A611D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Log</w:t>
            </w: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FC</w:t>
            </w: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52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7C7AFD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871380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Log</w:t>
            </w: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(</w:t>
            </w: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FC</w:t>
            </w:r>
            <w:r w:rsidRPr="004E1CE0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78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03FC4D" w14:textId="77777777" w:rsidR="00867BB9" w:rsidRPr="004E1CE0" w:rsidRDefault="00867BB9" w:rsidP="00216D6C">
            <w:pPr>
              <w:widowControl/>
              <w:jc w:val="center"/>
              <w:rPr>
                <w:rFonts w:cs="Times New Roman"/>
                <w:i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137832FB" w14:textId="77777777" w:rsidTr="00216D6C">
        <w:trPr>
          <w:trHeight w:val="300"/>
          <w:jc w:val="center"/>
        </w:trPr>
        <w:tc>
          <w:tcPr>
            <w:tcW w:w="2086" w:type="dxa"/>
            <w:tcBorders>
              <w:top w:val="single" w:sz="4" w:space="0" w:color="auto"/>
            </w:tcBorders>
            <w:shd w:val="clear" w:color="000000" w:fill="CCCCCC"/>
            <w:noWrap/>
            <w:vAlign w:val="center"/>
            <w:hideMark/>
          </w:tcPr>
          <w:p w14:paraId="101D424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Isoleucine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D84138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-0.126</w:t>
            </w:r>
          </w:p>
        </w:tc>
        <w:tc>
          <w:tcPr>
            <w:tcW w:w="6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004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B8E772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-0.140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92D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7BEA214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054882F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Leucine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9D588B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-0.071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1FEA8A6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3CD6F6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B37D3A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85EE4E7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575CA3F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Valine</w:t>
            </w:r>
          </w:p>
        </w:tc>
        <w:tc>
          <w:tcPr>
            <w:tcW w:w="1600" w:type="dxa"/>
            <w:shd w:val="clear" w:color="000000" w:fill="CCCCFF"/>
            <w:noWrap/>
            <w:vAlign w:val="center"/>
            <w:hideMark/>
          </w:tcPr>
          <w:p w14:paraId="180B3E9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-0.109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026D8E2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3FF38A2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D08743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2CCAFE6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7B804F0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Isobutyrate</w:t>
            </w:r>
          </w:p>
        </w:tc>
        <w:tc>
          <w:tcPr>
            <w:tcW w:w="1600" w:type="dxa"/>
            <w:shd w:val="clear" w:color="000000" w:fill="6666FF"/>
            <w:noWrap/>
            <w:vAlign w:val="center"/>
            <w:hideMark/>
          </w:tcPr>
          <w:p w14:paraId="04659D7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-0.532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4956758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CCCCFF"/>
            <w:noWrap/>
            <w:vAlign w:val="center"/>
            <w:hideMark/>
          </w:tcPr>
          <w:p w14:paraId="14E7CF0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-0.160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BFF0E1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EE00930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2184C3B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Lactate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D5580B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543918D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D7B013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-0.077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2EB7B2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2266B5B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73CD72F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Alanine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BC069B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0FA542D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5201068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C63F7C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D136A5E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46F173E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Lysine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7F72EE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20CFBF5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CCCCFF"/>
            <w:noWrap/>
            <w:vAlign w:val="center"/>
            <w:hideMark/>
          </w:tcPr>
          <w:p w14:paraId="5CEC61D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-0.200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37365C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22EC0F09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5CE4561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Acetate</w:t>
            </w:r>
          </w:p>
        </w:tc>
        <w:tc>
          <w:tcPr>
            <w:tcW w:w="1600" w:type="dxa"/>
            <w:shd w:val="clear" w:color="000000" w:fill="CCCCFF"/>
            <w:noWrap/>
            <w:vAlign w:val="center"/>
            <w:hideMark/>
          </w:tcPr>
          <w:p w14:paraId="3EC878B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-0.106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2BCAF63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CCCC"/>
            <w:noWrap/>
            <w:vAlign w:val="center"/>
            <w:hideMark/>
          </w:tcPr>
          <w:p w14:paraId="2453921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1933FC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37CDD9A3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5509807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Acetamide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689352C3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-0.057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76DAFFB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CCCCFF"/>
            <w:noWrap/>
            <w:vAlign w:val="center"/>
            <w:hideMark/>
          </w:tcPr>
          <w:p w14:paraId="4A92145C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-0.106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123DC7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09F44DB8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6F23073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Glutamate</w:t>
            </w:r>
          </w:p>
        </w:tc>
        <w:tc>
          <w:tcPr>
            <w:tcW w:w="1600" w:type="dxa"/>
            <w:shd w:val="clear" w:color="000000" w:fill="CCCCFF"/>
            <w:noWrap/>
            <w:vAlign w:val="center"/>
            <w:hideMark/>
          </w:tcPr>
          <w:p w14:paraId="2DD8FAB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-0.154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7816EC4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22729F8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-0.081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25DF7B3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C2756C3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7C564E7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Glutamine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60CA45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7E095C2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CCCC"/>
            <w:noWrap/>
            <w:vAlign w:val="center"/>
            <w:hideMark/>
          </w:tcPr>
          <w:p w14:paraId="4821D12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461EF5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0AA7F437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1C384A3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Succinate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684C00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1DC6C8E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6E15CD8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57BD50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EBF4926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68509BD3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Citrate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776D02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241D6F7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849304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ACDA853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1485D7D4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1B661E3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Sarcosine</w:t>
            </w:r>
          </w:p>
        </w:tc>
        <w:tc>
          <w:tcPr>
            <w:tcW w:w="1600" w:type="dxa"/>
            <w:shd w:val="clear" w:color="000000" w:fill="CCCCFF"/>
            <w:noWrap/>
            <w:vAlign w:val="center"/>
            <w:hideMark/>
          </w:tcPr>
          <w:p w14:paraId="37A1A43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-0.152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4F254DA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CCCCFF"/>
            <w:noWrap/>
            <w:vAlign w:val="center"/>
            <w:hideMark/>
          </w:tcPr>
          <w:p w14:paraId="65202B8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-0.273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1E328E3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41B38E7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6DB5945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Creatine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6A07B90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4551EDA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317DF2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5D91583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1EBACAA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4362C89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O.Acetylcarnitine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FB5239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232230B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CCCC"/>
            <w:noWrap/>
            <w:vAlign w:val="center"/>
            <w:hideMark/>
          </w:tcPr>
          <w:p w14:paraId="71B2C6EC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28636A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167AA4FF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694BC34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Choline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A90877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35A9AAE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CCCC"/>
            <w:noWrap/>
            <w:vAlign w:val="center"/>
            <w:hideMark/>
          </w:tcPr>
          <w:p w14:paraId="490F705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0.198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055611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02B4ADA8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7A18850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Carnitine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19B3645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121C08B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CCCC"/>
            <w:noWrap/>
            <w:vAlign w:val="center"/>
            <w:hideMark/>
          </w:tcPr>
          <w:p w14:paraId="5887EC9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18B291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88844CD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6876A60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O.Acetylcholine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ACC238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747BB95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CCCCFF"/>
            <w:noWrap/>
            <w:vAlign w:val="center"/>
            <w:hideMark/>
          </w:tcPr>
          <w:p w14:paraId="49836EB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-0.235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23B506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3FD83544" w14:textId="77777777" w:rsidTr="00216D6C">
        <w:trPr>
          <w:trHeight w:val="30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2EC44DF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Taurine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3BEF6F8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6B97028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1B490FD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5CF1B5CC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68B32D32" w14:textId="77777777" w:rsidTr="0049452C">
        <w:trPr>
          <w:trHeight w:val="300"/>
          <w:jc w:val="center"/>
        </w:trPr>
        <w:tc>
          <w:tcPr>
            <w:tcW w:w="2086" w:type="dxa"/>
            <w:tcBorders>
              <w:bottom w:val="nil"/>
            </w:tcBorders>
            <w:shd w:val="clear" w:color="000000" w:fill="E6E6E6"/>
            <w:noWrap/>
            <w:vAlign w:val="center"/>
            <w:hideMark/>
          </w:tcPr>
          <w:p w14:paraId="6480499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Methanol</w:t>
            </w:r>
          </w:p>
        </w:tc>
        <w:tc>
          <w:tcPr>
            <w:tcW w:w="16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94288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-0.047</w:t>
            </w:r>
          </w:p>
        </w:tc>
        <w:tc>
          <w:tcPr>
            <w:tcW w:w="65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6E3BAD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984280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77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010895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C225D58" w14:textId="77777777" w:rsidTr="0049452C">
        <w:trPr>
          <w:trHeight w:val="300"/>
          <w:jc w:val="center"/>
        </w:trPr>
        <w:tc>
          <w:tcPr>
            <w:tcW w:w="2086" w:type="dxa"/>
            <w:tcBorders>
              <w:top w:val="nil"/>
              <w:bottom w:val="nil"/>
            </w:tcBorders>
            <w:shd w:val="clear" w:color="000000" w:fill="CCCCCC"/>
            <w:noWrap/>
            <w:vAlign w:val="center"/>
            <w:hideMark/>
          </w:tcPr>
          <w:p w14:paraId="3CD9B4A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Betaine</w:t>
            </w:r>
          </w:p>
        </w:tc>
        <w:tc>
          <w:tcPr>
            <w:tcW w:w="1600" w:type="dxa"/>
            <w:tcBorders>
              <w:top w:val="nil"/>
              <w:bottom w:val="nil"/>
            </w:tcBorders>
            <w:shd w:val="clear" w:color="000000" w:fill="CCCCFF"/>
            <w:noWrap/>
            <w:vAlign w:val="center"/>
            <w:hideMark/>
          </w:tcPr>
          <w:p w14:paraId="06F51EB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-0.220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A7884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shd w:val="clear" w:color="000000" w:fill="CCCCFF"/>
            <w:noWrap/>
            <w:vAlign w:val="center"/>
            <w:hideMark/>
          </w:tcPr>
          <w:p w14:paraId="2A24D28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-0.169</w:t>
            </w:r>
          </w:p>
        </w:tc>
        <w:tc>
          <w:tcPr>
            <w:tcW w:w="7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AE709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2460EAC8" w14:textId="77777777" w:rsidTr="0049452C">
        <w:trPr>
          <w:trHeight w:val="300"/>
          <w:jc w:val="center"/>
        </w:trPr>
        <w:tc>
          <w:tcPr>
            <w:tcW w:w="2086" w:type="dxa"/>
            <w:tcBorders>
              <w:top w:val="nil"/>
            </w:tcBorders>
            <w:shd w:val="clear" w:color="000000" w:fill="E6E6E6"/>
            <w:noWrap/>
            <w:vAlign w:val="center"/>
            <w:hideMark/>
          </w:tcPr>
          <w:p w14:paraId="4D63E8E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myo.Inositol</w:t>
            </w:r>
          </w:p>
        </w:tc>
        <w:tc>
          <w:tcPr>
            <w:tcW w:w="16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CEB1AE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272A9E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3EC513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7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F580F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3A07DEE1" w14:textId="77777777" w:rsidTr="00E37429">
        <w:trPr>
          <w:trHeight w:val="300"/>
          <w:jc w:val="center"/>
        </w:trPr>
        <w:tc>
          <w:tcPr>
            <w:tcW w:w="2086" w:type="dxa"/>
            <w:tcBorders>
              <w:bottom w:val="nil"/>
            </w:tcBorders>
            <w:shd w:val="clear" w:color="000000" w:fill="CCCCCC"/>
            <w:noWrap/>
            <w:vAlign w:val="center"/>
            <w:hideMark/>
          </w:tcPr>
          <w:p w14:paraId="351BC1D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Glycine</w:t>
            </w:r>
          </w:p>
        </w:tc>
        <w:tc>
          <w:tcPr>
            <w:tcW w:w="16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E81E0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-0.073</w:t>
            </w:r>
          </w:p>
        </w:tc>
        <w:tc>
          <w:tcPr>
            <w:tcW w:w="65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D428D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2E979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77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7A688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5CB43134" w14:textId="77777777" w:rsidTr="00E37429">
        <w:trPr>
          <w:trHeight w:val="270"/>
          <w:jc w:val="center"/>
        </w:trPr>
        <w:tc>
          <w:tcPr>
            <w:tcW w:w="2086" w:type="dxa"/>
            <w:tcBorders>
              <w:top w:val="nil"/>
              <w:bottom w:val="nil"/>
            </w:tcBorders>
            <w:shd w:val="clear" w:color="000000" w:fill="E6E6E6"/>
            <w:noWrap/>
            <w:vAlign w:val="center"/>
            <w:hideMark/>
          </w:tcPr>
          <w:p w14:paraId="5AFE1DC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Histidine</w:t>
            </w:r>
          </w:p>
        </w:tc>
        <w:tc>
          <w:tcPr>
            <w:tcW w:w="16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CA26EC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65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4429B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bottom w:val="nil"/>
            </w:tcBorders>
            <w:shd w:val="clear" w:color="000000" w:fill="FFCCCC"/>
            <w:noWrap/>
            <w:vAlign w:val="center"/>
            <w:hideMark/>
          </w:tcPr>
          <w:p w14:paraId="09002BB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7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9AD39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740C5299" w14:textId="77777777" w:rsidTr="00E37429">
        <w:trPr>
          <w:trHeight w:val="270"/>
          <w:jc w:val="center"/>
        </w:trPr>
        <w:tc>
          <w:tcPr>
            <w:tcW w:w="2086" w:type="dxa"/>
            <w:tcBorders>
              <w:top w:val="nil"/>
            </w:tcBorders>
            <w:shd w:val="clear" w:color="000000" w:fill="CCCCCC"/>
            <w:noWrap/>
            <w:vAlign w:val="center"/>
            <w:hideMark/>
          </w:tcPr>
          <w:p w14:paraId="07D0809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Inosine</w:t>
            </w:r>
          </w:p>
        </w:tc>
        <w:tc>
          <w:tcPr>
            <w:tcW w:w="16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E10AF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6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6FCE0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40946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7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C89F86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01F5B092" w14:textId="77777777" w:rsidTr="00216D6C">
        <w:trPr>
          <w:trHeight w:val="27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17C9B21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Uridine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FC1F59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3EF7AED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9999"/>
            <w:noWrap/>
            <w:vAlign w:val="center"/>
            <w:hideMark/>
          </w:tcPr>
          <w:p w14:paraId="3EFC750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762198F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D44ADE" w:rsidRPr="004E1CE0" w14:paraId="7EE26473" w14:textId="77777777" w:rsidTr="00216D6C">
        <w:trPr>
          <w:trHeight w:val="27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4983821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AMP</w:t>
            </w:r>
          </w:p>
        </w:tc>
        <w:tc>
          <w:tcPr>
            <w:tcW w:w="1600" w:type="dxa"/>
            <w:shd w:val="clear" w:color="000000" w:fill="CCCCFF"/>
            <w:noWrap/>
            <w:vAlign w:val="center"/>
            <w:hideMark/>
          </w:tcPr>
          <w:p w14:paraId="552391C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-0.189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509BE70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07FA63F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-0.059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2BDAAB1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AB6923A" w14:textId="77777777" w:rsidTr="00216D6C">
        <w:trPr>
          <w:trHeight w:val="27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4E347A7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Fumarate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E4B66F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-0.085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3DBA315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CCCC"/>
            <w:noWrap/>
            <w:vAlign w:val="center"/>
            <w:hideMark/>
          </w:tcPr>
          <w:p w14:paraId="2B03394F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35BA64B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6CE3A9B8" w14:textId="77777777" w:rsidTr="00216D6C">
        <w:trPr>
          <w:trHeight w:val="27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59149B6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Tyrosine</w:t>
            </w:r>
          </w:p>
        </w:tc>
        <w:tc>
          <w:tcPr>
            <w:tcW w:w="1600" w:type="dxa"/>
            <w:shd w:val="clear" w:color="000000" w:fill="CCCCFF"/>
            <w:noWrap/>
            <w:vAlign w:val="center"/>
            <w:hideMark/>
          </w:tcPr>
          <w:p w14:paraId="069B951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-0.102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19B2794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CCCCFF"/>
            <w:noWrap/>
            <w:vAlign w:val="center"/>
            <w:hideMark/>
          </w:tcPr>
          <w:p w14:paraId="6EE46DC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-0.185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C54D10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1338F5F5" w14:textId="77777777" w:rsidTr="00216D6C">
        <w:trPr>
          <w:trHeight w:val="27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74F2F02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Phenylalanine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26F4E3C3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1BD27B98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auto" w:fill="auto"/>
            <w:noWrap/>
            <w:vAlign w:val="center"/>
            <w:hideMark/>
          </w:tcPr>
          <w:p w14:paraId="74DC423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0.094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40E4590C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564F756A" w14:textId="77777777" w:rsidTr="00216D6C">
        <w:trPr>
          <w:trHeight w:val="270"/>
          <w:jc w:val="center"/>
        </w:trPr>
        <w:tc>
          <w:tcPr>
            <w:tcW w:w="2086" w:type="dxa"/>
            <w:shd w:val="clear" w:color="000000" w:fill="CCCCCC"/>
            <w:noWrap/>
            <w:vAlign w:val="center"/>
            <w:hideMark/>
          </w:tcPr>
          <w:p w14:paraId="0B406E4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Nicotinurate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41D27A9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42B50D6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FFCCCC"/>
            <w:noWrap/>
            <w:vAlign w:val="center"/>
            <w:hideMark/>
          </w:tcPr>
          <w:p w14:paraId="36D00481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6549ABC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0A98CDDF" w14:textId="77777777" w:rsidTr="00216D6C">
        <w:trPr>
          <w:trHeight w:val="270"/>
          <w:jc w:val="center"/>
        </w:trPr>
        <w:tc>
          <w:tcPr>
            <w:tcW w:w="2086" w:type="dxa"/>
            <w:shd w:val="clear" w:color="000000" w:fill="E6E6E6"/>
            <w:noWrap/>
            <w:vAlign w:val="center"/>
            <w:hideMark/>
          </w:tcPr>
          <w:p w14:paraId="41583CF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Xanthine</w:t>
            </w:r>
          </w:p>
        </w:tc>
        <w:tc>
          <w:tcPr>
            <w:tcW w:w="1600" w:type="dxa"/>
            <w:shd w:val="clear" w:color="auto" w:fill="auto"/>
            <w:noWrap/>
            <w:vAlign w:val="center"/>
            <w:hideMark/>
          </w:tcPr>
          <w:p w14:paraId="7127F1A6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-0.062</w:t>
            </w:r>
          </w:p>
        </w:tc>
        <w:tc>
          <w:tcPr>
            <w:tcW w:w="652" w:type="dxa"/>
            <w:shd w:val="clear" w:color="auto" w:fill="auto"/>
            <w:noWrap/>
            <w:vAlign w:val="center"/>
            <w:hideMark/>
          </w:tcPr>
          <w:p w14:paraId="246E5B4D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shd w:val="clear" w:color="000000" w:fill="0000FF"/>
            <w:noWrap/>
            <w:vAlign w:val="center"/>
            <w:hideMark/>
          </w:tcPr>
          <w:p w14:paraId="38B16553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-1.188</w:t>
            </w:r>
          </w:p>
        </w:tc>
        <w:tc>
          <w:tcPr>
            <w:tcW w:w="778" w:type="dxa"/>
            <w:shd w:val="clear" w:color="auto" w:fill="auto"/>
            <w:noWrap/>
            <w:vAlign w:val="center"/>
            <w:hideMark/>
          </w:tcPr>
          <w:p w14:paraId="0888FE84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4781E5A1" w14:textId="77777777" w:rsidTr="0049452C">
        <w:trPr>
          <w:trHeight w:val="270"/>
          <w:jc w:val="center"/>
        </w:trPr>
        <w:tc>
          <w:tcPr>
            <w:tcW w:w="2086" w:type="dxa"/>
            <w:tcBorders>
              <w:bottom w:val="nil"/>
            </w:tcBorders>
            <w:shd w:val="clear" w:color="000000" w:fill="CCCCCC"/>
            <w:noWrap/>
            <w:vAlign w:val="center"/>
            <w:hideMark/>
          </w:tcPr>
          <w:p w14:paraId="231E952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Hypoxanthine</w:t>
            </w:r>
          </w:p>
        </w:tc>
        <w:tc>
          <w:tcPr>
            <w:tcW w:w="1600" w:type="dxa"/>
            <w:tcBorders>
              <w:bottom w:val="nil"/>
            </w:tcBorders>
            <w:shd w:val="clear" w:color="000000" w:fill="CCCCFF"/>
            <w:noWrap/>
            <w:vAlign w:val="center"/>
            <w:hideMark/>
          </w:tcPr>
          <w:p w14:paraId="674D4C17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-0.139</w:t>
            </w:r>
          </w:p>
        </w:tc>
        <w:tc>
          <w:tcPr>
            <w:tcW w:w="65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6CF469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E922C2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77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E73250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D44ADE" w:rsidRPr="004E1CE0" w14:paraId="52C29695" w14:textId="77777777" w:rsidTr="0049452C">
        <w:trPr>
          <w:trHeight w:val="270"/>
          <w:jc w:val="center"/>
        </w:trPr>
        <w:tc>
          <w:tcPr>
            <w:tcW w:w="2086" w:type="dxa"/>
            <w:tcBorders>
              <w:top w:val="nil"/>
              <w:bottom w:val="single" w:sz="2" w:space="0" w:color="auto"/>
            </w:tcBorders>
            <w:shd w:val="clear" w:color="000000" w:fill="E6E6E6"/>
            <w:noWrap/>
            <w:vAlign w:val="center"/>
            <w:hideMark/>
          </w:tcPr>
          <w:p w14:paraId="5D531EA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Formate</w:t>
            </w:r>
          </w:p>
        </w:tc>
        <w:tc>
          <w:tcPr>
            <w:tcW w:w="1600" w:type="dxa"/>
            <w:tcBorders>
              <w:top w:val="nil"/>
              <w:bottom w:val="single" w:sz="2" w:space="0" w:color="auto"/>
            </w:tcBorders>
            <w:shd w:val="clear" w:color="000000" w:fill="CCCCFF"/>
            <w:noWrap/>
            <w:vAlign w:val="center"/>
            <w:hideMark/>
          </w:tcPr>
          <w:p w14:paraId="58CC3D0B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-0.127</w:t>
            </w:r>
          </w:p>
        </w:tc>
        <w:tc>
          <w:tcPr>
            <w:tcW w:w="652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2E4EAE4E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1B81C1F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4E1CE0">
              <w:rPr>
                <w:rFonts w:cs="Times New Roman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778" w:type="dxa"/>
            <w:tcBorders>
              <w:top w:val="nil"/>
              <w:bottom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5BFB4CEA" w14:textId="77777777" w:rsidR="00D44ADE" w:rsidRPr="004E1CE0" w:rsidRDefault="00D44ADE" w:rsidP="00216D6C">
            <w:pPr>
              <w:widowControl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0E17A959" w14:textId="77777777" w:rsidR="00D44ADE" w:rsidRPr="004E1CE0" w:rsidRDefault="00D44ADE" w:rsidP="00CC2942">
      <w:pPr>
        <w:widowControl/>
        <w:spacing w:line="480" w:lineRule="auto"/>
        <w:jc w:val="left"/>
        <w:rPr>
          <w:rFonts w:cs="Times New Roman"/>
          <w:color w:val="000000"/>
          <w:sz w:val="20"/>
          <w:szCs w:val="20"/>
        </w:rPr>
      </w:pPr>
      <w:r w:rsidRPr="004E1CE0">
        <w:rPr>
          <w:rFonts w:cs="Times New Roman"/>
          <w:color w:val="000000"/>
          <w:sz w:val="20"/>
          <w:szCs w:val="20"/>
          <w:vertAlign w:val="superscript"/>
        </w:rPr>
        <w:t>a</w:t>
      </w:r>
      <w:r w:rsidRPr="004E1CE0">
        <w:rPr>
          <w:rFonts w:cs="Times New Roman"/>
          <w:color w:val="000000"/>
          <w:sz w:val="20"/>
          <w:szCs w:val="20"/>
        </w:rPr>
        <w:t xml:space="preserve">Metabolite color bar </w:t>
      </w:r>
    </w:p>
    <w:p w14:paraId="3CC87F4B" w14:textId="77777777" w:rsidR="00D44ADE" w:rsidRPr="004E1CE0" w:rsidRDefault="00D44ADE" w:rsidP="00CC2942">
      <w:pPr>
        <w:widowControl/>
        <w:spacing w:line="480" w:lineRule="auto"/>
        <w:jc w:val="center"/>
        <w:rPr>
          <w:rFonts w:cs="Times New Roman"/>
          <w:color w:val="000000"/>
          <w:kern w:val="0"/>
          <w:sz w:val="20"/>
          <w:szCs w:val="20"/>
        </w:rPr>
      </w:pPr>
      <w:r w:rsidRPr="004E1CE0">
        <w:rPr>
          <w:rFonts w:cs="Times New Roman"/>
          <w:b/>
          <w:bCs/>
          <w:noProof/>
          <w:kern w:val="0"/>
          <w:sz w:val="20"/>
          <w:szCs w:val="20"/>
        </w:rPr>
        <w:drawing>
          <wp:inline distT="0" distB="0" distL="0" distR="0" wp14:anchorId="20408069" wp14:editId="658AF277">
            <wp:extent cx="2407752" cy="391748"/>
            <wp:effectExtent l="0" t="0" r="0" b="8890"/>
            <wp:docPr id="6" name="图片 6" descr="C:\Users\Nolans\Desktop\color ba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olans\Desktop\color bar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794" cy="406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8306B" w14:textId="77777777" w:rsidR="00D44ADE" w:rsidRPr="004E1CE0" w:rsidRDefault="00D44ADE" w:rsidP="00CC2942">
      <w:pPr>
        <w:widowControl/>
        <w:spacing w:line="480" w:lineRule="auto"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 w:rsidRPr="004E1CE0"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Color coded according to log</w:t>
      </w:r>
      <w:r w:rsidRPr="004E1CE0">
        <w:rPr>
          <w:rStyle w:val="fontstyle01"/>
          <w:rFonts w:ascii="Times New Roman" w:hAnsi="Times New Roman" w:cs="Times New Roman"/>
          <w:sz w:val="20"/>
          <w:szCs w:val="20"/>
          <w:vertAlign w:val="subscript"/>
        </w:rPr>
        <w:t>2</w:t>
      </w:r>
      <w:r w:rsidRPr="004E1CE0">
        <w:rPr>
          <w:rStyle w:val="fontstyle01"/>
          <w:rFonts w:ascii="Times New Roman" w:hAnsi="Times New Roman" w:cs="Times New Roman"/>
          <w:sz w:val="20"/>
          <w:szCs w:val="20"/>
        </w:rPr>
        <w:t>(FC), red represents the increase and blue the decrease in the treated groups. P value are adjusted as following: *p &lt; 0.05, **p &lt; 0.01, ***p &lt; 0.001.</w:t>
      </w:r>
    </w:p>
    <w:p w14:paraId="04F6605A" w14:textId="77777777" w:rsidR="00D44ADE" w:rsidRPr="004E1CE0" w:rsidRDefault="00D44ADE">
      <w:pPr>
        <w:rPr>
          <w:sz w:val="20"/>
          <w:szCs w:val="20"/>
        </w:rPr>
      </w:pPr>
    </w:p>
    <w:sectPr w:rsidR="00D44ADE" w:rsidRPr="004E1C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73971" w14:textId="77777777" w:rsidR="00702E80" w:rsidRDefault="00702E80" w:rsidP="00B100F8">
      <w:r>
        <w:separator/>
      </w:r>
    </w:p>
  </w:endnote>
  <w:endnote w:type="continuationSeparator" w:id="0">
    <w:p w14:paraId="689BE7F9" w14:textId="77777777" w:rsidR="00702E80" w:rsidRDefault="00702E80" w:rsidP="00B10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4DD3C" w14:textId="77777777" w:rsidR="00702E80" w:rsidRDefault="00702E80" w:rsidP="00B100F8">
      <w:r>
        <w:separator/>
      </w:r>
    </w:p>
  </w:footnote>
  <w:footnote w:type="continuationSeparator" w:id="0">
    <w:p w14:paraId="0C17DBBB" w14:textId="77777777" w:rsidR="00702E80" w:rsidRDefault="00702E80" w:rsidP="00B10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424"/>
    <w:rsid w:val="00003B77"/>
    <w:rsid w:val="000348A6"/>
    <w:rsid w:val="00061081"/>
    <w:rsid w:val="000B3CF4"/>
    <w:rsid w:val="000D2924"/>
    <w:rsid w:val="000D3E32"/>
    <w:rsid w:val="00104646"/>
    <w:rsid w:val="00121315"/>
    <w:rsid w:val="001C1F4A"/>
    <w:rsid w:val="001C526D"/>
    <w:rsid w:val="0020675D"/>
    <w:rsid w:val="00231C3B"/>
    <w:rsid w:val="00255792"/>
    <w:rsid w:val="002B6806"/>
    <w:rsid w:val="002C5831"/>
    <w:rsid w:val="002D642D"/>
    <w:rsid w:val="002E0542"/>
    <w:rsid w:val="003057F5"/>
    <w:rsid w:val="00330424"/>
    <w:rsid w:val="003756DF"/>
    <w:rsid w:val="00394037"/>
    <w:rsid w:val="003B0AF8"/>
    <w:rsid w:val="003E2B73"/>
    <w:rsid w:val="0040172C"/>
    <w:rsid w:val="00410B88"/>
    <w:rsid w:val="0044771D"/>
    <w:rsid w:val="004618A6"/>
    <w:rsid w:val="00462B23"/>
    <w:rsid w:val="0049452C"/>
    <w:rsid w:val="00496891"/>
    <w:rsid w:val="004D0AF0"/>
    <w:rsid w:val="004E1099"/>
    <w:rsid w:val="004E1CE0"/>
    <w:rsid w:val="00510C9E"/>
    <w:rsid w:val="00525EFD"/>
    <w:rsid w:val="00551AF5"/>
    <w:rsid w:val="005666BF"/>
    <w:rsid w:val="00582DFF"/>
    <w:rsid w:val="005A3977"/>
    <w:rsid w:val="00643861"/>
    <w:rsid w:val="006706ED"/>
    <w:rsid w:val="006B2C89"/>
    <w:rsid w:val="006F6D68"/>
    <w:rsid w:val="00702E80"/>
    <w:rsid w:val="0074292C"/>
    <w:rsid w:val="00782F02"/>
    <w:rsid w:val="007850AE"/>
    <w:rsid w:val="007D1FBF"/>
    <w:rsid w:val="00867BB9"/>
    <w:rsid w:val="0087629A"/>
    <w:rsid w:val="0090753F"/>
    <w:rsid w:val="009B7A28"/>
    <w:rsid w:val="009C5CD3"/>
    <w:rsid w:val="009D25C3"/>
    <w:rsid w:val="00A46E8E"/>
    <w:rsid w:val="00A60E6C"/>
    <w:rsid w:val="00A90306"/>
    <w:rsid w:val="00AD679E"/>
    <w:rsid w:val="00B07FDC"/>
    <w:rsid w:val="00B100F8"/>
    <w:rsid w:val="00B579CD"/>
    <w:rsid w:val="00B9128F"/>
    <w:rsid w:val="00BC64BD"/>
    <w:rsid w:val="00BD701D"/>
    <w:rsid w:val="00BF1741"/>
    <w:rsid w:val="00C56AB1"/>
    <w:rsid w:val="00C94212"/>
    <w:rsid w:val="00CC2942"/>
    <w:rsid w:val="00D44ADE"/>
    <w:rsid w:val="00D51E90"/>
    <w:rsid w:val="00DA5C8E"/>
    <w:rsid w:val="00DC2F2C"/>
    <w:rsid w:val="00DE726E"/>
    <w:rsid w:val="00E2471A"/>
    <w:rsid w:val="00E2525F"/>
    <w:rsid w:val="00E37429"/>
    <w:rsid w:val="00E61DE2"/>
    <w:rsid w:val="00EA7EF9"/>
    <w:rsid w:val="00F00844"/>
    <w:rsid w:val="00F10A40"/>
    <w:rsid w:val="00F120BF"/>
    <w:rsid w:val="00F42EEB"/>
    <w:rsid w:val="00FB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D48A2"/>
  <w15:chartTrackingRefBased/>
  <w15:docId w15:val="{F09BD510-3481-4584-8B7F-138FA97E6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00F8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0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00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0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00F8"/>
    <w:rPr>
      <w:sz w:val="18"/>
      <w:szCs w:val="18"/>
    </w:rPr>
  </w:style>
  <w:style w:type="character" w:customStyle="1" w:styleId="fontstyle01">
    <w:name w:val="fontstyle01"/>
    <w:basedOn w:val="a0"/>
    <w:rsid w:val="00B100F8"/>
    <w:rPr>
      <w:rFonts w:ascii="AdvGulliv-R" w:hAnsi="AdvGulliv-R" w:hint="default"/>
      <w:b w:val="0"/>
      <w:bCs w:val="0"/>
      <w:i w:val="0"/>
      <w:iCs w:val="0"/>
      <w:color w:val="000000"/>
      <w:sz w:val="16"/>
      <w:szCs w:val="16"/>
    </w:rPr>
  </w:style>
  <w:style w:type="character" w:styleId="a7">
    <w:name w:val="Hyperlink"/>
    <w:basedOn w:val="a0"/>
    <w:uiPriority w:val="99"/>
    <w:unhideWhenUsed/>
    <w:rsid w:val="00B100F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C526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526D"/>
    <w:rPr>
      <w:sz w:val="18"/>
      <w:szCs w:val="18"/>
    </w:rPr>
  </w:style>
  <w:style w:type="paragraph" w:styleId="aa">
    <w:name w:val="Revision"/>
    <w:hidden/>
    <w:uiPriority w:val="99"/>
    <w:semiHidden/>
    <w:rsid w:val="000B3CF4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.junsong@gmail.com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1672</TotalTime>
  <Pages>10</Pages>
  <Words>877</Words>
  <Characters>5000</Characters>
  <Application>Microsoft Office Word</Application>
  <DocSecurity>0</DocSecurity>
  <Lines>41</Lines>
  <Paragraphs>11</Paragraphs>
  <ScaleCrop>false</ScaleCrop>
  <Company>Microsoft</Company>
  <LinksUpToDate>false</LinksUpToDate>
  <CharactersWithSpaces>5866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Spielberg Nolan</dc:creator>
  <cp:keywords/>
  <dc:description/>
  <cp:lastModifiedBy>Spielberg Nolan</cp:lastModifiedBy>
  <cp:revision>76</cp:revision>
  <dcterms:created xsi:type="dcterms:W3CDTF">2021-03-01T12:58:00Z</dcterms:created>
  <dcterms:modified xsi:type="dcterms:W3CDTF">2022-09-20T14:34:00Z</dcterms:modified>
</cp:coreProperties>
</file>