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716" w:rsidRDefault="00CC5D26">
      <w:bookmarkStart w:id="0" w:name="_GoBack"/>
      <w:bookmarkEnd w:id="0"/>
      <w:r w:rsidRPr="00CC5D26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99CB5B" wp14:editId="161B29FE">
                <wp:simplePos x="0" y="0"/>
                <wp:positionH relativeFrom="margin">
                  <wp:align>left</wp:align>
                </wp:positionH>
                <wp:positionV relativeFrom="paragraph">
                  <wp:posOffset>2753995</wp:posOffset>
                </wp:positionV>
                <wp:extent cx="2265813" cy="830997"/>
                <wp:effectExtent l="0" t="0" r="0" b="0"/>
                <wp:wrapNone/>
                <wp:docPr id="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813" cy="8309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C5D26" w:rsidRPr="00CC5D26" w:rsidRDefault="00CC5D26" w:rsidP="00CC5D2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CC5D26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Data is presented as Mean ± SD</w:t>
                            </w:r>
                          </w:p>
                          <w:p w:rsidR="00CC5D26" w:rsidRPr="00CC5D26" w:rsidRDefault="00CC5D26" w:rsidP="00CC5D2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CC5D26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*P&lt;0.05 vs. control group</w:t>
                            </w:r>
                          </w:p>
                          <w:p w:rsidR="00CC5D26" w:rsidRPr="00CC5D26" w:rsidRDefault="00CC5D26" w:rsidP="00CC5D2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CC5D26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†P&lt;0.05 vs. POAG group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99CB5B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0;margin-top:216.85pt;width:178.4pt;height:65.45pt;z-index:251660288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" filled="f" stroked="f">
                <v:textbox style="mso-fit-shape-to-text:t">
                  <w:txbxContent>
                    <w:p w:rsidR="00CC5D26" w:rsidRPr="00CC5D26" w:rsidRDefault="00CC5D26" w:rsidP="00CC5D26">
                      <w:pPr>
                        <w:pStyle w:val="NormalWeb"/>
                        <w:spacing w:before="0" w:beforeAutospacing="0" w:after="0" w:afterAutospacing="0"/>
                      </w:pPr>
                      <w:r w:rsidRPr="00CC5D26"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>Data is presented as Mean ± SD</w:t>
                      </w:r>
                    </w:p>
                    <w:p w:rsidR="00CC5D26" w:rsidRPr="00CC5D26" w:rsidRDefault="00CC5D26" w:rsidP="00CC5D26">
                      <w:pPr>
                        <w:pStyle w:val="NormalWeb"/>
                        <w:spacing w:before="0" w:beforeAutospacing="0" w:after="0" w:afterAutospacing="0"/>
                      </w:pPr>
                      <w:r w:rsidRPr="00CC5D26"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>*P&lt;0.05 vs. control group</w:t>
                      </w:r>
                    </w:p>
                    <w:p w:rsidR="00CC5D26" w:rsidRPr="00CC5D26" w:rsidRDefault="00CC5D26" w:rsidP="00CC5D26">
                      <w:pPr>
                        <w:pStyle w:val="NormalWeb"/>
                        <w:spacing w:before="0" w:beforeAutospacing="0" w:after="0" w:afterAutospacing="0"/>
                      </w:pPr>
                      <w:r w:rsidRPr="00CC5D26"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>†P&lt;0.05 vs. POAG group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C5D26">
        <w:drawing>
          <wp:anchor distT="0" distB="0" distL="114300" distR="114300" simplePos="0" relativeHeight="251661312" behindDoc="0" locked="0" layoutInCell="1" allowOverlap="1" wp14:anchorId="466EF556" wp14:editId="29C6C474">
            <wp:simplePos x="0" y="0"/>
            <wp:positionH relativeFrom="margin">
              <wp:align>right</wp:align>
            </wp:positionH>
            <wp:positionV relativeFrom="paragraph">
              <wp:posOffset>249555</wp:posOffset>
            </wp:positionV>
            <wp:extent cx="5943600" cy="2506345"/>
            <wp:effectExtent l="0" t="0" r="0" b="8255"/>
            <wp:wrapNone/>
            <wp:docPr id="2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6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5D26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6B524F" wp14:editId="354175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17764" cy="338554"/>
                <wp:effectExtent l="0" t="0" r="0" b="0"/>
                <wp:wrapNone/>
                <wp:docPr id="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764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C5D26" w:rsidRPr="00CC5D26" w:rsidRDefault="00CC5D26" w:rsidP="00CC5D2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CC5D26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Table 2: Corneal Hysteresis in Patients with POAG &amp; Secondary Glaucoma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B524F" id="TextBox 5" o:spid="_x0000_s1027" type="#_x0000_t202" style="position:absolute;margin-left:0;margin-top:0;width:536.85pt;height:26.6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" filled="f" stroked="f">
                <v:textbox style="mso-fit-shape-to-text:t">
                  <w:txbxContent>
                    <w:p w:rsidR="00CC5D26" w:rsidRPr="00CC5D26" w:rsidRDefault="00CC5D26" w:rsidP="00CC5D26">
                      <w:pPr>
                        <w:pStyle w:val="NormalWeb"/>
                        <w:spacing w:before="0" w:beforeAutospacing="0" w:after="0" w:afterAutospacing="0"/>
                      </w:pPr>
                      <w:r w:rsidRPr="00CC5D26"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>Table 2: Corneal Hysteresis in Patients with POAG &amp; Secondary Glaucoma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C37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D26"/>
    <w:rsid w:val="003C3716"/>
    <w:rsid w:val="00CC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055C68-9702-4EC6-8FBE-8CB45157A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5D2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Oydanich, Marko</dc:creator>
  <cp:keywords/>
  <dc:description/>
  <cp:lastModifiedBy>Oydanich, Marko</cp:lastModifiedBy>
  <cp:revision>1</cp:revision>
  <dcterms:created xsi:type="dcterms:W3CDTF">2022-09-20T13:14:00Z</dcterms:created>
  <dcterms:modified xsi:type="dcterms:W3CDTF">2022-09-20T13:14:00Z</dcterms:modified>
</cp:coreProperties>
</file>