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716" w:rsidRDefault="003F596A">
      <w:bookmarkStart w:id="0" w:name="_GoBack"/>
      <w:bookmarkEnd w:id="0"/>
      <w:r w:rsidRPr="003F596A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E58B0" wp14:editId="072CFA2F">
                <wp:simplePos x="0" y="0"/>
                <wp:positionH relativeFrom="column">
                  <wp:posOffset>10795</wp:posOffset>
                </wp:positionH>
                <wp:positionV relativeFrom="paragraph">
                  <wp:posOffset>1931670</wp:posOffset>
                </wp:positionV>
                <wp:extent cx="2265813" cy="461665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813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F596A" w:rsidRPr="003F596A" w:rsidRDefault="003F596A" w:rsidP="003F596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3F596A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Data is presented as Mean ± SD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CE58B0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.85pt;margin-top:152.1pt;width:178.4pt;height:36.3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" filled="f" stroked="f">
                <v:textbox style="mso-fit-shape-to-text:t">
                  <w:txbxContent>
                    <w:p w:rsidR="003F596A" w:rsidRPr="003F596A" w:rsidRDefault="003F596A" w:rsidP="003F596A">
                      <w:pPr>
                        <w:pStyle w:val="NormalWeb"/>
                        <w:spacing w:before="0" w:beforeAutospacing="0" w:after="0" w:afterAutospacing="0"/>
                      </w:pPr>
                      <w:r w:rsidRPr="003F596A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Data is presented as Mean ± SD</w:t>
                      </w:r>
                    </w:p>
                  </w:txbxContent>
                </v:textbox>
              </v:shape>
            </w:pict>
          </mc:Fallback>
        </mc:AlternateContent>
      </w:r>
      <w:r w:rsidRPr="003F596A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5EF3522" wp14:editId="24D65031">
            <wp:simplePos x="0" y="0"/>
            <wp:positionH relativeFrom="column">
              <wp:posOffset>86995</wp:posOffset>
            </wp:positionH>
            <wp:positionV relativeFrom="paragraph">
              <wp:posOffset>262255</wp:posOffset>
            </wp:positionV>
            <wp:extent cx="5943600" cy="1692910"/>
            <wp:effectExtent l="0" t="0" r="0" b="2540"/>
            <wp:wrapNone/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596A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F1E6C" wp14:editId="40CEFF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946132" cy="338554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6132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F596A" w:rsidRPr="003F596A" w:rsidRDefault="003F596A" w:rsidP="003F596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3F596A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Table 3: Subset Analysis of Corneal Hysteresis in Secondary Glaucoma Types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F1E6C" id="TextBox 4" o:spid="_x0000_s1027" type="#_x0000_t202" style="position:absolute;margin-left:0;margin-top:0;width:546.95pt;height:26.6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" filled="f" stroked="f">
                <v:textbox style="mso-fit-shape-to-text:t">
                  <w:txbxContent>
                    <w:p w:rsidR="003F596A" w:rsidRPr="003F596A" w:rsidRDefault="003F596A" w:rsidP="003F596A">
                      <w:pPr>
                        <w:pStyle w:val="NormalWeb"/>
                        <w:spacing w:before="0" w:beforeAutospacing="0" w:after="0" w:afterAutospacing="0"/>
                      </w:pPr>
                      <w:r w:rsidRPr="003F596A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Table 3: Subset Analysis of Corneal Hysteresis in Secondary Glaucoma Types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C3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96A"/>
    <w:rsid w:val="003C3716"/>
    <w:rsid w:val="003F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85E392-E507-4B4C-A2FB-4F1E15BC6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596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Oydanich, Marko</dc:creator>
  <cp:keywords/>
  <dc:description/>
  <cp:lastModifiedBy>Oydanich, Marko</cp:lastModifiedBy>
  <cp:revision>1</cp:revision>
  <dcterms:created xsi:type="dcterms:W3CDTF">2022-09-20T13:14:00Z</dcterms:created>
  <dcterms:modified xsi:type="dcterms:W3CDTF">2022-09-20T13:15:00Z</dcterms:modified>
</cp:coreProperties>
</file>