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290A46" w14:textId="77777777" w:rsidR="005075AB" w:rsidRDefault="005075AB" w:rsidP="005075AB">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Annexes </w:t>
      </w:r>
    </w:p>
    <w:p w14:paraId="2F7BF06E" w14:textId="77777777" w:rsidR="005075AB" w:rsidRDefault="005075AB" w:rsidP="005075AB">
      <w:pPr>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Appendix A: </w:t>
      </w:r>
      <w:r>
        <w:rPr>
          <w:rFonts w:ascii="Times New Roman" w:hAnsi="Times New Roman" w:cs="Times New Roman"/>
          <w:sz w:val="24"/>
          <w:szCs w:val="24"/>
          <w:lang w:val="en-US"/>
        </w:rPr>
        <w:t>List of Countries</w:t>
      </w:r>
    </w:p>
    <w:p w14:paraId="40C36D00" w14:textId="77777777" w:rsidR="005075AB" w:rsidRDefault="005075AB" w:rsidP="005075AB">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Angola, Benin, Botswana, Burkina Faso, Burundi, Cameroon, Central African Republic, Chad, Comoros, Congo, Democratic Republic of Congo, Equatorial Guinea, Eritrea, Ethiopia, Gabon, Ghana, Guinea, Guinea-Bissau, Ivory Coast, Kenya, Lesotho, Liberia, Libya, Malawi, Mali, Mauritania, Mauritius, Mozambique, Namibia, Niger, Nigeria, Rwanda, Senegal, Sierra Leone, South Africa, Tanzania, Gambia, Togo, Tunisia, Uganda, Zambia, Zimbabwe.</w:t>
      </w:r>
    </w:p>
    <w:p w14:paraId="243965F4" w14:textId="77777777" w:rsidR="005075AB" w:rsidRDefault="005075AB" w:rsidP="005075AB">
      <w:pPr>
        <w:spacing w:before="24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Appendix B: Variables and Sources</w:t>
      </w:r>
    </w:p>
    <w:tbl>
      <w:tblPr>
        <w:tblStyle w:val="TableauListe31"/>
        <w:tblW w:w="8670" w:type="dxa"/>
        <w:tblInd w:w="0" w:type="dxa"/>
        <w:tblLayout w:type="fixed"/>
        <w:tblLook w:val="04A0" w:firstRow="1" w:lastRow="0" w:firstColumn="1" w:lastColumn="0" w:noHBand="0" w:noVBand="1"/>
      </w:tblPr>
      <w:tblGrid>
        <w:gridCol w:w="2083"/>
        <w:gridCol w:w="3480"/>
        <w:gridCol w:w="3107"/>
      </w:tblGrid>
      <w:tr w:rsidR="005075AB" w14:paraId="4ABEDDC2" w14:textId="77777777" w:rsidTr="005075AB">
        <w:trPr>
          <w:cnfStyle w:val="100000000000" w:firstRow="1" w:lastRow="0" w:firstColumn="0" w:lastColumn="0" w:oddVBand="0" w:evenVBand="0" w:oddHBand="0" w:evenHBand="0" w:firstRowFirstColumn="0" w:firstRowLastColumn="0" w:lastRowFirstColumn="0" w:lastRowLastColumn="0"/>
          <w:trHeight w:val="147"/>
        </w:trPr>
        <w:tc>
          <w:tcPr>
            <w:cnfStyle w:val="001000000100" w:firstRow="0" w:lastRow="0" w:firstColumn="1" w:lastColumn="0" w:oddVBand="0" w:evenVBand="0" w:oddHBand="0" w:evenHBand="0" w:firstRowFirstColumn="1" w:firstRowLastColumn="0" w:lastRowFirstColumn="0" w:lastRowLastColumn="0"/>
            <w:tcW w:w="2084" w:type="dxa"/>
            <w:tcBorders>
              <w:left w:val="single" w:sz="4" w:space="0" w:color="000000" w:themeColor="text1"/>
              <w:right w:val="single" w:sz="4" w:space="0" w:color="000000" w:themeColor="text1"/>
            </w:tcBorders>
            <w:hideMark/>
          </w:tcPr>
          <w:p w14:paraId="49090A05" w14:textId="77777777" w:rsidR="005075AB" w:rsidRDefault="005075AB">
            <w:pPr>
              <w:widowControl w:val="0"/>
              <w:autoSpaceDE w:val="0"/>
              <w:autoSpaceDN w:val="0"/>
              <w:adjustRightInd w:val="0"/>
              <w:spacing w:line="240" w:lineRule="auto"/>
              <w:rPr>
                <w:rFonts w:ascii="Times New Roman" w:hAnsi="Times New Roman" w:cs="Times New Roman"/>
                <w:b w:val="0"/>
                <w:lang w:val="en-US"/>
              </w:rPr>
            </w:pPr>
            <w:r>
              <w:rPr>
                <w:rFonts w:ascii="Times New Roman" w:hAnsi="Times New Roman" w:cs="Times New Roman"/>
                <w:lang w:val="en-US"/>
              </w:rPr>
              <w:t>Variable</w:t>
            </w:r>
          </w:p>
        </w:tc>
        <w:tc>
          <w:tcPr>
            <w:tcW w:w="3481" w:type="dxa"/>
            <w:tcBorders>
              <w:left w:val="nil"/>
              <w:right w:val="nil"/>
            </w:tcBorders>
            <w:hideMark/>
          </w:tcPr>
          <w:p w14:paraId="7AD24D7C" w14:textId="77777777" w:rsidR="005075AB" w:rsidRDefault="005075AB">
            <w:pPr>
              <w:widowControl w:val="0"/>
              <w:autoSpaceDE w:val="0"/>
              <w:autoSpaceDN w:val="0"/>
              <w:adjustRightIn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Description</w:t>
            </w:r>
          </w:p>
        </w:tc>
        <w:tc>
          <w:tcPr>
            <w:tcW w:w="3108" w:type="dxa"/>
            <w:tcBorders>
              <w:left w:val="single" w:sz="4" w:space="0" w:color="000000" w:themeColor="text1"/>
              <w:right w:val="single" w:sz="4" w:space="0" w:color="000000" w:themeColor="text1"/>
            </w:tcBorders>
            <w:hideMark/>
          </w:tcPr>
          <w:p w14:paraId="70F38EEC" w14:textId="77777777" w:rsidR="005075AB" w:rsidRDefault="005075AB">
            <w:pPr>
              <w:widowControl w:val="0"/>
              <w:autoSpaceDE w:val="0"/>
              <w:autoSpaceDN w:val="0"/>
              <w:adjustRightInd w:val="0"/>
              <w:spacing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sources</w:t>
            </w:r>
          </w:p>
        </w:tc>
      </w:tr>
      <w:tr w:rsidR="005075AB" w14:paraId="49B2509D" w14:textId="77777777" w:rsidTr="005075AB">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2084" w:type="dxa"/>
            <w:tcBorders>
              <w:top w:val="nil"/>
              <w:left w:val="single" w:sz="4" w:space="0" w:color="000000" w:themeColor="text1"/>
              <w:bottom w:val="nil"/>
              <w:right w:val="single" w:sz="4" w:space="0" w:color="000000" w:themeColor="text1"/>
            </w:tcBorders>
            <w:hideMark/>
          </w:tcPr>
          <w:p w14:paraId="174E3638"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Vulnerability to CC</w:t>
            </w:r>
          </w:p>
        </w:tc>
        <w:tc>
          <w:tcPr>
            <w:tcW w:w="3481" w:type="dxa"/>
            <w:tcBorders>
              <w:top w:val="nil"/>
              <w:left w:val="nil"/>
              <w:bottom w:val="nil"/>
              <w:right w:val="nil"/>
            </w:tcBorders>
            <w:hideMark/>
          </w:tcPr>
          <w:p w14:paraId="2E82B48C" w14:textId="77777777" w:rsidR="005075AB" w:rsidRDefault="005075AB">
            <w:pPr>
              <w:widowControl w:val="0"/>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This variable measures the predisposition of human societies to suffer negative effects in the event of climate shocks. This variable varies between "0 (no exposure) and 100 (high exposure)".</w:t>
            </w:r>
          </w:p>
        </w:tc>
        <w:tc>
          <w:tcPr>
            <w:tcW w:w="3108" w:type="dxa"/>
            <w:tcBorders>
              <w:top w:val="nil"/>
              <w:left w:val="single" w:sz="4" w:space="0" w:color="000000" w:themeColor="text1"/>
              <w:bottom w:val="nil"/>
              <w:right w:val="single" w:sz="4" w:space="0" w:color="000000" w:themeColor="text1"/>
            </w:tcBorders>
            <w:hideMark/>
          </w:tcPr>
          <w:p w14:paraId="67552D28" w14:textId="77777777" w:rsidR="005075AB" w:rsidRDefault="005075A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author":[{"dropping-particle":"","family":"Chen","given":"Chen","non-dropping-particle":"","parse-names":false,"suffix":""},{"dropping-particle":"","family":"Noble","given":"Ian","non-dropping-particle":"","parse-names":false,"suffix":""},{"dropping-particle":"","family":"Hellmann","given":"Jessica J","non-dropping-particle":"","parse-names":false,"suffix":""},{"dropping-particle":"V","family":"Chawla","given":"Nitesh","non-dropping-particle":"","parse-names":false,"suffix":""}],"id":"ITEM-1","issue":"July 2017","issued":{"date-parts":[["2015"]]},"title":"University of Notre Dame Global Adaptation Index Country Index Technical Report","type":"article-journal"},"uris":["http://www.mendeley.com/documents/?uuid=f715e14d-70c8-45ab-b518-93ec3e2fa508"]}],"mendeley":{"formattedCitation":"(Chen &lt;i&gt;et al.&lt;/i&gt;, 2015)","manualFormatting":"Chen et al., (2015)","plainTextFormattedCitation":"(Chen et al., 2015)","previouslyFormattedCitation":"(C. Chen et al., 2015)"},"properties":{"noteIndex":0},"schema":"https://github.com/citation-style-language/schema/raw/master/csl-citation.json"}</w:instrText>
            </w:r>
            <w:r>
              <w:rPr>
                <w:rFonts w:ascii="Times New Roman" w:hAnsi="Times New Roman" w:cs="Times New Roman"/>
                <w:lang w:val="en-US"/>
              </w:rPr>
              <w:fldChar w:fldCharType="separate"/>
            </w:r>
            <w:r>
              <w:rPr>
                <w:rFonts w:ascii="Times New Roman" w:hAnsi="Times New Roman" w:cs="Times New Roman"/>
                <w:noProof/>
                <w:lang w:val="en-US"/>
              </w:rPr>
              <w:t>Chen et al., (2015)</w:t>
            </w:r>
            <w:r>
              <w:rPr>
                <w:rFonts w:ascii="Times New Roman" w:hAnsi="Times New Roman" w:cs="Times New Roman"/>
                <w:lang w:val="en-US"/>
              </w:rPr>
              <w:fldChar w:fldCharType="end"/>
            </w:r>
          </w:p>
        </w:tc>
      </w:tr>
      <w:tr w:rsidR="005075AB" w14:paraId="0C0AA722" w14:textId="77777777" w:rsidTr="005075AB">
        <w:trPr>
          <w:trHeight w:val="147"/>
        </w:trPr>
        <w:tc>
          <w:tcPr>
            <w:cnfStyle w:val="001000000000" w:firstRow="0" w:lastRow="0" w:firstColumn="1" w:lastColumn="0" w:oddVBand="0" w:evenVBand="0" w:oddHBand="0" w:evenHBand="0" w:firstRowFirstColumn="0" w:firstRowLastColumn="0" w:lastRowFirstColumn="0" w:lastRowLastColumn="0"/>
            <w:tcW w:w="2084" w:type="dxa"/>
            <w:tcBorders>
              <w:left w:val="single" w:sz="4" w:space="0" w:color="000000" w:themeColor="text1"/>
              <w:right w:val="single" w:sz="4" w:space="0" w:color="000000" w:themeColor="text1"/>
            </w:tcBorders>
            <w:hideMark/>
          </w:tcPr>
          <w:p w14:paraId="58CB8541"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 xml:space="preserve">Informal economy </w:t>
            </w:r>
          </w:p>
        </w:tc>
        <w:tc>
          <w:tcPr>
            <w:tcW w:w="3481" w:type="dxa"/>
            <w:tcBorders>
              <w:left w:val="nil"/>
              <w:right w:val="nil"/>
            </w:tcBorders>
            <w:hideMark/>
          </w:tcPr>
          <w:p w14:paraId="12C3EFE0" w14:textId="77777777" w:rsidR="005075AB" w:rsidRDefault="005075AB">
            <w:pPr>
              <w:widowControl w:val="0"/>
              <w:autoSpaceDE w:val="0"/>
              <w:autoSpaceDN w:val="0"/>
              <w:adjustRightInd w:val="0"/>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 xml:space="preserve">Measures the share of economic activities not controlled by the tax authorities. The modality "0" means no informal activity and "100" means high informal activity. </w:t>
            </w:r>
          </w:p>
        </w:tc>
        <w:tc>
          <w:tcPr>
            <w:tcW w:w="3108" w:type="dxa"/>
            <w:tcBorders>
              <w:left w:val="single" w:sz="4" w:space="0" w:color="000000" w:themeColor="text1"/>
              <w:right w:val="single" w:sz="4" w:space="0" w:color="000000" w:themeColor="text1"/>
            </w:tcBorders>
            <w:hideMark/>
          </w:tcPr>
          <w:p w14:paraId="01D60F03" w14:textId="77777777" w:rsidR="005075AB" w:rsidRDefault="005075AB">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author":[{"dropping-particle":"","family":"Medina","given":"Leandro","non-dropping-particle":"","parse-names":false,"suffix":""},{"dropping-particle":"","family":"Schneider","given":"Friedrich","non-dropping-particle":"","parse-names":false,"suffix":""}],"container-title":"World economics","id":"ITEM-1","issue":"2","issued":{"date-parts":[["2020"]]},"page":"25-82","title":"Shedding Light on the Shadow Economy : A Global Database and the Interaction with the Official One","type":"article-journal","volume":"21"},"uris":["http://www.mendeley.com/documents/?uuid=4c356d8f-145c-4155-ab25-8a9defa14fe0"]}],"mendeley":{"formattedCitation":"(Medina and Schneider, 2020)","manualFormatting":"Medina et Schneider, (2020)","plainTextFormattedCitation":"(Medina and Schneider, 2020)","previouslyFormattedCitation":"(Medina &amp; Schneider, 2020)"},"properties":{"noteIndex":0},"schema":"https://github.com/citation-style-language/schema/raw/master/csl-citation.json"}</w:instrText>
            </w:r>
            <w:r>
              <w:rPr>
                <w:rFonts w:ascii="Times New Roman" w:hAnsi="Times New Roman" w:cs="Times New Roman"/>
                <w:lang w:val="en-US"/>
              </w:rPr>
              <w:fldChar w:fldCharType="separate"/>
            </w:r>
            <w:r>
              <w:rPr>
                <w:rFonts w:ascii="Times New Roman" w:hAnsi="Times New Roman" w:cs="Times New Roman"/>
                <w:noProof/>
                <w:lang w:val="en-US"/>
              </w:rPr>
              <w:t>Medina et Schneider, (2020)</w:t>
            </w:r>
            <w:r>
              <w:rPr>
                <w:rFonts w:ascii="Times New Roman" w:hAnsi="Times New Roman" w:cs="Times New Roman"/>
                <w:lang w:val="en-US"/>
              </w:rPr>
              <w:fldChar w:fldCharType="end"/>
            </w:r>
          </w:p>
        </w:tc>
      </w:tr>
      <w:tr w:rsidR="005075AB" w14:paraId="2BC5D629" w14:textId="77777777" w:rsidTr="005075AB">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2084" w:type="dxa"/>
            <w:tcBorders>
              <w:top w:val="nil"/>
              <w:left w:val="single" w:sz="4" w:space="0" w:color="000000" w:themeColor="text1"/>
              <w:bottom w:val="nil"/>
              <w:right w:val="single" w:sz="4" w:space="0" w:color="000000" w:themeColor="text1"/>
            </w:tcBorders>
            <w:hideMark/>
          </w:tcPr>
          <w:p w14:paraId="0FBA69F2"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social adaptation</w:t>
            </w:r>
          </w:p>
        </w:tc>
        <w:tc>
          <w:tcPr>
            <w:tcW w:w="3481" w:type="dxa"/>
            <w:tcBorders>
              <w:top w:val="nil"/>
              <w:left w:val="nil"/>
              <w:bottom w:val="nil"/>
              <w:right w:val="nil"/>
            </w:tcBorders>
            <w:hideMark/>
          </w:tcPr>
          <w:p w14:paraId="7D7F21EC" w14:textId="77777777" w:rsidR="005075AB" w:rsidRDefault="005075AB">
            <w:pPr>
              <w:widowControl w:val="0"/>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roofErr w:type="gramStart"/>
            <w:r>
              <w:rPr>
                <w:rFonts w:ascii="Times New Roman" w:hAnsi="Times New Roman" w:cs="Times New Roman"/>
                <w:lang w:val="en-US"/>
              </w:rPr>
              <w:t>This variable measures</w:t>
            </w:r>
            <w:proofErr w:type="gramEnd"/>
            <w:r>
              <w:rPr>
                <w:rFonts w:ascii="Times New Roman" w:hAnsi="Times New Roman" w:cs="Times New Roman"/>
                <w:lang w:val="en-US"/>
              </w:rPr>
              <w:t xml:space="preserve"> social adaptation through the reduction of social inequalities, the improvement of infrastructure, the educational framework and the capacity for innovation. It ranges from "0 (no social adaptation) to 100 (strong social adaptation).</w:t>
            </w:r>
          </w:p>
        </w:tc>
        <w:tc>
          <w:tcPr>
            <w:tcW w:w="3108" w:type="dxa"/>
            <w:tcBorders>
              <w:top w:val="nil"/>
              <w:left w:val="single" w:sz="4" w:space="0" w:color="000000" w:themeColor="text1"/>
              <w:bottom w:val="nil"/>
              <w:right w:val="single" w:sz="4" w:space="0" w:color="000000" w:themeColor="text1"/>
            </w:tcBorders>
            <w:hideMark/>
          </w:tcPr>
          <w:p w14:paraId="11455475" w14:textId="77777777" w:rsidR="005075AB" w:rsidRDefault="005075A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author":[{"dropping-particle":"","family":"Chen","given":"Chen","non-dropping-particle":"","parse-names":false,"suffix":""},{"dropping-particle":"","family":"Noble","given":"Ian","non-dropping-particle":"","parse-names":false,"suffix":""},{"dropping-particle":"","family":"Hellmann","given":"Jessica J","non-dropping-particle":"","parse-names":false,"suffix":""},{"dropping-particle":"V","family":"Chawla","given":"Nitesh","non-dropping-particle":"","parse-names":false,"suffix":""}],"id":"ITEM-1","issue":"July 2017","issued":{"date-parts":[["2015"]]},"title":"University of Notre Dame Global Adaptation Index Country Index Technical Report","type":"article-journal"},"uris":["http://www.mendeley.com/documents/?uuid=f715e14d-70c8-45ab-b518-93ec3e2fa508"]}],"mendeley":{"formattedCitation":"(Chen &lt;i&gt;et al.&lt;/i&gt;, 2015)","manualFormatting":"Chen et al., (2015)","plainTextFormattedCitation":"(Chen et al., 2015)","previouslyFormattedCitation":"(C. Chen et al., 2015)"},"properties":{"noteIndex":0},"schema":"https://github.com/citation-style-language/schema/raw/master/csl-citation.json"}</w:instrText>
            </w:r>
            <w:r>
              <w:rPr>
                <w:rFonts w:ascii="Times New Roman" w:hAnsi="Times New Roman" w:cs="Times New Roman"/>
                <w:lang w:val="en-US"/>
              </w:rPr>
              <w:fldChar w:fldCharType="separate"/>
            </w:r>
            <w:r>
              <w:rPr>
                <w:rFonts w:ascii="Times New Roman" w:hAnsi="Times New Roman" w:cs="Times New Roman"/>
                <w:noProof/>
                <w:lang w:val="en-US"/>
              </w:rPr>
              <w:t>Chen et al., (2015)</w:t>
            </w:r>
            <w:r>
              <w:rPr>
                <w:rFonts w:ascii="Times New Roman" w:hAnsi="Times New Roman" w:cs="Times New Roman"/>
                <w:lang w:val="en-US"/>
              </w:rPr>
              <w:fldChar w:fldCharType="end"/>
            </w:r>
          </w:p>
        </w:tc>
      </w:tr>
      <w:tr w:rsidR="005075AB" w14:paraId="1BDD0CD7" w14:textId="77777777" w:rsidTr="005075AB">
        <w:trPr>
          <w:trHeight w:val="147"/>
        </w:trPr>
        <w:tc>
          <w:tcPr>
            <w:cnfStyle w:val="001000000000" w:firstRow="0" w:lastRow="0" w:firstColumn="1" w:lastColumn="0" w:oddVBand="0" w:evenVBand="0" w:oddHBand="0" w:evenHBand="0" w:firstRowFirstColumn="0" w:firstRowLastColumn="0" w:lastRowFirstColumn="0" w:lastRowLastColumn="0"/>
            <w:tcW w:w="2084" w:type="dxa"/>
            <w:tcBorders>
              <w:left w:val="single" w:sz="4" w:space="0" w:color="000000" w:themeColor="text1"/>
              <w:right w:val="single" w:sz="4" w:space="0" w:color="000000" w:themeColor="text1"/>
            </w:tcBorders>
            <w:hideMark/>
          </w:tcPr>
          <w:p w14:paraId="5FB5AB93"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adaptation of governance</w:t>
            </w:r>
          </w:p>
        </w:tc>
        <w:tc>
          <w:tcPr>
            <w:tcW w:w="3481" w:type="dxa"/>
            <w:tcBorders>
              <w:left w:val="nil"/>
              <w:right w:val="nil"/>
            </w:tcBorders>
            <w:hideMark/>
          </w:tcPr>
          <w:p w14:paraId="57840795" w14:textId="77777777" w:rsidR="005075AB" w:rsidRDefault="005075AB">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This variable combines indicators of political stability, control of corruption, rule of law, and regulatory quality. Modality 0 measures the absence of governance adjustment and modality 100 measures strong governance adjustment</w:t>
            </w:r>
          </w:p>
        </w:tc>
        <w:tc>
          <w:tcPr>
            <w:tcW w:w="3108" w:type="dxa"/>
            <w:tcBorders>
              <w:left w:val="single" w:sz="4" w:space="0" w:color="000000" w:themeColor="text1"/>
              <w:right w:val="single" w:sz="4" w:space="0" w:color="000000" w:themeColor="text1"/>
            </w:tcBorders>
            <w:hideMark/>
          </w:tcPr>
          <w:p w14:paraId="7F23CF85" w14:textId="77777777" w:rsidR="005075AB" w:rsidRDefault="005075AB">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author":[{"dropping-particle":"","family":"Chen","given":"Chen","non-dropping-particle":"","parse-names":false,"suffix":""},{"dropping-particle":"","family":"Noble","given":"Ian","non-dropping-particle":"","parse-names":false,"suffix":""},{"dropping-particle":"","family":"Hellmann","given":"Jessica J","non-dropping-particle":"","parse-names":false,"suffix":""},{"dropping-particle":"V","family":"Chawla","given":"Nitesh","non-dropping-particle":"","parse-names":false,"suffix":""}],"id":"ITEM-1","issue":"July 2017","issued":{"date-parts":[["2015"]]},"title":"University of Notre Dame Global Adaptation Index Country Index Technical Report","type":"article-journal"},"uris":["http://www.mendeley.com/documents/?uuid=f715e14d-70c8-45ab-b518-93ec3e2fa508"]}],"mendeley":{"formattedCitation":"(Chen &lt;i&gt;et al.&lt;/i&gt;, 2015)","manualFormatting":"Chen et al., (2015)","plainTextFormattedCitation":"(Chen et al., 2015)","previouslyFormattedCitation":"(C. Chen et al., 2015)"},"properties":{"noteIndex":0},"schema":"https://github.com/citation-style-language/schema/raw/master/csl-citation.json"}</w:instrText>
            </w:r>
            <w:r>
              <w:rPr>
                <w:rFonts w:ascii="Times New Roman" w:hAnsi="Times New Roman" w:cs="Times New Roman"/>
                <w:lang w:val="en-US"/>
              </w:rPr>
              <w:fldChar w:fldCharType="separate"/>
            </w:r>
            <w:r>
              <w:rPr>
                <w:rFonts w:ascii="Times New Roman" w:hAnsi="Times New Roman" w:cs="Times New Roman"/>
                <w:noProof/>
                <w:lang w:val="en-US"/>
              </w:rPr>
              <w:t>Chen et al., (2015)</w:t>
            </w:r>
            <w:r>
              <w:rPr>
                <w:rFonts w:ascii="Times New Roman" w:hAnsi="Times New Roman" w:cs="Times New Roman"/>
                <w:lang w:val="en-US"/>
              </w:rPr>
              <w:fldChar w:fldCharType="end"/>
            </w:r>
          </w:p>
        </w:tc>
      </w:tr>
      <w:tr w:rsidR="005075AB" w14:paraId="215D4DA4" w14:textId="77777777" w:rsidTr="005075AB">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2084" w:type="dxa"/>
            <w:tcBorders>
              <w:top w:val="nil"/>
              <w:left w:val="single" w:sz="4" w:space="0" w:color="000000" w:themeColor="text1"/>
              <w:bottom w:val="nil"/>
              <w:right w:val="single" w:sz="4" w:space="0" w:color="000000" w:themeColor="text1"/>
            </w:tcBorders>
            <w:hideMark/>
          </w:tcPr>
          <w:p w14:paraId="0A4260C3"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economic adjustment</w:t>
            </w:r>
          </w:p>
        </w:tc>
        <w:tc>
          <w:tcPr>
            <w:tcW w:w="3481" w:type="dxa"/>
            <w:tcBorders>
              <w:top w:val="nil"/>
              <w:left w:val="nil"/>
              <w:bottom w:val="nil"/>
              <w:right w:val="nil"/>
            </w:tcBorders>
            <w:hideMark/>
          </w:tcPr>
          <w:p w14:paraId="2F86C559" w14:textId="77777777" w:rsidR="005075AB" w:rsidRDefault="005075AB">
            <w:pPr>
              <w:widowControl w:val="0"/>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Measures the various economic adjustments to the business climate necessary to mobilize capital in the private sector. The "0" modality measures the absence of economic adjustment and 100 measures strong economic adjustment</w:t>
            </w:r>
          </w:p>
        </w:tc>
        <w:tc>
          <w:tcPr>
            <w:tcW w:w="3108" w:type="dxa"/>
            <w:tcBorders>
              <w:top w:val="nil"/>
              <w:left w:val="single" w:sz="4" w:space="0" w:color="000000" w:themeColor="text1"/>
              <w:bottom w:val="nil"/>
              <w:right w:val="single" w:sz="4" w:space="0" w:color="000000" w:themeColor="text1"/>
            </w:tcBorders>
            <w:hideMark/>
          </w:tcPr>
          <w:p w14:paraId="604DBD20" w14:textId="77777777" w:rsidR="005075AB" w:rsidRDefault="005075A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author":[{"dropping-particle":"","family":"Chen","given":"Chen","non-dropping-particle":"","parse-names":false,"suffix":""},{"dropping-particle":"","family":"Noble","given":"Ian","non-dropping-particle":"","parse-names":false,"suffix":""},{"dropping-particle":"","family":"Hellmann","given":"Jessica J","non-dropping-particle":"","parse-names":false,"suffix":""},{"dropping-particle":"V","family":"Chawla","given":"Nitesh","non-dropping-particle":"","parse-names":false,"suffix":""}],"id":"ITEM-1","issue":"July 2017","issued":{"date-parts":[["2015"]]},"title":"University of Notre Dame Global Adaptation Index Country Index Technical Report","type":"article-journal"},"uris":["http://www.mendeley.com/documents/?uuid=f715e14d-70c8-45ab-b518-93ec3e2fa508"]}],"mendeley":{"formattedCitation":"(Chen &lt;i&gt;et al.&lt;/i&gt;, 2015)","manualFormatting":"Chen et al., (2015)","plainTextFormattedCitation":"(Chen et al., 2015)","previouslyFormattedCitation":"(C. Chen et al., 2015)"},"properties":{"noteIndex":0},"schema":"https://github.com/citation-style-language/schema/raw/master/csl-citation.json"}</w:instrText>
            </w:r>
            <w:r>
              <w:rPr>
                <w:rFonts w:ascii="Times New Roman" w:hAnsi="Times New Roman" w:cs="Times New Roman"/>
                <w:lang w:val="en-US"/>
              </w:rPr>
              <w:fldChar w:fldCharType="separate"/>
            </w:r>
            <w:r>
              <w:rPr>
                <w:rFonts w:ascii="Times New Roman" w:hAnsi="Times New Roman" w:cs="Times New Roman"/>
                <w:noProof/>
                <w:lang w:val="en-US"/>
              </w:rPr>
              <w:t>Chen et al., (2015)</w:t>
            </w:r>
            <w:r>
              <w:rPr>
                <w:rFonts w:ascii="Times New Roman" w:hAnsi="Times New Roman" w:cs="Times New Roman"/>
                <w:lang w:val="en-US"/>
              </w:rPr>
              <w:fldChar w:fldCharType="end"/>
            </w:r>
          </w:p>
        </w:tc>
      </w:tr>
      <w:tr w:rsidR="005075AB" w14:paraId="5189FDCA" w14:textId="77777777" w:rsidTr="005075AB">
        <w:trPr>
          <w:trHeight w:val="147"/>
        </w:trPr>
        <w:tc>
          <w:tcPr>
            <w:cnfStyle w:val="001000000000" w:firstRow="0" w:lastRow="0" w:firstColumn="1" w:lastColumn="0" w:oddVBand="0" w:evenVBand="0" w:oddHBand="0" w:evenHBand="0" w:firstRowFirstColumn="0" w:firstRowLastColumn="0" w:lastRowFirstColumn="0" w:lastRowLastColumn="0"/>
            <w:tcW w:w="2084" w:type="dxa"/>
            <w:tcBorders>
              <w:left w:val="single" w:sz="4" w:space="0" w:color="000000" w:themeColor="text1"/>
              <w:right w:val="single" w:sz="4" w:space="0" w:color="000000" w:themeColor="text1"/>
            </w:tcBorders>
            <w:hideMark/>
          </w:tcPr>
          <w:p w14:paraId="13785E54"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Overall adaptation index</w:t>
            </w:r>
          </w:p>
        </w:tc>
        <w:tc>
          <w:tcPr>
            <w:tcW w:w="3481" w:type="dxa"/>
            <w:tcBorders>
              <w:left w:val="nil"/>
              <w:right w:val="nil"/>
            </w:tcBorders>
            <w:hideMark/>
          </w:tcPr>
          <w:p w14:paraId="0BC77683" w14:textId="77777777" w:rsidR="005075AB" w:rsidRDefault="005075AB">
            <w:pPr>
              <w:widowControl w:val="0"/>
              <w:autoSpaceDE w:val="0"/>
              <w:autoSpaceDN w:val="0"/>
              <w:adjustRightInd w:val="0"/>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 xml:space="preserve">The composite index of readiness for social adaptation of governance and the economy. Modality 0 measures </w:t>
            </w:r>
            <w:r>
              <w:rPr>
                <w:rFonts w:ascii="Times New Roman" w:hAnsi="Times New Roman" w:cs="Times New Roman"/>
                <w:lang w:val="en-US"/>
              </w:rPr>
              <w:lastRenderedPageBreak/>
              <w:t>no adaptation and modality 100 measures strong adaptation</w:t>
            </w:r>
          </w:p>
        </w:tc>
        <w:tc>
          <w:tcPr>
            <w:tcW w:w="3108" w:type="dxa"/>
            <w:tcBorders>
              <w:left w:val="single" w:sz="4" w:space="0" w:color="000000" w:themeColor="text1"/>
              <w:right w:val="single" w:sz="4" w:space="0" w:color="000000" w:themeColor="text1"/>
            </w:tcBorders>
            <w:hideMark/>
          </w:tcPr>
          <w:p w14:paraId="7E1A49B1" w14:textId="77777777" w:rsidR="005075AB" w:rsidRDefault="005075AB">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lastRenderedPageBreak/>
              <w:fldChar w:fldCharType="begin" w:fldLock="1"/>
            </w:r>
            <w:r>
              <w:rPr>
                <w:rFonts w:ascii="Times New Roman" w:hAnsi="Times New Roman" w:cs="Times New Roman"/>
                <w:lang w:val="en-US"/>
              </w:rPr>
              <w:instrText>ADDIN CSL_CITATION {"citationItems":[{"id":"ITEM-1","itemData":{"author":[{"dropping-particle":"","family":"Chen","given":"Chen","non-dropping-particle":"","parse-names":false,"suffix":""},{"dropping-particle":"","family":"Noble","given":"Ian","non-dropping-particle":"","parse-names":false,"suffix":""},{"dropping-particle":"","family":"Hellmann","given":"Jessica J","non-dropping-particle":"","parse-names":false,"suffix":""},{"dropping-particle":"V","family":"Chawla","given":"Nitesh","non-dropping-particle":"","parse-names":false,"suffix":""}],"id":"ITEM-1","issue":"July 2017","issued":{"date-parts":[["2015"]]},"title":"University of Notre Dame Global Adaptation Index Country Index Technical Report","type":"article-journal"},"uris":["http://www.mendeley.com/documents/?uuid=f715e14d-70c8-45ab-b518-93ec3e2fa508"]}],"mendeley":{"formattedCitation":"(Chen &lt;i&gt;et al.&lt;/i&gt;, 2015)","manualFormatting":"Chen et al., (2015)","plainTextFormattedCitation":"(Chen et al., 2015)","previouslyFormattedCitation":"(C. Chen et al., 2015)"},"properties":{"noteIndex":0},"schema":"https://github.com/citation-style-language/schema/raw/master/csl-citation.json"}</w:instrText>
            </w:r>
            <w:r>
              <w:rPr>
                <w:rFonts w:ascii="Times New Roman" w:hAnsi="Times New Roman" w:cs="Times New Roman"/>
                <w:lang w:val="en-US"/>
              </w:rPr>
              <w:fldChar w:fldCharType="separate"/>
            </w:r>
            <w:r>
              <w:rPr>
                <w:rFonts w:ascii="Times New Roman" w:hAnsi="Times New Roman" w:cs="Times New Roman"/>
                <w:noProof/>
                <w:lang w:val="en-US"/>
              </w:rPr>
              <w:t>Chen et al., (2015)</w:t>
            </w:r>
            <w:r>
              <w:rPr>
                <w:rFonts w:ascii="Times New Roman" w:hAnsi="Times New Roman" w:cs="Times New Roman"/>
                <w:lang w:val="en-US"/>
              </w:rPr>
              <w:fldChar w:fldCharType="end"/>
            </w:r>
          </w:p>
        </w:tc>
      </w:tr>
      <w:tr w:rsidR="005075AB" w14:paraId="484EA57D" w14:textId="77777777" w:rsidTr="005075AB">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2084" w:type="dxa"/>
            <w:tcBorders>
              <w:top w:val="nil"/>
              <w:left w:val="single" w:sz="4" w:space="0" w:color="000000" w:themeColor="text1"/>
              <w:bottom w:val="nil"/>
              <w:right w:val="single" w:sz="4" w:space="0" w:color="000000" w:themeColor="text1"/>
            </w:tcBorders>
            <w:hideMark/>
          </w:tcPr>
          <w:p w14:paraId="35DA1D34"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 xml:space="preserve"> Revenue</w:t>
            </w:r>
          </w:p>
        </w:tc>
        <w:tc>
          <w:tcPr>
            <w:tcW w:w="3481" w:type="dxa"/>
            <w:tcBorders>
              <w:top w:val="nil"/>
              <w:left w:val="nil"/>
              <w:bottom w:val="nil"/>
              <w:right w:val="nil"/>
            </w:tcBorders>
            <w:hideMark/>
          </w:tcPr>
          <w:p w14:paraId="0B9F202C" w14:textId="77777777" w:rsidR="005075AB" w:rsidRDefault="005075AB">
            <w:pPr>
              <w:widowControl w:val="0"/>
              <w:tabs>
                <w:tab w:val="left" w:pos="525"/>
              </w:tabs>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 xml:space="preserve">This variable </w:t>
            </w:r>
            <w:proofErr w:type="gramStart"/>
            <w:r>
              <w:rPr>
                <w:rFonts w:ascii="Times New Roman" w:hAnsi="Times New Roman" w:cs="Times New Roman"/>
                <w:lang w:val="en-US"/>
              </w:rPr>
              <w:t>takes into account</w:t>
            </w:r>
            <w:proofErr w:type="gramEnd"/>
            <w:r>
              <w:rPr>
                <w:rFonts w:ascii="Times New Roman" w:hAnsi="Times New Roman" w:cs="Times New Roman"/>
                <w:lang w:val="en-US"/>
              </w:rPr>
              <w:t xml:space="preserve"> the income bracket of each country. Modality "1" for low-income countries, "2" for lower-middle-income countries, "3" for upper-middle-income countries and "4" for high-income countries</w:t>
            </w:r>
          </w:p>
        </w:tc>
        <w:tc>
          <w:tcPr>
            <w:tcW w:w="3108" w:type="dxa"/>
            <w:tcBorders>
              <w:top w:val="nil"/>
              <w:left w:val="single" w:sz="4" w:space="0" w:color="000000" w:themeColor="text1"/>
              <w:bottom w:val="nil"/>
              <w:right w:val="single" w:sz="4" w:space="0" w:color="000000" w:themeColor="text1"/>
            </w:tcBorders>
            <w:hideMark/>
          </w:tcPr>
          <w:p w14:paraId="72A1E803" w14:textId="77777777" w:rsidR="005075AB" w:rsidRDefault="005075A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World Bank</w:t>
            </w:r>
          </w:p>
        </w:tc>
      </w:tr>
      <w:tr w:rsidR="005075AB" w14:paraId="6401938C" w14:textId="77777777" w:rsidTr="005075AB">
        <w:trPr>
          <w:trHeight w:val="147"/>
        </w:trPr>
        <w:tc>
          <w:tcPr>
            <w:cnfStyle w:val="001000000000" w:firstRow="0" w:lastRow="0" w:firstColumn="1" w:lastColumn="0" w:oddVBand="0" w:evenVBand="0" w:oddHBand="0" w:evenHBand="0" w:firstRowFirstColumn="0" w:firstRowLastColumn="0" w:lastRowFirstColumn="0" w:lastRowLastColumn="0"/>
            <w:tcW w:w="2084" w:type="dxa"/>
            <w:tcBorders>
              <w:left w:val="single" w:sz="4" w:space="0" w:color="000000" w:themeColor="text1"/>
              <w:right w:val="single" w:sz="4" w:space="0" w:color="000000" w:themeColor="text1"/>
            </w:tcBorders>
            <w:hideMark/>
          </w:tcPr>
          <w:p w14:paraId="0C2F838E"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 xml:space="preserve"> Fragility</w:t>
            </w:r>
          </w:p>
        </w:tc>
        <w:tc>
          <w:tcPr>
            <w:tcW w:w="3481" w:type="dxa"/>
            <w:tcBorders>
              <w:left w:val="nil"/>
              <w:right w:val="nil"/>
            </w:tcBorders>
            <w:hideMark/>
          </w:tcPr>
          <w:p w14:paraId="15D69B95" w14:textId="77777777" w:rsidR="005075AB" w:rsidRDefault="005075AB">
            <w:pPr>
              <w:widowControl w:val="0"/>
              <w:autoSpaceDE w:val="0"/>
              <w:autoSpaceDN w:val="0"/>
              <w:adjustRightInd w:val="0"/>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Dummy variable with "1" if the country is fragile and "0" if not</w:t>
            </w:r>
          </w:p>
        </w:tc>
        <w:tc>
          <w:tcPr>
            <w:tcW w:w="3108" w:type="dxa"/>
            <w:tcBorders>
              <w:left w:val="single" w:sz="4" w:space="0" w:color="000000" w:themeColor="text1"/>
              <w:right w:val="single" w:sz="4" w:space="0" w:color="000000" w:themeColor="text1"/>
            </w:tcBorders>
            <w:hideMark/>
          </w:tcPr>
          <w:p w14:paraId="651B510F" w14:textId="77777777" w:rsidR="005075AB" w:rsidRDefault="005075AB">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World Bank</w:t>
            </w:r>
          </w:p>
        </w:tc>
      </w:tr>
      <w:tr w:rsidR="005075AB" w14:paraId="560F9F6C" w14:textId="77777777" w:rsidTr="005075AB">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2084" w:type="dxa"/>
            <w:tcBorders>
              <w:top w:val="nil"/>
              <w:left w:val="single" w:sz="4" w:space="0" w:color="000000" w:themeColor="text1"/>
              <w:bottom w:val="nil"/>
              <w:right w:val="single" w:sz="4" w:space="0" w:color="000000" w:themeColor="text1"/>
            </w:tcBorders>
            <w:hideMark/>
          </w:tcPr>
          <w:p w14:paraId="2B865FAA"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Size of the country</w:t>
            </w:r>
          </w:p>
        </w:tc>
        <w:tc>
          <w:tcPr>
            <w:tcW w:w="3481" w:type="dxa"/>
            <w:tcBorders>
              <w:top w:val="nil"/>
              <w:left w:val="nil"/>
              <w:bottom w:val="nil"/>
              <w:right w:val="nil"/>
            </w:tcBorders>
            <w:hideMark/>
          </w:tcPr>
          <w:p w14:paraId="5D10D59F" w14:textId="77777777" w:rsidR="005075AB" w:rsidRDefault="005075AB">
            <w:pPr>
              <w:widowControl w:val="0"/>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Dummy variable with a "1" if the size of the country is large and "0" if not</w:t>
            </w:r>
          </w:p>
        </w:tc>
        <w:tc>
          <w:tcPr>
            <w:tcW w:w="3108" w:type="dxa"/>
            <w:tcBorders>
              <w:top w:val="nil"/>
              <w:left w:val="single" w:sz="4" w:space="0" w:color="000000" w:themeColor="text1"/>
              <w:bottom w:val="nil"/>
              <w:right w:val="single" w:sz="4" w:space="0" w:color="000000" w:themeColor="text1"/>
            </w:tcBorders>
            <w:hideMark/>
          </w:tcPr>
          <w:p w14:paraId="69E01EEF" w14:textId="77777777" w:rsidR="005075AB" w:rsidRDefault="005075A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World Bank</w:t>
            </w:r>
          </w:p>
        </w:tc>
      </w:tr>
      <w:tr w:rsidR="005075AB" w14:paraId="1A438B2F" w14:textId="77777777" w:rsidTr="005075AB">
        <w:trPr>
          <w:trHeight w:val="147"/>
        </w:trPr>
        <w:tc>
          <w:tcPr>
            <w:cnfStyle w:val="001000000000" w:firstRow="0" w:lastRow="0" w:firstColumn="1" w:lastColumn="0" w:oddVBand="0" w:evenVBand="0" w:oddHBand="0" w:evenHBand="0" w:firstRowFirstColumn="0" w:firstRowLastColumn="0" w:lastRowFirstColumn="0" w:lastRowLastColumn="0"/>
            <w:tcW w:w="2084" w:type="dxa"/>
            <w:tcBorders>
              <w:left w:val="single" w:sz="4" w:space="0" w:color="000000" w:themeColor="text1"/>
              <w:right w:val="single" w:sz="4" w:space="0" w:color="000000" w:themeColor="text1"/>
            </w:tcBorders>
            <w:hideMark/>
          </w:tcPr>
          <w:p w14:paraId="3063E1F4" w14:textId="77777777" w:rsidR="005075AB" w:rsidRDefault="005075AB">
            <w:pPr>
              <w:widowControl w:val="0"/>
              <w:autoSpaceDE w:val="0"/>
              <w:autoSpaceDN w:val="0"/>
              <w:adjustRightInd w:val="0"/>
              <w:spacing w:line="240" w:lineRule="auto"/>
              <w:rPr>
                <w:rFonts w:ascii="Times New Roman" w:hAnsi="Times New Roman" w:cs="Times New Roman"/>
                <w:lang w:val="en-US"/>
              </w:rPr>
            </w:pPr>
            <w:r>
              <w:rPr>
                <w:rFonts w:ascii="Times New Roman" w:hAnsi="Times New Roman" w:cs="Times New Roman"/>
                <w:lang w:val="en-US"/>
              </w:rPr>
              <w:t>Least developed countries</w:t>
            </w:r>
          </w:p>
        </w:tc>
        <w:tc>
          <w:tcPr>
            <w:tcW w:w="3481" w:type="dxa"/>
            <w:tcBorders>
              <w:left w:val="nil"/>
              <w:right w:val="nil"/>
            </w:tcBorders>
            <w:hideMark/>
          </w:tcPr>
          <w:p w14:paraId="02E020D1" w14:textId="77777777" w:rsidR="005075AB" w:rsidRDefault="005075AB">
            <w:pPr>
              <w:widowControl w:val="0"/>
              <w:autoSpaceDE w:val="0"/>
              <w:autoSpaceDN w:val="0"/>
              <w:adjustRightInd w:val="0"/>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Dummy variable with 1 for advanced countries and 0 if not</w:t>
            </w:r>
          </w:p>
        </w:tc>
        <w:tc>
          <w:tcPr>
            <w:tcW w:w="3108" w:type="dxa"/>
            <w:tcBorders>
              <w:left w:val="single" w:sz="4" w:space="0" w:color="000000" w:themeColor="text1"/>
              <w:right w:val="single" w:sz="4" w:space="0" w:color="000000" w:themeColor="text1"/>
            </w:tcBorders>
            <w:hideMark/>
          </w:tcPr>
          <w:p w14:paraId="6B5796DD" w14:textId="77777777" w:rsidR="005075AB" w:rsidRDefault="005075AB">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World Bank</w:t>
            </w:r>
          </w:p>
        </w:tc>
      </w:tr>
    </w:tbl>
    <w:p w14:paraId="2C3F4E09" w14:textId="77777777" w:rsidR="005075AB" w:rsidRDefault="005075AB" w:rsidP="005075AB">
      <w:pPr>
        <w:spacing w:line="360" w:lineRule="auto"/>
        <w:rPr>
          <w:rFonts w:ascii="Times New Roman" w:hAnsi="Times New Roman" w:cs="Times New Roman"/>
          <w:sz w:val="20"/>
          <w:szCs w:val="20"/>
          <w:lang w:val="en-US"/>
        </w:rPr>
      </w:pPr>
      <w:r>
        <w:rPr>
          <w:rFonts w:ascii="Times New Roman" w:hAnsi="Times New Roman" w:cs="Times New Roman"/>
          <w:b/>
          <w:sz w:val="20"/>
          <w:szCs w:val="20"/>
          <w:lang w:val="en-US"/>
        </w:rPr>
        <w:t>Source</w:t>
      </w:r>
      <w:r>
        <w:rPr>
          <w:rFonts w:ascii="Times New Roman" w:hAnsi="Times New Roman" w:cs="Times New Roman"/>
          <w:sz w:val="20"/>
          <w:szCs w:val="20"/>
          <w:lang w:val="en-US"/>
        </w:rPr>
        <w:t>: Authors</w:t>
      </w:r>
    </w:p>
    <w:p w14:paraId="13A17F72" w14:textId="77777777" w:rsidR="005075AB" w:rsidRDefault="005075AB" w:rsidP="005075AB">
      <w:pPr>
        <w:spacing w:line="240" w:lineRule="auto"/>
        <w:jc w:val="both"/>
        <w:rPr>
          <w:rFonts w:ascii="Times New Roman" w:hAnsi="Times New Roman"/>
          <w:sz w:val="24"/>
          <w:szCs w:val="24"/>
          <w:lang w:val="en-US"/>
        </w:rPr>
      </w:pPr>
      <w:r>
        <w:rPr>
          <w:rFonts w:ascii="Times New Roman" w:hAnsi="Times New Roman"/>
          <w:b/>
          <w:sz w:val="24"/>
          <w:szCs w:val="24"/>
          <w:u w:val="single"/>
          <w:lang w:val="en-US"/>
        </w:rPr>
        <w:t xml:space="preserve">Annex C: </w:t>
      </w:r>
      <w:r>
        <w:rPr>
          <w:rFonts w:ascii="Times New Roman" w:hAnsi="Times New Roman"/>
          <w:sz w:val="24"/>
          <w:szCs w:val="24"/>
          <w:lang w:val="en-US"/>
        </w:rPr>
        <w:t>Descriptive Statistics</w:t>
      </w:r>
    </w:p>
    <w:tbl>
      <w:tblPr>
        <w:tblW w:w="8040" w:type="dxa"/>
        <w:tblLayout w:type="fixed"/>
        <w:tblLook w:val="04A0" w:firstRow="1" w:lastRow="0" w:firstColumn="1" w:lastColumn="0" w:noHBand="0" w:noVBand="1"/>
      </w:tblPr>
      <w:tblGrid>
        <w:gridCol w:w="2659"/>
        <w:gridCol w:w="849"/>
        <w:gridCol w:w="1133"/>
        <w:gridCol w:w="1133"/>
        <w:gridCol w:w="1275"/>
        <w:gridCol w:w="991"/>
      </w:tblGrid>
      <w:tr w:rsidR="005075AB" w14:paraId="0699EDA0" w14:textId="77777777" w:rsidTr="005075AB">
        <w:trPr>
          <w:trHeight w:val="282"/>
        </w:trPr>
        <w:tc>
          <w:tcPr>
            <w:tcW w:w="2660" w:type="dxa"/>
            <w:tcBorders>
              <w:top w:val="single" w:sz="12" w:space="0" w:color="auto"/>
              <w:left w:val="nil"/>
              <w:bottom w:val="nil"/>
              <w:right w:val="nil"/>
            </w:tcBorders>
          </w:tcPr>
          <w:p w14:paraId="35A2F987"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p>
        </w:tc>
        <w:tc>
          <w:tcPr>
            <w:tcW w:w="850" w:type="dxa"/>
            <w:tcBorders>
              <w:top w:val="single" w:sz="12" w:space="0" w:color="auto"/>
              <w:left w:val="nil"/>
              <w:bottom w:val="nil"/>
              <w:right w:val="nil"/>
            </w:tcBorders>
            <w:hideMark/>
          </w:tcPr>
          <w:p w14:paraId="484B83F6"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Obs.</w:t>
            </w:r>
          </w:p>
        </w:tc>
        <w:tc>
          <w:tcPr>
            <w:tcW w:w="1134" w:type="dxa"/>
            <w:tcBorders>
              <w:top w:val="single" w:sz="12" w:space="0" w:color="auto"/>
              <w:left w:val="nil"/>
              <w:bottom w:val="nil"/>
              <w:right w:val="nil"/>
            </w:tcBorders>
            <w:hideMark/>
          </w:tcPr>
          <w:p w14:paraId="14125EFE"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Mean</w:t>
            </w:r>
          </w:p>
        </w:tc>
        <w:tc>
          <w:tcPr>
            <w:tcW w:w="1134" w:type="dxa"/>
            <w:tcBorders>
              <w:top w:val="single" w:sz="12" w:space="0" w:color="auto"/>
              <w:left w:val="nil"/>
              <w:bottom w:val="nil"/>
              <w:right w:val="nil"/>
            </w:tcBorders>
            <w:hideMark/>
          </w:tcPr>
          <w:p w14:paraId="1FD2FBF6"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Std Dev</w:t>
            </w:r>
          </w:p>
        </w:tc>
        <w:tc>
          <w:tcPr>
            <w:tcW w:w="1276" w:type="dxa"/>
            <w:tcBorders>
              <w:top w:val="single" w:sz="12" w:space="0" w:color="auto"/>
              <w:left w:val="nil"/>
              <w:bottom w:val="nil"/>
              <w:right w:val="nil"/>
            </w:tcBorders>
            <w:hideMark/>
          </w:tcPr>
          <w:p w14:paraId="7C18BCFE"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Min</w:t>
            </w:r>
          </w:p>
        </w:tc>
        <w:tc>
          <w:tcPr>
            <w:tcW w:w="992" w:type="dxa"/>
            <w:tcBorders>
              <w:top w:val="single" w:sz="12" w:space="0" w:color="auto"/>
              <w:left w:val="nil"/>
              <w:bottom w:val="nil"/>
              <w:right w:val="nil"/>
            </w:tcBorders>
            <w:hideMark/>
          </w:tcPr>
          <w:p w14:paraId="5C17580E"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Max</w:t>
            </w:r>
          </w:p>
        </w:tc>
      </w:tr>
      <w:tr w:rsidR="005075AB" w14:paraId="4C0D30D7" w14:textId="77777777" w:rsidTr="005075AB">
        <w:trPr>
          <w:trHeight w:val="282"/>
        </w:trPr>
        <w:tc>
          <w:tcPr>
            <w:tcW w:w="2660" w:type="dxa"/>
            <w:tcBorders>
              <w:top w:val="single" w:sz="12" w:space="0" w:color="auto"/>
              <w:left w:val="nil"/>
              <w:bottom w:val="nil"/>
              <w:right w:val="nil"/>
            </w:tcBorders>
            <w:hideMark/>
          </w:tcPr>
          <w:p w14:paraId="5A3DD31D"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VCC</w:t>
            </w:r>
          </w:p>
        </w:tc>
        <w:tc>
          <w:tcPr>
            <w:tcW w:w="850" w:type="dxa"/>
            <w:tcBorders>
              <w:top w:val="single" w:sz="12" w:space="0" w:color="auto"/>
              <w:left w:val="nil"/>
              <w:bottom w:val="nil"/>
              <w:right w:val="nil"/>
            </w:tcBorders>
            <w:hideMark/>
          </w:tcPr>
          <w:p w14:paraId="10D8DE06"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990</w:t>
            </w:r>
          </w:p>
        </w:tc>
        <w:tc>
          <w:tcPr>
            <w:tcW w:w="1134" w:type="dxa"/>
            <w:tcBorders>
              <w:top w:val="single" w:sz="12" w:space="0" w:color="auto"/>
              <w:left w:val="nil"/>
              <w:bottom w:val="nil"/>
              <w:right w:val="nil"/>
            </w:tcBorders>
            <w:hideMark/>
          </w:tcPr>
          <w:p w14:paraId="6ACA4187"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0.545</w:t>
            </w:r>
          </w:p>
        </w:tc>
        <w:tc>
          <w:tcPr>
            <w:tcW w:w="1134" w:type="dxa"/>
            <w:tcBorders>
              <w:top w:val="single" w:sz="12" w:space="0" w:color="auto"/>
              <w:left w:val="nil"/>
              <w:bottom w:val="nil"/>
              <w:right w:val="nil"/>
            </w:tcBorders>
            <w:hideMark/>
          </w:tcPr>
          <w:p w14:paraId="6C40BE78"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0.067</w:t>
            </w:r>
          </w:p>
        </w:tc>
        <w:tc>
          <w:tcPr>
            <w:tcW w:w="1276" w:type="dxa"/>
            <w:tcBorders>
              <w:top w:val="single" w:sz="12" w:space="0" w:color="auto"/>
              <w:left w:val="nil"/>
              <w:bottom w:val="nil"/>
              <w:right w:val="nil"/>
            </w:tcBorders>
            <w:hideMark/>
          </w:tcPr>
          <w:p w14:paraId="0AD7E720"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0.365</w:t>
            </w:r>
          </w:p>
        </w:tc>
        <w:tc>
          <w:tcPr>
            <w:tcW w:w="992" w:type="dxa"/>
            <w:tcBorders>
              <w:top w:val="single" w:sz="12" w:space="0" w:color="auto"/>
              <w:left w:val="nil"/>
              <w:bottom w:val="nil"/>
              <w:right w:val="nil"/>
            </w:tcBorders>
            <w:hideMark/>
          </w:tcPr>
          <w:p w14:paraId="17CA6EE6"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0.709</w:t>
            </w:r>
          </w:p>
        </w:tc>
      </w:tr>
      <w:tr w:rsidR="005075AB" w14:paraId="516D320A" w14:textId="77777777" w:rsidTr="005075AB">
        <w:trPr>
          <w:trHeight w:val="269"/>
        </w:trPr>
        <w:tc>
          <w:tcPr>
            <w:tcW w:w="2660" w:type="dxa"/>
            <w:hideMark/>
          </w:tcPr>
          <w:p w14:paraId="3117864B"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Shadow economy</w:t>
            </w:r>
          </w:p>
        </w:tc>
        <w:tc>
          <w:tcPr>
            <w:tcW w:w="850" w:type="dxa"/>
            <w:hideMark/>
          </w:tcPr>
          <w:p w14:paraId="6E87AB15"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586</w:t>
            </w:r>
          </w:p>
        </w:tc>
        <w:tc>
          <w:tcPr>
            <w:tcW w:w="1134" w:type="dxa"/>
            <w:hideMark/>
          </w:tcPr>
          <w:p w14:paraId="65BB3B8A"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0.541</w:t>
            </w:r>
          </w:p>
        </w:tc>
        <w:tc>
          <w:tcPr>
            <w:tcW w:w="1134" w:type="dxa"/>
            <w:hideMark/>
          </w:tcPr>
          <w:p w14:paraId="5AE80129"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0.113</w:t>
            </w:r>
          </w:p>
        </w:tc>
        <w:tc>
          <w:tcPr>
            <w:tcW w:w="1276" w:type="dxa"/>
            <w:hideMark/>
          </w:tcPr>
          <w:p w14:paraId="11816E8B"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0.293</w:t>
            </w:r>
          </w:p>
        </w:tc>
        <w:tc>
          <w:tcPr>
            <w:tcW w:w="992" w:type="dxa"/>
            <w:hideMark/>
          </w:tcPr>
          <w:p w14:paraId="2D7A8C82"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w:t>
            </w:r>
          </w:p>
        </w:tc>
      </w:tr>
      <w:tr w:rsidR="005075AB" w14:paraId="4EA18B01" w14:textId="77777777" w:rsidTr="005075AB">
        <w:trPr>
          <w:trHeight w:val="269"/>
        </w:trPr>
        <w:tc>
          <w:tcPr>
            <w:tcW w:w="2660" w:type="dxa"/>
            <w:hideMark/>
          </w:tcPr>
          <w:p w14:paraId="6525892A"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 xml:space="preserve">Social </w:t>
            </w:r>
            <w:proofErr w:type="spellStart"/>
            <w:r>
              <w:rPr>
                <w:rFonts w:ascii="Times New Roman" w:hAnsi="Times New Roman" w:cs="Times New Roman"/>
                <w:sz w:val="24"/>
                <w:szCs w:val="20"/>
                <w:lang w:val="en-US"/>
              </w:rPr>
              <w:t>Readeness</w:t>
            </w:r>
            <w:proofErr w:type="spellEnd"/>
            <w:r>
              <w:rPr>
                <w:rFonts w:ascii="Times New Roman" w:hAnsi="Times New Roman" w:cs="Times New Roman"/>
                <w:sz w:val="24"/>
                <w:szCs w:val="20"/>
                <w:lang w:val="en-US"/>
              </w:rPr>
              <w:t xml:space="preserve"> </w:t>
            </w:r>
          </w:p>
        </w:tc>
        <w:tc>
          <w:tcPr>
            <w:tcW w:w="850" w:type="dxa"/>
            <w:hideMark/>
          </w:tcPr>
          <w:p w14:paraId="6C0C00CC"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990</w:t>
            </w:r>
          </w:p>
        </w:tc>
        <w:tc>
          <w:tcPr>
            <w:tcW w:w="1134" w:type="dxa"/>
            <w:hideMark/>
          </w:tcPr>
          <w:p w14:paraId="23878B92"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0.202</w:t>
            </w:r>
          </w:p>
        </w:tc>
        <w:tc>
          <w:tcPr>
            <w:tcW w:w="1134" w:type="dxa"/>
            <w:hideMark/>
          </w:tcPr>
          <w:p w14:paraId="22022473"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0.055</w:t>
            </w:r>
          </w:p>
        </w:tc>
        <w:tc>
          <w:tcPr>
            <w:tcW w:w="1276" w:type="dxa"/>
            <w:hideMark/>
          </w:tcPr>
          <w:p w14:paraId="473D2366"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0.08</w:t>
            </w:r>
          </w:p>
        </w:tc>
        <w:tc>
          <w:tcPr>
            <w:tcW w:w="992" w:type="dxa"/>
            <w:hideMark/>
          </w:tcPr>
          <w:p w14:paraId="0F83CEC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0.342</w:t>
            </w:r>
          </w:p>
        </w:tc>
      </w:tr>
      <w:tr w:rsidR="005075AB" w14:paraId="55BB0B3C" w14:textId="77777777" w:rsidTr="005075AB">
        <w:trPr>
          <w:trHeight w:val="269"/>
        </w:trPr>
        <w:tc>
          <w:tcPr>
            <w:tcW w:w="2660" w:type="dxa"/>
            <w:hideMark/>
          </w:tcPr>
          <w:p w14:paraId="265E7ADC"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 xml:space="preserve">Governance Readiness </w:t>
            </w:r>
          </w:p>
        </w:tc>
        <w:tc>
          <w:tcPr>
            <w:tcW w:w="850" w:type="dxa"/>
            <w:hideMark/>
          </w:tcPr>
          <w:p w14:paraId="119C0711"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990</w:t>
            </w:r>
          </w:p>
        </w:tc>
        <w:tc>
          <w:tcPr>
            <w:tcW w:w="1134" w:type="dxa"/>
            <w:hideMark/>
          </w:tcPr>
          <w:p w14:paraId="29C7D30C"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0.384</w:t>
            </w:r>
          </w:p>
        </w:tc>
        <w:tc>
          <w:tcPr>
            <w:tcW w:w="1134" w:type="dxa"/>
            <w:hideMark/>
          </w:tcPr>
          <w:p w14:paraId="71F82BDA"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0.119</w:t>
            </w:r>
          </w:p>
        </w:tc>
        <w:tc>
          <w:tcPr>
            <w:tcW w:w="1276" w:type="dxa"/>
            <w:hideMark/>
          </w:tcPr>
          <w:p w14:paraId="58B748B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0.115</w:t>
            </w:r>
          </w:p>
        </w:tc>
        <w:tc>
          <w:tcPr>
            <w:tcW w:w="992" w:type="dxa"/>
            <w:hideMark/>
          </w:tcPr>
          <w:p w14:paraId="0A6EBFA6"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0.697</w:t>
            </w:r>
          </w:p>
        </w:tc>
      </w:tr>
      <w:tr w:rsidR="005075AB" w14:paraId="0C258BD3" w14:textId="77777777" w:rsidTr="005075AB">
        <w:trPr>
          <w:trHeight w:val="269"/>
        </w:trPr>
        <w:tc>
          <w:tcPr>
            <w:tcW w:w="2660" w:type="dxa"/>
            <w:hideMark/>
          </w:tcPr>
          <w:p w14:paraId="03AAE507"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 xml:space="preserve">Economic Readiness  </w:t>
            </w:r>
          </w:p>
        </w:tc>
        <w:tc>
          <w:tcPr>
            <w:tcW w:w="850" w:type="dxa"/>
            <w:hideMark/>
          </w:tcPr>
          <w:p w14:paraId="4E20E40E"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968</w:t>
            </w:r>
          </w:p>
        </w:tc>
        <w:tc>
          <w:tcPr>
            <w:tcW w:w="1134" w:type="dxa"/>
            <w:hideMark/>
          </w:tcPr>
          <w:p w14:paraId="5ED9D4DC"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0.244</w:t>
            </w:r>
          </w:p>
        </w:tc>
        <w:tc>
          <w:tcPr>
            <w:tcW w:w="1134" w:type="dxa"/>
            <w:hideMark/>
          </w:tcPr>
          <w:p w14:paraId="65C7EBB7"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0.126</w:t>
            </w:r>
          </w:p>
        </w:tc>
        <w:tc>
          <w:tcPr>
            <w:tcW w:w="1276" w:type="dxa"/>
            <w:hideMark/>
          </w:tcPr>
          <w:p w14:paraId="41AAA59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w:t>
            </w:r>
          </w:p>
        </w:tc>
        <w:tc>
          <w:tcPr>
            <w:tcW w:w="992" w:type="dxa"/>
            <w:hideMark/>
          </w:tcPr>
          <w:p w14:paraId="4AA08BF1"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0.671</w:t>
            </w:r>
          </w:p>
        </w:tc>
      </w:tr>
      <w:tr w:rsidR="005075AB" w14:paraId="387FEC0D" w14:textId="77777777" w:rsidTr="005075AB">
        <w:trPr>
          <w:trHeight w:val="269"/>
        </w:trPr>
        <w:tc>
          <w:tcPr>
            <w:tcW w:w="2660" w:type="dxa"/>
            <w:hideMark/>
          </w:tcPr>
          <w:p w14:paraId="1771C704"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Global Readiness</w:t>
            </w:r>
          </w:p>
        </w:tc>
        <w:tc>
          <w:tcPr>
            <w:tcW w:w="850" w:type="dxa"/>
            <w:hideMark/>
          </w:tcPr>
          <w:p w14:paraId="02ECA220"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1012</w:t>
            </w:r>
          </w:p>
        </w:tc>
        <w:tc>
          <w:tcPr>
            <w:tcW w:w="1134" w:type="dxa"/>
            <w:hideMark/>
          </w:tcPr>
          <w:p w14:paraId="4B14458B"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0.277</w:t>
            </w:r>
          </w:p>
        </w:tc>
        <w:tc>
          <w:tcPr>
            <w:tcW w:w="1134" w:type="dxa"/>
            <w:hideMark/>
          </w:tcPr>
          <w:p w14:paraId="63BCCDD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0.079</w:t>
            </w:r>
          </w:p>
        </w:tc>
        <w:tc>
          <w:tcPr>
            <w:tcW w:w="1276" w:type="dxa"/>
            <w:hideMark/>
          </w:tcPr>
          <w:p w14:paraId="5D32D5D4"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0.111</w:t>
            </w:r>
          </w:p>
        </w:tc>
        <w:tc>
          <w:tcPr>
            <w:tcW w:w="992" w:type="dxa"/>
            <w:hideMark/>
          </w:tcPr>
          <w:p w14:paraId="0241FC7D"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0.552</w:t>
            </w:r>
          </w:p>
        </w:tc>
      </w:tr>
      <w:tr w:rsidR="005075AB" w14:paraId="4A5508B4" w14:textId="77777777" w:rsidTr="005075AB">
        <w:trPr>
          <w:trHeight w:val="269"/>
        </w:trPr>
        <w:tc>
          <w:tcPr>
            <w:tcW w:w="2660" w:type="dxa"/>
            <w:hideMark/>
          </w:tcPr>
          <w:p w14:paraId="1E8F81BF"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 xml:space="preserve"> Income</w:t>
            </w:r>
          </w:p>
        </w:tc>
        <w:tc>
          <w:tcPr>
            <w:tcW w:w="850" w:type="dxa"/>
            <w:hideMark/>
          </w:tcPr>
          <w:p w14:paraId="027150C3"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1012</w:t>
            </w:r>
          </w:p>
        </w:tc>
        <w:tc>
          <w:tcPr>
            <w:tcW w:w="1134" w:type="dxa"/>
            <w:hideMark/>
          </w:tcPr>
          <w:p w14:paraId="5033EA2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1.717</w:t>
            </w:r>
          </w:p>
        </w:tc>
        <w:tc>
          <w:tcPr>
            <w:tcW w:w="1134" w:type="dxa"/>
            <w:hideMark/>
          </w:tcPr>
          <w:p w14:paraId="72ABE065"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0.771</w:t>
            </w:r>
          </w:p>
        </w:tc>
        <w:tc>
          <w:tcPr>
            <w:tcW w:w="1276" w:type="dxa"/>
            <w:hideMark/>
          </w:tcPr>
          <w:p w14:paraId="46CC72E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w:t>
            </w:r>
          </w:p>
        </w:tc>
        <w:tc>
          <w:tcPr>
            <w:tcW w:w="992" w:type="dxa"/>
            <w:hideMark/>
          </w:tcPr>
          <w:p w14:paraId="2C621890"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4</w:t>
            </w:r>
          </w:p>
        </w:tc>
      </w:tr>
      <w:tr w:rsidR="005075AB" w14:paraId="546E3107" w14:textId="77777777" w:rsidTr="005075AB">
        <w:trPr>
          <w:trHeight w:val="269"/>
        </w:trPr>
        <w:tc>
          <w:tcPr>
            <w:tcW w:w="2660" w:type="dxa"/>
            <w:hideMark/>
          </w:tcPr>
          <w:p w14:paraId="3B3BCAAA"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 xml:space="preserve"> Fragility</w:t>
            </w:r>
          </w:p>
        </w:tc>
        <w:tc>
          <w:tcPr>
            <w:tcW w:w="850" w:type="dxa"/>
            <w:hideMark/>
          </w:tcPr>
          <w:p w14:paraId="7FDABD76"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1012</w:t>
            </w:r>
          </w:p>
        </w:tc>
        <w:tc>
          <w:tcPr>
            <w:tcW w:w="1134" w:type="dxa"/>
            <w:hideMark/>
          </w:tcPr>
          <w:p w14:paraId="05A352AE"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0.413</w:t>
            </w:r>
          </w:p>
        </w:tc>
        <w:tc>
          <w:tcPr>
            <w:tcW w:w="1134" w:type="dxa"/>
            <w:hideMark/>
          </w:tcPr>
          <w:p w14:paraId="65A78598"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0.493</w:t>
            </w:r>
          </w:p>
        </w:tc>
        <w:tc>
          <w:tcPr>
            <w:tcW w:w="1276" w:type="dxa"/>
            <w:hideMark/>
          </w:tcPr>
          <w:p w14:paraId="66BD14B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w:t>
            </w:r>
          </w:p>
        </w:tc>
        <w:tc>
          <w:tcPr>
            <w:tcW w:w="992" w:type="dxa"/>
            <w:hideMark/>
          </w:tcPr>
          <w:p w14:paraId="7ED1DF3D"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w:t>
            </w:r>
          </w:p>
        </w:tc>
      </w:tr>
      <w:tr w:rsidR="005075AB" w14:paraId="2EF75A67" w14:textId="77777777" w:rsidTr="005075AB">
        <w:trPr>
          <w:trHeight w:val="269"/>
        </w:trPr>
        <w:tc>
          <w:tcPr>
            <w:tcW w:w="2660" w:type="dxa"/>
            <w:hideMark/>
          </w:tcPr>
          <w:p w14:paraId="225BBBC7"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Country size</w:t>
            </w:r>
          </w:p>
        </w:tc>
        <w:tc>
          <w:tcPr>
            <w:tcW w:w="850" w:type="dxa"/>
            <w:hideMark/>
          </w:tcPr>
          <w:p w14:paraId="343F79CA"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1012</w:t>
            </w:r>
          </w:p>
        </w:tc>
        <w:tc>
          <w:tcPr>
            <w:tcW w:w="1134" w:type="dxa"/>
            <w:hideMark/>
          </w:tcPr>
          <w:p w14:paraId="02301294"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0.239</w:t>
            </w:r>
          </w:p>
        </w:tc>
        <w:tc>
          <w:tcPr>
            <w:tcW w:w="1134" w:type="dxa"/>
            <w:hideMark/>
          </w:tcPr>
          <w:p w14:paraId="0945633A"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0.427</w:t>
            </w:r>
          </w:p>
        </w:tc>
        <w:tc>
          <w:tcPr>
            <w:tcW w:w="1276" w:type="dxa"/>
            <w:hideMark/>
          </w:tcPr>
          <w:p w14:paraId="45FC6909"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w:t>
            </w:r>
          </w:p>
        </w:tc>
        <w:tc>
          <w:tcPr>
            <w:tcW w:w="992" w:type="dxa"/>
            <w:hideMark/>
          </w:tcPr>
          <w:p w14:paraId="7F565B3E"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w:t>
            </w:r>
          </w:p>
        </w:tc>
      </w:tr>
      <w:tr w:rsidR="005075AB" w14:paraId="537803F9" w14:textId="77777777" w:rsidTr="005075AB">
        <w:trPr>
          <w:trHeight w:val="282"/>
        </w:trPr>
        <w:tc>
          <w:tcPr>
            <w:tcW w:w="2660" w:type="dxa"/>
            <w:tcBorders>
              <w:top w:val="nil"/>
              <w:left w:val="nil"/>
              <w:bottom w:val="single" w:sz="12" w:space="0" w:color="auto"/>
              <w:right w:val="nil"/>
            </w:tcBorders>
            <w:hideMark/>
          </w:tcPr>
          <w:p w14:paraId="6253E514" w14:textId="77777777" w:rsidR="005075AB" w:rsidRDefault="005075AB">
            <w:pPr>
              <w:widowControl w:val="0"/>
              <w:autoSpaceDE w:val="0"/>
              <w:autoSpaceDN w:val="0"/>
              <w:adjustRightInd w:val="0"/>
              <w:spacing w:after="0" w:line="240" w:lineRule="auto"/>
              <w:rPr>
                <w:rFonts w:ascii="Times New Roman" w:hAnsi="Times New Roman" w:cs="Times New Roman"/>
                <w:sz w:val="24"/>
                <w:szCs w:val="20"/>
                <w:lang w:val="en-US"/>
              </w:rPr>
            </w:pPr>
            <w:r>
              <w:rPr>
                <w:rFonts w:ascii="Times New Roman" w:hAnsi="Times New Roman" w:cs="Times New Roman"/>
                <w:sz w:val="24"/>
                <w:szCs w:val="20"/>
                <w:lang w:val="en-US"/>
              </w:rPr>
              <w:t>Less advanced countries</w:t>
            </w:r>
          </w:p>
        </w:tc>
        <w:tc>
          <w:tcPr>
            <w:tcW w:w="850" w:type="dxa"/>
            <w:tcBorders>
              <w:top w:val="nil"/>
              <w:left w:val="nil"/>
              <w:bottom w:val="single" w:sz="12" w:space="0" w:color="auto"/>
              <w:right w:val="nil"/>
            </w:tcBorders>
            <w:hideMark/>
          </w:tcPr>
          <w:p w14:paraId="47880AEE"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1012</w:t>
            </w:r>
          </w:p>
        </w:tc>
        <w:tc>
          <w:tcPr>
            <w:tcW w:w="1134" w:type="dxa"/>
            <w:tcBorders>
              <w:top w:val="nil"/>
              <w:left w:val="nil"/>
              <w:bottom w:val="single" w:sz="12" w:space="0" w:color="auto"/>
              <w:right w:val="nil"/>
            </w:tcBorders>
            <w:hideMark/>
          </w:tcPr>
          <w:p w14:paraId="49181E0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0.652</w:t>
            </w:r>
          </w:p>
        </w:tc>
        <w:tc>
          <w:tcPr>
            <w:tcW w:w="1134" w:type="dxa"/>
            <w:tcBorders>
              <w:top w:val="nil"/>
              <w:left w:val="nil"/>
              <w:bottom w:val="single" w:sz="12" w:space="0" w:color="auto"/>
              <w:right w:val="nil"/>
            </w:tcBorders>
            <w:hideMark/>
          </w:tcPr>
          <w:p w14:paraId="3D45F7DF"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0.477</w:t>
            </w:r>
          </w:p>
        </w:tc>
        <w:tc>
          <w:tcPr>
            <w:tcW w:w="1276" w:type="dxa"/>
            <w:tcBorders>
              <w:top w:val="nil"/>
              <w:left w:val="nil"/>
              <w:bottom w:val="single" w:sz="12" w:space="0" w:color="auto"/>
              <w:right w:val="nil"/>
            </w:tcBorders>
            <w:hideMark/>
          </w:tcPr>
          <w:p w14:paraId="4042F85C"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0</w:t>
            </w:r>
          </w:p>
        </w:tc>
        <w:tc>
          <w:tcPr>
            <w:tcW w:w="992" w:type="dxa"/>
            <w:tcBorders>
              <w:top w:val="nil"/>
              <w:left w:val="nil"/>
              <w:bottom w:val="single" w:sz="12" w:space="0" w:color="auto"/>
              <w:right w:val="nil"/>
            </w:tcBorders>
            <w:hideMark/>
          </w:tcPr>
          <w:p w14:paraId="643EACCC" w14:textId="77777777" w:rsidR="005075AB" w:rsidRDefault="005075AB">
            <w:pPr>
              <w:widowControl w:val="0"/>
              <w:autoSpaceDE w:val="0"/>
              <w:autoSpaceDN w:val="0"/>
              <w:adjustRightInd w:val="0"/>
              <w:spacing w:after="0" w:line="240" w:lineRule="auto"/>
              <w:jc w:val="center"/>
              <w:rPr>
                <w:rFonts w:ascii="Times New Roman" w:hAnsi="Times New Roman" w:cs="Times New Roman"/>
                <w:sz w:val="24"/>
                <w:szCs w:val="20"/>
                <w:lang w:val="en-US"/>
              </w:rPr>
            </w:pPr>
            <w:r>
              <w:rPr>
                <w:rFonts w:ascii="Times New Roman" w:hAnsi="Times New Roman" w:cs="Times New Roman"/>
                <w:sz w:val="24"/>
                <w:szCs w:val="20"/>
                <w:lang w:val="en-US"/>
              </w:rPr>
              <w:t>1</w:t>
            </w:r>
          </w:p>
        </w:tc>
      </w:tr>
    </w:tbl>
    <w:p w14:paraId="3E3D3695" w14:textId="77777777" w:rsidR="005075AB" w:rsidRDefault="005075AB" w:rsidP="005075AB">
      <w:pPr>
        <w:spacing w:after="0" w:line="360" w:lineRule="auto"/>
        <w:jc w:val="both"/>
        <w:rPr>
          <w:rFonts w:ascii="Times New Roman" w:hAnsi="Times New Roman"/>
          <w:sz w:val="20"/>
          <w:szCs w:val="24"/>
          <w:lang w:val="en-US"/>
        </w:rPr>
      </w:pPr>
      <w:r>
        <w:rPr>
          <w:rFonts w:ascii="Times New Roman" w:hAnsi="Times New Roman"/>
          <w:b/>
          <w:sz w:val="20"/>
          <w:szCs w:val="24"/>
          <w:lang w:val="en-US"/>
        </w:rPr>
        <w:t>Source</w:t>
      </w:r>
      <w:r>
        <w:rPr>
          <w:rFonts w:ascii="Times New Roman" w:hAnsi="Times New Roman"/>
          <w:sz w:val="20"/>
          <w:szCs w:val="24"/>
          <w:lang w:val="en-US"/>
        </w:rPr>
        <w:t xml:space="preserve">: Authors </w:t>
      </w:r>
    </w:p>
    <w:p w14:paraId="4D63C4C6" w14:textId="77777777" w:rsidR="005075AB" w:rsidRDefault="005075AB" w:rsidP="005075AB">
      <w:pPr>
        <w:rPr>
          <w:rFonts w:ascii="Times New Roman" w:hAnsi="Times New Roman" w:cs="Times New Roman"/>
          <w:sz w:val="20"/>
          <w:szCs w:val="20"/>
          <w:lang w:val="en-US"/>
        </w:rPr>
      </w:pPr>
    </w:p>
    <w:p w14:paraId="0780C72F" w14:textId="77777777" w:rsidR="005075AB" w:rsidRDefault="005075AB" w:rsidP="005075AB">
      <w:pPr>
        <w:rPr>
          <w:lang w:val="en-US"/>
        </w:rPr>
      </w:pPr>
    </w:p>
    <w:p w14:paraId="357DC56F"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5AB"/>
    <w:rsid w:val="005075AB"/>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85EAB"/>
  <w15:chartTrackingRefBased/>
  <w15:docId w15:val="{1D67942D-D561-4E15-B893-5C889E223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75AB"/>
    <w:pPr>
      <w:spacing w:line="256" w:lineRule="auto"/>
    </w:pPr>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auListe31">
    <w:name w:val="Tableau Liste 31"/>
    <w:basedOn w:val="TableNormal"/>
    <w:uiPriority w:val="48"/>
    <w:rsid w:val="005075AB"/>
    <w:pPr>
      <w:spacing w:after="0" w:line="240" w:lineRule="auto"/>
    </w:pPr>
    <w:rPr>
      <w:lang w:val="fr-FR"/>
    </w:rPr>
    <w:tblPr>
      <w:tblStyleRowBandSize w:val="1"/>
      <w:tblStyleColBandSize w:val="1"/>
      <w:tblInd w:w="0" w:type="nil"/>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047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1472</Words>
  <Characters>8394</Characters>
  <Application>Microsoft Office Word</Application>
  <DocSecurity>0</DocSecurity>
  <Lines>69</Lines>
  <Paragraphs>19</Paragraphs>
  <ScaleCrop>false</ScaleCrop>
  <Company>Springer Nature</Company>
  <LinksUpToDate>false</LinksUpToDate>
  <CharactersWithSpaces>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2022-11-22T03:52:00Z</dcterms:created>
  <dcterms:modified xsi:type="dcterms:W3CDTF">2022-11-22T03:53:00Z</dcterms:modified>
</cp:coreProperties>
</file>