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04E5E2" w14:textId="6F43357F" w:rsidR="001E4734" w:rsidRPr="00F3692C" w:rsidRDefault="001E4734" w:rsidP="001E4734">
      <w:pPr>
        <w:spacing w:after="0" w:line="240" w:lineRule="auto"/>
        <w:rPr>
          <w:rFonts w:ascii="Times New Roman" w:eastAsia="Times New Roman" w:hAnsi="Times New Roman" w:cs="Times New Roman"/>
          <w:b/>
          <w:bCs/>
          <w:sz w:val="24"/>
          <w:szCs w:val="24"/>
        </w:rPr>
      </w:pPr>
      <w:r>
        <w:rPr>
          <w:rFonts w:ascii="Arial" w:eastAsia="Times New Roman" w:hAnsi="Arial" w:cs="Arial"/>
          <w:b/>
          <w:bCs/>
          <w:color w:val="000000"/>
        </w:rPr>
        <w:t xml:space="preserve">Supplementary </w:t>
      </w:r>
      <w:r w:rsidRPr="00F3692C">
        <w:rPr>
          <w:rFonts w:ascii="Arial" w:eastAsia="Times New Roman" w:hAnsi="Arial" w:cs="Arial"/>
          <w:b/>
          <w:bCs/>
          <w:color w:val="000000"/>
        </w:rPr>
        <w:t>Methods</w:t>
      </w:r>
    </w:p>
    <w:p w14:paraId="0AF3E5B9" w14:textId="77777777" w:rsidR="001E4734" w:rsidRPr="001D3CCE" w:rsidRDefault="001E4734" w:rsidP="001E4734">
      <w:pPr>
        <w:spacing w:after="0" w:line="240" w:lineRule="auto"/>
        <w:rPr>
          <w:rFonts w:ascii="Times New Roman" w:eastAsia="Times New Roman" w:hAnsi="Times New Roman" w:cs="Times New Roman"/>
          <w:sz w:val="24"/>
          <w:szCs w:val="24"/>
        </w:rPr>
      </w:pPr>
      <w:r>
        <w:rPr>
          <w:rFonts w:ascii="Arial" w:eastAsia="Times New Roman" w:hAnsi="Arial" w:cs="Arial"/>
          <w:i/>
          <w:iCs/>
          <w:color w:val="000000"/>
        </w:rPr>
        <w:t>I</w:t>
      </w:r>
      <w:r w:rsidRPr="001D3CCE">
        <w:rPr>
          <w:rFonts w:ascii="Arial" w:eastAsia="Times New Roman" w:hAnsi="Arial" w:cs="Arial"/>
          <w:i/>
          <w:iCs/>
          <w:color w:val="000000"/>
        </w:rPr>
        <w:t>dentification</w:t>
      </w:r>
      <w:r>
        <w:rPr>
          <w:rFonts w:ascii="Arial" w:eastAsia="Times New Roman" w:hAnsi="Arial" w:cs="Arial"/>
          <w:i/>
          <w:iCs/>
          <w:color w:val="000000"/>
        </w:rPr>
        <w:t xml:space="preserve"> of FLC patients at UCSF</w:t>
      </w:r>
    </w:p>
    <w:p w14:paraId="49C09CC9" w14:textId="77777777" w:rsidR="001E4734" w:rsidRPr="001D3CCE" w:rsidRDefault="001E4734" w:rsidP="001E4734">
      <w:pPr>
        <w:spacing w:after="0" w:line="240" w:lineRule="auto"/>
        <w:rPr>
          <w:rFonts w:ascii="Times New Roman" w:eastAsia="Times New Roman" w:hAnsi="Times New Roman" w:cs="Times New Roman"/>
          <w:sz w:val="24"/>
          <w:szCs w:val="24"/>
        </w:rPr>
      </w:pPr>
      <w:r w:rsidRPr="001D3CCE">
        <w:rPr>
          <w:rFonts w:ascii="Arial" w:eastAsia="Times New Roman" w:hAnsi="Arial" w:cs="Arial"/>
          <w:color w:val="000000"/>
        </w:rPr>
        <w:t>To comprehensively identify and assess the prevalence of patients with FLC within the UCSF medical record, we analyzed four sources of information within the medical records:</w:t>
      </w:r>
    </w:p>
    <w:p w14:paraId="576ED660" w14:textId="197E470C" w:rsidR="001E4734" w:rsidRDefault="001E4734" w:rsidP="001E4734">
      <w:pPr>
        <w:numPr>
          <w:ilvl w:val="0"/>
          <w:numId w:val="1"/>
        </w:numPr>
        <w:spacing w:after="0" w:line="240" w:lineRule="auto"/>
        <w:textAlignment w:val="baseline"/>
        <w:rPr>
          <w:rFonts w:ascii="Arial" w:eastAsia="Times New Roman" w:hAnsi="Arial" w:cs="Arial"/>
          <w:color w:val="000000"/>
        </w:rPr>
      </w:pPr>
      <w:r>
        <w:rPr>
          <w:rFonts w:ascii="Arial" w:eastAsia="Times New Roman" w:hAnsi="Arial" w:cs="Arial"/>
          <w:color w:val="000000"/>
        </w:rPr>
        <w:t>EPIC Hyperspace Diagnosis/Billing codes (referred to subsequently as EPIC codes)</w:t>
      </w:r>
    </w:p>
    <w:p w14:paraId="7D4B95CB" w14:textId="46EF5586" w:rsidR="001E4734" w:rsidRPr="001D3CCE" w:rsidRDefault="001E4734" w:rsidP="001E4734">
      <w:pPr>
        <w:numPr>
          <w:ilvl w:val="0"/>
          <w:numId w:val="1"/>
        </w:numPr>
        <w:spacing w:after="0" w:line="240" w:lineRule="auto"/>
        <w:textAlignment w:val="baseline"/>
        <w:rPr>
          <w:rFonts w:ascii="Arial" w:eastAsia="Times New Roman" w:hAnsi="Arial" w:cs="Arial"/>
          <w:color w:val="000000"/>
        </w:rPr>
      </w:pPr>
      <w:r>
        <w:rPr>
          <w:rFonts w:ascii="Arial" w:eastAsia="Times New Roman" w:hAnsi="Arial" w:cs="Arial"/>
          <w:color w:val="000000"/>
        </w:rPr>
        <w:t>ICD Billing codes</w:t>
      </w:r>
      <w:r w:rsidRPr="001D3CCE">
        <w:rPr>
          <w:rFonts w:ascii="Arial" w:eastAsia="Times New Roman" w:hAnsi="Arial" w:cs="Arial"/>
          <w:color w:val="000000"/>
        </w:rPr>
        <w:t xml:space="preserve"> </w:t>
      </w:r>
    </w:p>
    <w:p w14:paraId="57BE9796" w14:textId="77777777" w:rsidR="001E4734" w:rsidRPr="001D3CCE" w:rsidRDefault="001E4734" w:rsidP="001E4734">
      <w:pPr>
        <w:numPr>
          <w:ilvl w:val="0"/>
          <w:numId w:val="1"/>
        </w:numPr>
        <w:spacing w:after="0" w:line="240" w:lineRule="auto"/>
        <w:textAlignment w:val="baseline"/>
        <w:rPr>
          <w:rFonts w:ascii="Arial" w:eastAsia="Times New Roman" w:hAnsi="Arial" w:cs="Arial"/>
          <w:color w:val="000000"/>
        </w:rPr>
      </w:pPr>
      <w:r w:rsidRPr="001D3CCE">
        <w:rPr>
          <w:rFonts w:ascii="Arial" w:eastAsia="Times New Roman" w:hAnsi="Arial" w:cs="Arial"/>
          <w:color w:val="000000"/>
        </w:rPr>
        <w:t>Histopathology reports on liver biopsy</w:t>
      </w:r>
    </w:p>
    <w:p w14:paraId="45CA45A9" w14:textId="77777777" w:rsidR="001E4734" w:rsidRPr="001D3CCE" w:rsidRDefault="001E4734" w:rsidP="001E4734">
      <w:pPr>
        <w:numPr>
          <w:ilvl w:val="0"/>
          <w:numId w:val="1"/>
        </w:numPr>
        <w:spacing w:after="0" w:line="240" w:lineRule="auto"/>
        <w:textAlignment w:val="baseline"/>
        <w:rPr>
          <w:rFonts w:ascii="Arial" w:eastAsia="Times New Roman" w:hAnsi="Arial" w:cs="Arial"/>
          <w:color w:val="000000"/>
        </w:rPr>
      </w:pPr>
      <w:r w:rsidRPr="001D3CCE">
        <w:rPr>
          <w:rFonts w:ascii="Arial" w:eastAsia="Times New Roman" w:hAnsi="Arial" w:cs="Arial"/>
          <w:color w:val="000000"/>
        </w:rPr>
        <w:t>“History and Physical” and Progress notes from physicians in medical subspecialities related to oncological care</w:t>
      </w:r>
    </w:p>
    <w:p w14:paraId="7BDF3B02" w14:textId="77777777" w:rsidR="001E4734" w:rsidRPr="001D3CCE" w:rsidRDefault="001E4734" w:rsidP="001E4734">
      <w:pPr>
        <w:numPr>
          <w:ilvl w:val="0"/>
          <w:numId w:val="1"/>
        </w:numPr>
        <w:spacing w:after="0" w:line="240" w:lineRule="auto"/>
        <w:textAlignment w:val="baseline"/>
        <w:rPr>
          <w:rFonts w:ascii="Arial" w:eastAsia="Times New Roman" w:hAnsi="Arial" w:cs="Arial"/>
          <w:color w:val="000000"/>
        </w:rPr>
      </w:pPr>
      <w:r w:rsidRPr="001D3CCE">
        <w:rPr>
          <w:rFonts w:ascii="Arial" w:eastAsia="Times New Roman" w:hAnsi="Arial" w:cs="Arial"/>
          <w:color w:val="000000"/>
        </w:rPr>
        <w:t>“History and Physical” and Progress notes from physicians in surgical subspecialities related to hepatobiliary surgery (or inpatient services)</w:t>
      </w:r>
    </w:p>
    <w:p w14:paraId="3DE7BB08" w14:textId="7EB514B1" w:rsidR="001E4734" w:rsidRPr="001D3CCE" w:rsidRDefault="001E4734" w:rsidP="001E4734">
      <w:pPr>
        <w:spacing w:after="0" w:line="240" w:lineRule="auto"/>
        <w:rPr>
          <w:rFonts w:ascii="Times New Roman" w:eastAsia="Times New Roman" w:hAnsi="Times New Roman" w:cs="Times New Roman"/>
          <w:sz w:val="24"/>
          <w:szCs w:val="24"/>
        </w:rPr>
      </w:pPr>
      <w:r w:rsidRPr="001D3CCE">
        <w:rPr>
          <w:rFonts w:ascii="Arial" w:eastAsia="Times New Roman" w:hAnsi="Arial" w:cs="Arial"/>
          <w:color w:val="000000"/>
        </w:rPr>
        <w:t xml:space="preserve">For </w:t>
      </w:r>
      <w:r>
        <w:rPr>
          <w:rFonts w:ascii="Arial" w:eastAsia="Times New Roman" w:hAnsi="Arial" w:cs="Arial"/>
          <w:color w:val="000000"/>
        </w:rPr>
        <w:t>EPIC</w:t>
      </w:r>
      <w:r w:rsidRPr="001D3CCE">
        <w:rPr>
          <w:rFonts w:ascii="Arial" w:eastAsia="Times New Roman" w:hAnsi="Arial" w:cs="Arial"/>
          <w:color w:val="000000"/>
        </w:rPr>
        <w:t xml:space="preserve"> codes, we identified all patients with at least one documented occurrence of at least one of the </w:t>
      </w:r>
      <w:r>
        <w:rPr>
          <w:rFonts w:ascii="Arial" w:eastAsia="Times New Roman" w:hAnsi="Arial" w:cs="Arial"/>
          <w:color w:val="000000"/>
        </w:rPr>
        <w:t>EPIC</w:t>
      </w:r>
      <w:r w:rsidRPr="001D3CCE">
        <w:rPr>
          <w:rFonts w:ascii="Arial" w:eastAsia="Times New Roman" w:hAnsi="Arial" w:cs="Arial"/>
          <w:color w:val="000000"/>
        </w:rPr>
        <w:t xml:space="preserve"> codes listed in Supplementary Tabl</w:t>
      </w:r>
      <w:r>
        <w:rPr>
          <w:rFonts w:ascii="Arial" w:eastAsia="Times New Roman" w:hAnsi="Arial" w:cs="Arial"/>
          <w:color w:val="000000"/>
        </w:rPr>
        <w:t>e 1</w:t>
      </w:r>
    </w:p>
    <w:p w14:paraId="7DFEECC2" w14:textId="77777777" w:rsidR="001E4734" w:rsidRPr="001D3CCE" w:rsidRDefault="001E4734" w:rsidP="001E4734">
      <w:pPr>
        <w:spacing w:after="0" w:line="240" w:lineRule="auto"/>
        <w:rPr>
          <w:rFonts w:ascii="Times New Roman" w:eastAsia="Times New Roman" w:hAnsi="Times New Roman" w:cs="Times New Roman"/>
          <w:sz w:val="24"/>
          <w:szCs w:val="24"/>
        </w:rPr>
      </w:pPr>
      <w:r w:rsidRPr="001D3CCE">
        <w:rPr>
          <w:rFonts w:ascii="Arial" w:eastAsia="Times New Roman" w:hAnsi="Arial" w:cs="Arial"/>
          <w:color w:val="000000"/>
        </w:rPr>
        <w:t xml:space="preserve">For each source of text-based documentation of FLC, we utilized the UCSF Information Commons de-identified notes database, a source of 105 million clinical notes across 2.4 million patients, with patient health information removed to serve as a research tool for clinical hypotheses. </w:t>
      </w:r>
      <w:r>
        <w:rPr>
          <w:rFonts w:ascii="Arial" w:eastAsia="Times New Roman" w:hAnsi="Arial" w:cs="Arial"/>
          <w:color w:val="000000"/>
        </w:rPr>
        <w:t>To maximize sensitivity, we examined all notes associated with the 9511 patients with an ICD-10 code for liver cancer (</w:t>
      </w:r>
      <w:r w:rsidRPr="00B72DCA">
        <w:rPr>
          <w:rFonts w:ascii="Arial" w:eastAsia="Times New Roman" w:hAnsi="Arial" w:cs="Arial"/>
          <w:color w:val="000000"/>
        </w:rPr>
        <w:t>"C22.0","C22.7")</w:t>
      </w:r>
      <w:r>
        <w:rPr>
          <w:rFonts w:ascii="Arial" w:eastAsia="Times New Roman" w:hAnsi="Arial" w:cs="Arial"/>
          <w:color w:val="000000"/>
        </w:rPr>
        <w:t xml:space="preserve"> and we</w:t>
      </w:r>
      <w:r w:rsidRPr="001D3CCE">
        <w:rPr>
          <w:rFonts w:ascii="Arial" w:eastAsia="Times New Roman" w:hAnsi="Arial" w:cs="Arial"/>
          <w:color w:val="000000"/>
        </w:rPr>
        <w:t xml:space="preserve"> identified all notes </w:t>
      </w:r>
      <w:r>
        <w:rPr>
          <w:rFonts w:ascii="Arial" w:eastAsia="Times New Roman" w:hAnsi="Arial" w:cs="Arial"/>
          <w:color w:val="000000"/>
        </w:rPr>
        <w:t xml:space="preserve">for these patients </w:t>
      </w:r>
      <w:r w:rsidRPr="001D3CCE">
        <w:rPr>
          <w:rFonts w:ascii="Arial" w:eastAsia="Times New Roman" w:hAnsi="Arial" w:cs="Arial"/>
          <w:color w:val="000000"/>
        </w:rPr>
        <w:t xml:space="preserve">written by a practitioner within a medical or surgical subspecialty that contained the terms 'fibrolamellar' or 'FLHCC', </w:t>
      </w:r>
      <w:proofErr w:type="gramStart"/>
      <w:r w:rsidRPr="001D3CCE">
        <w:rPr>
          <w:rFonts w:ascii="Arial" w:eastAsia="Times New Roman" w:hAnsi="Arial" w:cs="Arial"/>
          <w:color w:val="000000"/>
        </w:rPr>
        <w:t>( '</w:t>
      </w:r>
      <w:proofErr w:type="gramEnd"/>
      <w:r w:rsidRPr="001D3CCE">
        <w:rPr>
          <w:rFonts w:ascii="Arial" w:eastAsia="Times New Roman" w:hAnsi="Arial" w:cs="Arial"/>
          <w:color w:val="000000"/>
        </w:rPr>
        <w:t xml:space="preserve">FLC' was included in searching of histopathology reports). Each patient with at least one note </w:t>
      </w:r>
      <w:r>
        <w:rPr>
          <w:rFonts w:ascii="Arial" w:eastAsia="Times New Roman" w:hAnsi="Arial" w:cs="Arial"/>
          <w:color w:val="000000"/>
        </w:rPr>
        <w:t>containing</w:t>
      </w:r>
      <w:r w:rsidRPr="001D3CCE">
        <w:rPr>
          <w:rFonts w:ascii="Arial" w:eastAsia="Times New Roman" w:hAnsi="Arial" w:cs="Arial"/>
          <w:color w:val="000000"/>
        </w:rPr>
        <w:t xml:space="preserve"> one of these terms was identified, </w:t>
      </w:r>
      <w:r>
        <w:rPr>
          <w:rFonts w:ascii="Arial" w:eastAsia="Times New Roman" w:hAnsi="Arial" w:cs="Arial"/>
          <w:color w:val="000000"/>
        </w:rPr>
        <w:t>and</w:t>
      </w:r>
      <w:r w:rsidRPr="001D3CCE">
        <w:rPr>
          <w:rFonts w:ascii="Arial" w:eastAsia="Times New Roman" w:hAnsi="Arial" w:cs="Arial"/>
          <w:color w:val="000000"/>
        </w:rPr>
        <w:t xml:space="preserve"> two documents </w:t>
      </w:r>
      <w:r>
        <w:rPr>
          <w:rFonts w:ascii="Arial" w:eastAsia="Times New Roman" w:hAnsi="Arial" w:cs="Arial"/>
          <w:color w:val="000000"/>
        </w:rPr>
        <w:t xml:space="preserve">were </w:t>
      </w:r>
      <w:r w:rsidRPr="001D3CCE">
        <w:rPr>
          <w:rFonts w:ascii="Arial" w:eastAsia="Times New Roman" w:hAnsi="Arial" w:cs="Arial"/>
          <w:color w:val="000000"/>
        </w:rPr>
        <w:t xml:space="preserve">exported for independent review: 1) the first H&amp;P written for that patient in these departments and 2) the first progress note to contain one of the terms listed above. The goal of this procedure was to </w:t>
      </w:r>
      <w:r>
        <w:rPr>
          <w:rFonts w:ascii="Arial" w:eastAsia="Times New Roman" w:hAnsi="Arial" w:cs="Arial"/>
          <w:color w:val="000000"/>
        </w:rPr>
        <w:t>identify</w:t>
      </w:r>
      <w:r w:rsidRPr="001D3CCE">
        <w:rPr>
          <w:rFonts w:ascii="Arial" w:eastAsia="Times New Roman" w:hAnsi="Arial" w:cs="Arial"/>
          <w:color w:val="000000"/>
        </w:rPr>
        <w:t xml:space="preserve"> all patients who </w:t>
      </w:r>
      <w:r w:rsidRPr="001D3CCE">
        <w:rPr>
          <w:rFonts w:ascii="Arial" w:eastAsia="Times New Roman" w:hAnsi="Arial" w:cs="Arial"/>
          <w:i/>
          <w:iCs/>
          <w:color w:val="000000"/>
        </w:rPr>
        <w:t xml:space="preserve">potentially </w:t>
      </w:r>
      <w:r w:rsidRPr="001D3CCE">
        <w:rPr>
          <w:rFonts w:ascii="Arial" w:eastAsia="Times New Roman" w:hAnsi="Arial" w:cs="Arial"/>
          <w:color w:val="000000"/>
        </w:rPr>
        <w:t xml:space="preserve">have diagnoses of FLC within the UCSF EMR, </w:t>
      </w:r>
      <w:r>
        <w:rPr>
          <w:rFonts w:ascii="Arial" w:eastAsia="Times New Roman" w:hAnsi="Arial" w:cs="Arial"/>
          <w:color w:val="000000"/>
        </w:rPr>
        <w:t xml:space="preserve">with </w:t>
      </w:r>
      <w:r w:rsidRPr="001D3CCE">
        <w:rPr>
          <w:rFonts w:ascii="Arial" w:eastAsia="Times New Roman" w:hAnsi="Arial" w:cs="Arial"/>
          <w:color w:val="000000"/>
        </w:rPr>
        <w:t xml:space="preserve">the </w:t>
      </w:r>
      <w:r>
        <w:rPr>
          <w:rFonts w:ascii="Arial" w:eastAsia="Times New Roman" w:hAnsi="Arial" w:cs="Arial"/>
          <w:color w:val="000000"/>
        </w:rPr>
        <w:t>accuracy of the diagnosis to be confirmed by</w:t>
      </w:r>
      <w:r w:rsidRPr="001D3CCE">
        <w:rPr>
          <w:rFonts w:ascii="Arial" w:eastAsia="Times New Roman" w:hAnsi="Arial" w:cs="Arial"/>
          <w:color w:val="000000"/>
        </w:rPr>
        <w:t xml:space="preserve"> manual </w:t>
      </w:r>
      <w:r>
        <w:rPr>
          <w:rFonts w:ascii="Arial" w:eastAsia="Times New Roman" w:hAnsi="Arial" w:cs="Arial"/>
          <w:color w:val="000000"/>
        </w:rPr>
        <w:t xml:space="preserve">case </w:t>
      </w:r>
      <w:r w:rsidRPr="001D3CCE">
        <w:rPr>
          <w:rFonts w:ascii="Arial" w:eastAsia="Times New Roman" w:hAnsi="Arial" w:cs="Arial"/>
          <w:color w:val="000000"/>
        </w:rPr>
        <w:t>review. </w:t>
      </w:r>
    </w:p>
    <w:p w14:paraId="37CDB9ED" w14:textId="35966F23" w:rsidR="001E4734" w:rsidRDefault="001E4734" w:rsidP="001E4734">
      <w:pPr>
        <w:spacing w:after="0" w:line="240" w:lineRule="auto"/>
        <w:rPr>
          <w:rFonts w:ascii="Arial" w:eastAsia="Times New Roman" w:hAnsi="Arial" w:cs="Arial"/>
          <w:color w:val="000000"/>
        </w:rPr>
      </w:pPr>
      <w:r w:rsidRPr="001D3CCE">
        <w:rPr>
          <w:rFonts w:ascii="Arial" w:eastAsia="Times New Roman" w:hAnsi="Arial" w:cs="Arial"/>
          <w:color w:val="000000"/>
        </w:rPr>
        <w:t xml:space="preserve">The procedure captured </w:t>
      </w:r>
      <w:r>
        <w:rPr>
          <w:rFonts w:ascii="Arial" w:eastAsia="Times New Roman" w:hAnsi="Arial" w:cs="Arial"/>
          <w:color w:val="000000"/>
        </w:rPr>
        <w:t>61</w:t>
      </w:r>
      <w:r w:rsidRPr="001D3CCE">
        <w:rPr>
          <w:rFonts w:ascii="Arial" w:eastAsia="Times New Roman" w:hAnsi="Arial" w:cs="Arial"/>
          <w:color w:val="000000"/>
        </w:rPr>
        <w:t xml:space="preserve"> patients with a potential diagnosis of FLC</w:t>
      </w:r>
      <w:r>
        <w:rPr>
          <w:rFonts w:ascii="Arial" w:eastAsia="Times New Roman" w:hAnsi="Arial" w:cs="Arial"/>
          <w:color w:val="000000"/>
        </w:rPr>
        <w:t xml:space="preserve"> through ~50,000 physician notes, 12 patients with potential FLC on histopathological report, and 30 patients with a CMS code diagnosis of FLC, totaling 69 unique patients</w:t>
      </w:r>
      <w:r w:rsidRPr="001D3CCE">
        <w:rPr>
          <w:rFonts w:ascii="Arial" w:eastAsia="Times New Roman" w:hAnsi="Arial" w:cs="Arial"/>
          <w:color w:val="000000"/>
        </w:rPr>
        <w:t>. For each of these patients, three independent reviewers reviewed all identified histopathology</w:t>
      </w:r>
      <w:r>
        <w:rPr>
          <w:rFonts w:ascii="Arial" w:eastAsia="Times New Roman" w:hAnsi="Arial" w:cs="Arial"/>
          <w:color w:val="000000"/>
        </w:rPr>
        <w:t xml:space="preserve"> reports</w:t>
      </w:r>
      <w:r w:rsidRPr="001D3CCE">
        <w:rPr>
          <w:rFonts w:ascii="Arial" w:eastAsia="Times New Roman" w:hAnsi="Arial" w:cs="Arial"/>
          <w:color w:val="000000"/>
        </w:rPr>
        <w:t>,</w:t>
      </w:r>
      <w:r>
        <w:rPr>
          <w:rFonts w:ascii="Arial" w:eastAsia="Times New Roman" w:hAnsi="Arial" w:cs="Arial"/>
          <w:color w:val="000000"/>
        </w:rPr>
        <w:t xml:space="preserve"> as well as</w:t>
      </w:r>
      <w:r w:rsidRPr="001D3CCE">
        <w:rPr>
          <w:rFonts w:ascii="Arial" w:eastAsia="Times New Roman" w:hAnsi="Arial" w:cs="Arial"/>
          <w:color w:val="000000"/>
        </w:rPr>
        <w:t xml:space="preserve"> medical oncology, and surgical notes fr</w:t>
      </w:r>
      <w:r>
        <w:rPr>
          <w:rFonts w:ascii="Arial" w:eastAsia="Times New Roman" w:hAnsi="Arial" w:cs="Arial"/>
          <w:color w:val="000000"/>
        </w:rPr>
        <w:t>om patients that contained a mention of FLC to</w:t>
      </w:r>
      <w:r w:rsidRPr="001D3CCE">
        <w:rPr>
          <w:rFonts w:ascii="Arial" w:eastAsia="Times New Roman" w:hAnsi="Arial" w:cs="Arial"/>
          <w:color w:val="000000"/>
        </w:rPr>
        <w:t xml:space="preserve"> determine whether the diagnosis of FLC was confirmed within the medical documentation. Of the </w:t>
      </w:r>
      <w:r>
        <w:rPr>
          <w:rFonts w:ascii="Arial" w:eastAsia="Times New Roman" w:hAnsi="Arial" w:cs="Arial"/>
          <w:color w:val="000000"/>
        </w:rPr>
        <w:t xml:space="preserve">69 </w:t>
      </w:r>
      <w:r w:rsidRPr="001D3CCE">
        <w:rPr>
          <w:rFonts w:ascii="Arial" w:eastAsia="Times New Roman" w:hAnsi="Arial" w:cs="Arial"/>
          <w:color w:val="000000"/>
        </w:rPr>
        <w:t xml:space="preserve">patients originally identified, a total of </w:t>
      </w:r>
      <w:r>
        <w:rPr>
          <w:rFonts w:ascii="Arial" w:eastAsia="Times New Roman" w:hAnsi="Arial" w:cs="Arial"/>
          <w:color w:val="000000"/>
        </w:rPr>
        <w:t>33</w:t>
      </w:r>
      <w:r w:rsidRPr="001D3CCE">
        <w:rPr>
          <w:rFonts w:ascii="Arial" w:eastAsia="Times New Roman" w:hAnsi="Arial" w:cs="Arial"/>
          <w:color w:val="000000"/>
        </w:rPr>
        <w:t xml:space="preserve"> were confirmed as having FLC through this approach.</w:t>
      </w:r>
    </w:p>
    <w:p w14:paraId="6A627EDB" w14:textId="77777777" w:rsidR="001E4734" w:rsidRDefault="001E4734" w:rsidP="001E4734">
      <w:pPr>
        <w:spacing w:after="0" w:line="240" w:lineRule="auto"/>
        <w:rPr>
          <w:rFonts w:ascii="Times New Roman" w:eastAsia="Times New Roman" w:hAnsi="Times New Roman" w:cs="Times New Roman"/>
          <w:sz w:val="24"/>
          <w:szCs w:val="24"/>
        </w:rPr>
      </w:pPr>
    </w:p>
    <w:p w14:paraId="5FA97584" w14:textId="77777777" w:rsidR="001E4734" w:rsidRPr="00442EEC" w:rsidRDefault="001E4734" w:rsidP="001E4734">
      <w:pPr>
        <w:spacing w:after="0" w:line="24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Identification of FLC and HCC comorbidities, age distribution and ICD-10-CM code mapping within the UCSF dataset</w:t>
      </w:r>
      <w:r w:rsidRPr="00442EEC">
        <w:rPr>
          <w:rFonts w:ascii="Times New Roman" w:eastAsia="Times New Roman" w:hAnsi="Times New Roman" w:cs="Times New Roman"/>
          <w:i/>
          <w:iCs/>
          <w:sz w:val="24"/>
          <w:szCs w:val="24"/>
        </w:rPr>
        <w:t>.</w:t>
      </w:r>
    </w:p>
    <w:p w14:paraId="030E409E" w14:textId="77777777" w:rsidR="001E4734" w:rsidRDefault="001E4734" w:rsidP="001E47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each of the 4300 UCSF patients with ICD10 codes of liver cancer between 2011 and 2021, we identified the presence or absence of the 102 ICD-9 and ICD-10 codes for other liver conditions that could predispose a patient to HCC (see Supplementary Table 1), as well as the presence or absence of ICD codes for 4 non-HCC liver cancers. The age of each patient at the time of diagnosis was also determined. </w:t>
      </w:r>
    </w:p>
    <w:p w14:paraId="54D1A3F2" w14:textId="77777777" w:rsidR="001E4734" w:rsidRDefault="001E4734" w:rsidP="001E4734">
      <w:pPr>
        <w:spacing w:after="0" w:line="240" w:lineRule="auto"/>
        <w:rPr>
          <w:rFonts w:ascii="Times New Roman" w:eastAsia="Times New Roman" w:hAnsi="Times New Roman" w:cs="Times New Roman"/>
          <w:sz w:val="24"/>
          <w:szCs w:val="24"/>
        </w:rPr>
      </w:pPr>
    </w:p>
    <w:p w14:paraId="098B5DC0" w14:textId="77777777" w:rsidR="001E4734" w:rsidRPr="00442EEC" w:rsidRDefault="001E4734" w:rsidP="001E4734">
      <w:pPr>
        <w:spacing w:after="0" w:line="24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Creation of a nationwide cohort inclusive of FLC patients</w:t>
      </w:r>
      <w:r w:rsidRPr="00442EEC">
        <w:rPr>
          <w:rFonts w:ascii="Times New Roman" w:eastAsia="Times New Roman" w:hAnsi="Times New Roman" w:cs="Times New Roman"/>
          <w:i/>
          <w:iCs/>
          <w:sz w:val="24"/>
          <w:szCs w:val="24"/>
        </w:rPr>
        <w:t>.</w:t>
      </w:r>
    </w:p>
    <w:p w14:paraId="42984945" w14:textId="77777777" w:rsidR="001E4734" w:rsidRDefault="001E4734" w:rsidP="001E473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Using a nationwide aggregation of payer billing data contained in Komodo Healthcare’s HealthCare Map, an age-stratified patient cohort was constructed using the same ICD-10-CM inclusion and exclusion criteria verified in the UCSF ICD code analysis (see Figure 1).</w:t>
      </w:r>
    </w:p>
    <w:p w14:paraId="673FB095" w14:textId="77777777" w:rsidR="001E4734" w:rsidRPr="003667F6" w:rsidRDefault="001E4734" w:rsidP="001E4734">
      <w:pPr>
        <w:spacing w:after="0" w:line="240" w:lineRule="auto"/>
        <w:rPr>
          <w:rFonts w:ascii="Times New Roman" w:eastAsia="Times New Roman" w:hAnsi="Times New Roman" w:cs="Times New Roman"/>
          <w:sz w:val="24"/>
          <w:szCs w:val="24"/>
        </w:rPr>
      </w:pPr>
    </w:p>
    <w:p w14:paraId="11664023" w14:textId="77777777" w:rsidR="001E4734" w:rsidRDefault="001E4734" w:rsidP="001E4734">
      <w:pPr>
        <w:spacing w:after="240" w:line="24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Calculation of national</w:t>
      </w:r>
      <w:r w:rsidRPr="001D3D7D">
        <w:rPr>
          <w:rFonts w:ascii="Times New Roman" w:eastAsia="Times New Roman" w:hAnsi="Times New Roman" w:cs="Times New Roman"/>
          <w:i/>
          <w:iCs/>
          <w:sz w:val="24"/>
          <w:szCs w:val="24"/>
        </w:rPr>
        <w:t xml:space="preserve"> incidence </w:t>
      </w:r>
      <w:r>
        <w:rPr>
          <w:rFonts w:ascii="Times New Roman" w:eastAsia="Times New Roman" w:hAnsi="Times New Roman" w:cs="Times New Roman"/>
          <w:i/>
          <w:iCs/>
          <w:sz w:val="24"/>
          <w:szCs w:val="24"/>
        </w:rPr>
        <w:t>by applying UCSF age-based incidence rates to the national billing data patient cohort</w:t>
      </w:r>
      <w:r w:rsidRPr="001D3D7D">
        <w:rPr>
          <w:rFonts w:ascii="Times New Roman" w:eastAsia="Times New Roman" w:hAnsi="Times New Roman" w:cs="Times New Roman"/>
          <w:i/>
          <w:iCs/>
          <w:sz w:val="24"/>
          <w:szCs w:val="24"/>
        </w:rPr>
        <w:t xml:space="preserve">. </w:t>
      </w:r>
    </w:p>
    <w:p w14:paraId="1AB749CC" w14:textId="1487F578" w:rsidR="001E4734" w:rsidRDefault="001E4734" w:rsidP="001E4734">
      <w:pPr>
        <w:spacing w:after="240" w:line="240" w:lineRule="auto"/>
        <w:rPr>
          <w:rFonts w:ascii="Times New Roman" w:eastAsia="Times New Roman" w:hAnsi="Times New Roman" w:cs="Times New Roman"/>
          <w:i/>
          <w:iCs/>
          <w:sz w:val="24"/>
          <w:szCs w:val="24"/>
        </w:rPr>
      </w:pPr>
      <w:r>
        <w:rPr>
          <w:rFonts w:ascii="Times New Roman" w:eastAsia="Times New Roman" w:hAnsi="Times New Roman" w:cs="Times New Roman"/>
          <w:sz w:val="24"/>
          <w:szCs w:val="24"/>
        </w:rPr>
        <w:lastRenderedPageBreak/>
        <w:t xml:space="preserve">We used a Bayesian inference strategy to estimate national incidence, </w:t>
      </w:r>
      <w:proofErr w:type="gramStart"/>
      <w:r>
        <w:rPr>
          <w:rFonts w:ascii="Times New Roman" w:eastAsia="Times New Roman" w:hAnsi="Times New Roman" w:cs="Times New Roman"/>
          <w:sz w:val="24"/>
          <w:szCs w:val="24"/>
        </w:rPr>
        <w:t>taking into account</w:t>
      </w:r>
      <w:proofErr w:type="gramEnd"/>
      <w:r>
        <w:rPr>
          <w:rFonts w:ascii="Times New Roman" w:eastAsia="Times New Roman" w:hAnsi="Times New Roman" w:cs="Times New Roman"/>
          <w:sz w:val="24"/>
          <w:szCs w:val="24"/>
        </w:rPr>
        <w:t xml:space="preserve"> the uncertainty inherent in a limited sample size. Using the UCSF comorbidity-excluded HCC patient population defined above, we created a prior distribution for FLC/HCC proportion for each age group between 0-50, in bins of 10, using an assumption of binomial generative model. This a maintains the uncertainty of the true FLC proportion of each age group given the limited size of the UCSF dataset, with age groups containing less data having inherently more uncertainty. We then used a monte </w:t>
      </w:r>
      <w:proofErr w:type="spellStart"/>
      <w:r>
        <w:rPr>
          <w:rFonts w:ascii="Times New Roman" w:eastAsia="Times New Roman" w:hAnsi="Times New Roman" w:cs="Times New Roman"/>
          <w:sz w:val="24"/>
          <w:szCs w:val="24"/>
        </w:rPr>
        <w:t>carlo</w:t>
      </w:r>
      <w:proofErr w:type="spellEnd"/>
      <w:r>
        <w:rPr>
          <w:rFonts w:ascii="Times New Roman" w:eastAsia="Times New Roman" w:hAnsi="Times New Roman" w:cs="Times New Roman"/>
          <w:sz w:val="24"/>
          <w:szCs w:val="24"/>
        </w:rPr>
        <w:t xml:space="preserve"> simulation to generate 10,000 independent populations, </w:t>
      </w:r>
      <w:r w:rsidR="00316932">
        <w:rPr>
          <w:rFonts w:ascii="Times New Roman" w:eastAsia="Times New Roman" w:hAnsi="Times New Roman" w:cs="Times New Roman"/>
          <w:sz w:val="24"/>
          <w:szCs w:val="24"/>
        </w:rPr>
        <w:t xml:space="preserve">with the number of Liver cancer cases within each age range determined by the mean and standard deviation of cases within this age range in </w:t>
      </w:r>
      <w:r>
        <w:rPr>
          <w:rFonts w:ascii="Times New Roman" w:eastAsia="Times New Roman" w:hAnsi="Times New Roman" w:cs="Times New Roman"/>
          <w:sz w:val="24"/>
          <w:szCs w:val="24"/>
        </w:rPr>
        <w:t>the large Komodo comorbidity-excluded dataset</w:t>
      </w:r>
      <w:r w:rsidR="00316932">
        <w:rPr>
          <w:rFonts w:ascii="Times New Roman" w:eastAsia="Times New Roman" w:hAnsi="Times New Roman" w:cs="Times New Roman"/>
          <w:sz w:val="24"/>
          <w:szCs w:val="24"/>
        </w:rPr>
        <w:t xml:space="preserve"> between 2017-2019 inclusive</w:t>
      </w:r>
      <w:r>
        <w:rPr>
          <w:rFonts w:ascii="Times New Roman" w:eastAsia="Times New Roman" w:hAnsi="Times New Roman" w:cs="Times New Roman"/>
          <w:sz w:val="24"/>
          <w:szCs w:val="24"/>
        </w:rPr>
        <w:t>.</w:t>
      </w:r>
      <w:r w:rsidR="00316932">
        <w:rPr>
          <w:rFonts w:ascii="Times New Roman" w:eastAsia="Times New Roman" w:hAnsi="Times New Roman" w:cs="Times New Roman"/>
          <w:sz w:val="24"/>
          <w:szCs w:val="24"/>
        </w:rPr>
        <w:t xml:space="preserve"> For this purpose, incidence rates for 2020 were excluded due to concern for confound of the COVID-19 pandemic.</w:t>
      </w:r>
      <w:r>
        <w:rPr>
          <w:rFonts w:ascii="Times New Roman" w:eastAsia="Times New Roman" w:hAnsi="Times New Roman" w:cs="Times New Roman"/>
          <w:sz w:val="24"/>
          <w:szCs w:val="24"/>
        </w:rPr>
        <w:t xml:space="preserve"> The number of FLC patients in each of these populations was estimated using the UCSF-determined age-dependent prior distributions. The sum of FLC patients across age ranges represents the overall incidence expected in ther</w:t>
      </w:r>
      <w:r w:rsidR="00316932">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Komodo data. Based on the aggregate payer enrollment captured by the Komodo </w:t>
      </w:r>
      <w:proofErr w:type="spellStart"/>
      <w:r>
        <w:rPr>
          <w:rFonts w:ascii="Times New Roman" w:eastAsia="Times New Roman" w:hAnsi="Times New Roman" w:cs="Times New Roman"/>
          <w:sz w:val="24"/>
          <w:szCs w:val="24"/>
        </w:rPr>
        <w:t>Heathcare</w:t>
      </w:r>
      <w:proofErr w:type="spellEnd"/>
      <w:r>
        <w:rPr>
          <w:rFonts w:ascii="Times New Roman" w:eastAsia="Times New Roman" w:hAnsi="Times New Roman" w:cs="Times New Roman"/>
          <w:sz w:val="24"/>
          <w:szCs w:val="24"/>
        </w:rPr>
        <w:t xml:space="preserve"> Map, we extrapolated the expected value and variance of this distribution to estimate national incidence.</w:t>
      </w:r>
    </w:p>
    <w:p w14:paraId="0496CABD" w14:textId="77777777" w:rsidR="001E4734" w:rsidRDefault="001E4734" w:rsidP="001E4734">
      <w:pPr>
        <w:spacing w:after="240" w:line="24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Identification of hyperammonemia patients at UCSF</w:t>
      </w:r>
    </w:p>
    <w:p w14:paraId="34412E6E" w14:textId="00B144DE" w:rsidR="001E4734" w:rsidRDefault="001E4734" w:rsidP="001E4734">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identified all clinical encounters where ammonia levels were drawn for patients at UCSF between 2011 and 2021. For each of these encounters, we identified the maximum ammonia value during that encounter. Using the date and time of collection for this ammonia level, we identified the most temporally proximate blood draw for each lab in a comprehensive metabolic panel (sodium, potassium, chloride, bicarbonate, blood urea nitrogen, creatinine, alanine transaminase, aspartate transaminase, total bilirubin, alkaline phosphatase) and collected their values. </w:t>
      </w:r>
      <w:proofErr w:type="gramStart"/>
      <w:r>
        <w:rPr>
          <w:rFonts w:ascii="Times New Roman" w:eastAsia="Times New Roman" w:hAnsi="Times New Roman" w:cs="Times New Roman"/>
          <w:sz w:val="24"/>
          <w:szCs w:val="24"/>
        </w:rPr>
        <w:t>The vast majority of</w:t>
      </w:r>
      <w:proofErr w:type="gramEnd"/>
      <w:r>
        <w:rPr>
          <w:rFonts w:ascii="Times New Roman" w:eastAsia="Times New Roman" w:hAnsi="Times New Roman" w:cs="Times New Roman"/>
          <w:sz w:val="24"/>
          <w:szCs w:val="24"/>
        </w:rPr>
        <w:t xml:space="preserve"> encounters had all of these values within 24 hours of the ammonia level, but we accepted any encounter that had all of these labs within seven days of the maximum ammonia level. If an encounter did not contain all of these laboratory values with this </w:t>
      </w:r>
      <w:proofErr w:type="gramStart"/>
      <w:r>
        <w:rPr>
          <w:rFonts w:ascii="Times New Roman" w:eastAsia="Times New Roman" w:hAnsi="Times New Roman" w:cs="Times New Roman"/>
          <w:sz w:val="24"/>
          <w:szCs w:val="24"/>
        </w:rPr>
        <w:t>seven day</w:t>
      </w:r>
      <w:proofErr w:type="gramEnd"/>
      <w:r>
        <w:rPr>
          <w:rFonts w:ascii="Times New Roman" w:eastAsia="Times New Roman" w:hAnsi="Times New Roman" w:cs="Times New Roman"/>
          <w:sz w:val="24"/>
          <w:szCs w:val="24"/>
        </w:rPr>
        <w:t xml:space="preserve"> window, it was excluded from analysis. </w:t>
      </w:r>
    </w:p>
    <w:p w14:paraId="439F00EF" w14:textId="77777777" w:rsidR="001E4734" w:rsidRDefault="001E4734" w:rsidP="001E4734">
      <w:pPr>
        <w:spacing w:after="240" w:line="240" w:lineRule="auto"/>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Application of machine learning clustering and enrichment</w:t>
      </w:r>
    </w:p>
    <w:p w14:paraId="45F3BBE6" w14:textId="376258BC" w:rsidR="001E4734" w:rsidRPr="002E1B84" w:rsidRDefault="001E4734" w:rsidP="001E4734">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K-means </w:t>
      </w:r>
      <w:proofErr w:type="gramStart"/>
      <w:r>
        <w:rPr>
          <w:rFonts w:ascii="Times New Roman" w:eastAsia="Times New Roman" w:hAnsi="Times New Roman" w:cs="Times New Roman"/>
          <w:sz w:val="24"/>
          <w:szCs w:val="24"/>
        </w:rPr>
        <w:t>clustering</w:t>
      </w:r>
      <w:proofErr w:type="gramEnd"/>
      <w:r>
        <w:rPr>
          <w:rFonts w:ascii="Times New Roman" w:eastAsia="Times New Roman" w:hAnsi="Times New Roman" w:cs="Times New Roman"/>
          <w:sz w:val="24"/>
          <w:szCs w:val="24"/>
        </w:rPr>
        <w:t xml:space="preserve"> and plots were created using the Python package </w:t>
      </w:r>
      <w:proofErr w:type="spellStart"/>
      <w:r>
        <w:rPr>
          <w:rFonts w:ascii="Times New Roman" w:eastAsia="Times New Roman" w:hAnsi="Times New Roman" w:cs="Times New Roman"/>
          <w:sz w:val="24"/>
          <w:szCs w:val="24"/>
        </w:rPr>
        <w:t>scanpy</w:t>
      </w:r>
      <w:proofErr w:type="spellEnd"/>
      <w:r>
        <w:rPr>
          <w:rFonts w:ascii="Times New Roman" w:eastAsia="Times New Roman" w:hAnsi="Times New Roman" w:cs="Times New Roman"/>
          <w:sz w:val="24"/>
          <w:szCs w:val="24"/>
        </w:rPr>
        <w:t xml:space="preserve">. Using the 3066 encounters with hyperammonemia (ammonia level &gt;=50) and a complete metabolic panel (as described above), we computed the neighborhood graph using a </w:t>
      </w:r>
      <w:proofErr w:type="spellStart"/>
      <w:r>
        <w:rPr>
          <w:rFonts w:ascii="Times New Roman" w:eastAsia="Times New Roman" w:hAnsi="Times New Roman" w:cs="Times New Roman"/>
          <w:sz w:val="24"/>
          <w:szCs w:val="24"/>
        </w:rPr>
        <w:t>Minkowski</w:t>
      </w:r>
      <w:proofErr w:type="spellEnd"/>
      <w:r>
        <w:rPr>
          <w:rFonts w:ascii="Times New Roman" w:eastAsia="Times New Roman" w:hAnsi="Times New Roman" w:cs="Times New Roman"/>
          <w:sz w:val="24"/>
          <w:szCs w:val="24"/>
        </w:rPr>
        <w:t xml:space="preserve"> distance metric (</w:t>
      </w:r>
      <w:proofErr w:type="spellStart"/>
      <w:r>
        <w:rPr>
          <w:rFonts w:ascii="Times New Roman" w:eastAsia="Times New Roman" w:hAnsi="Times New Roman" w:cs="Times New Roman"/>
          <w:sz w:val="24"/>
          <w:szCs w:val="24"/>
        </w:rPr>
        <w:t>n_neighbors</w:t>
      </w:r>
      <w:proofErr w:type="spellEnd"/>
      <w:r>
        <w:rPr>
          <w:rFonts w:ascii="Times New Roman" w:eastAsia="Times New Roman" w:hAnsi="Times New Roman" w:cs="Times New Roman"/>
          <w:sz w:val="24"/>
          <w:szCs w:val="24"/>
        </w:rPr>
        <w:t xml:space="preserve">=5, </w:t>
      </w:r>
      <w:proofErr w:type="spellStart"/>
      <w:r>
        <w:rPr>
          <w:rFonts w:ascii="Times New Roman" w:eastAsia="Times New Roman" w:hAnsi="Times New Roman" w:cs="Times New Roman"/>
          <w:sz w:val="24"/>
          <w:szCs w:val="24"/>
        </w:rPr>
        <w:t>n_pcs</w:t>
      </w:r>
      <w:proofErr w:type="spellEnd"/>
      <w:r>
        <w:rPr>
          <w:rFonts w:ascii="Times New Roman" w:eastAsia="Times New Roman" w:hAnsi="Times New Roman" w:cs="Times New Roman"/>
          <w:sz w:val="24"/>
          <w:szCs w:val="24"/>
        </w:rPr>
        <w:t xml:space="preserve">=40). </w:t>
      </w:r>
      <w:r w:rsidR="00C92DCE">
        <w:rPr>
          <w:rFonts w:ascii="Times New Roman" w:eastAsia="Times New Roman" w:hAnsi="Times New Roman" w:cs="Times New Roman"/>
          <w:sz w:val="24"/>
          <w:szCs w:val="24"/>
        </w:rPr>
        <w:t xml:space="preserve">To identify related communities in a large graph, we applied Leiden </w:t>
      </w:r>
      <w:r>
        <w:rPr>
          <w:rFonts w:ascii="Times New Roman" w:eastAsia="Times New Roman" w:hAnsi="Times New Roman" w:cs="Times New Roman"/>
          <w:sz w:val="24"/>
          <w:szCs w:val="24"/>
        </w:rPr>
        <w:t xml:space="preserve">clustering was used with resolution 0.2, leading to 8 clusters on these 11 variables. Enrichment of HCC, FLC, and urea cycle disorders within specific clusters were determined by Fisher’s exact test, with a false discovery rate (FDR) control estimated by multiplying by # of clusters for single cluster enrichment analysis and by (# of clusters) choose 2 (=16) for enrichment analysis of 2 clusters </w:t>
      </w:r>
    </w:p>
    <w:p w14:paraId="327C2FB0" w14:textId="77777777" w:rsidR="00AD0641" w:rsidRDefault="00AD0641"/>
    <w:sectPr w:rsidR="00AD06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6257E"/>
    <w:multiLevelType w:val="multilevel"/>
    <w:tmpl w:val="2570B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734"/>
    <w:rsid w:val="001E4734"/>
    <w:rsid w:val="00316932"/>
    <w:rsid w:val="00695174"/>
    <w:rsid w:val="009003C3"/>
    <w:rsid w:val="00AD0641"/>
    <w:rsid w:val="00C92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A8CD6"/>
  <w15:chartTrackingRefBased/>
  <w15:docId w15:val="{86577EE8-A6DA-4A9D-8D19-5C979477B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47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990</Words>
  <Characters>5648</Characters>
  <Application>Microsoft Office Word</Application>
  <DocSecurity>0</DocSecurity>
  <Lines>47</Lines>
  <Paragraphs>13</Paragraphs>
  <ScaleCrop>false</ScaleCrop>
  <Company/>
  <LinksUpToDate>false</LinksUpToDate>
  <CharactersWithSpaces>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Zack, Travis</dc:creator>
  <cp:keywords/>
  <dc:description/>
  <cp:lastModifiedBy>Zack, Travis</cp:lastModifiedBy>
  <cp:revision>4</cp:revision>
  <dcterms:created xsi:type="dcterms:W3CDTF">2022-07-21T00:00:00Z</dcterms:created>
  <dcterms:modified xsi:type="dcterms:W3CDTF">2022-07-21T00:27:00Z</dcterms:modified>
</cp:coreProperties>
</file>