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5A90E1" w14:textId="77777777" w:rsidR="009A5DF7" w:rsidRPr="00110380" w:rsidRDefault="009A5DF7" w:rsidP="007B6AD4">
      <w:pPr>
        <w:spacing w:line="480" w:lineRule="auto"/>
        <w:jc w:val="center"/>
        <w:rPr>
          <w:b/>
          <w:sz w:val="24"/>
          <w:szCs w:val="24"/>
          <w:lang w:val="en-US"/>
        </w:rPr>
      </w:pPr>
      <w:r w:rsidRPr="00110380">
        <w:rPr>
          <w:b/>
          <w:sz w:val="24"/>
          <w:szCs w:val="24"/>
          <w:lang w:val="en-US"/>
        </w:rPr>
        <w:t>SUPPLEMENTARY INFORMATION</w:t>
      </w:r>
    </w:p>
    <w:p w14:paraId="52750518" w14:textId="77777777" w:rsidR="009A5DF7" w:rsidRPr="00110380" w:rsidRDefault="009A5DF7" w:rsidP="007B6AD4">
      <w:pPr>
        <w:spacing w:line="480" w:lineRule="auto"/>
        <w:rPr>
          <w:b/>
          <w:sz w:val="24"/>
          <w:szCs w:val="24"/>
          <w:lang w:val="en-US"/>
        </w:rPr>
      </w:pPr>
    </w:p>
    <w:p w14:paraId="6E513F22" w14:textId="4D4FCCF2" w:rsidR="009A5DF7" w:rsidRPr="00110380" w:rsidRDefault="009A5DF7" w:rsidP="007B6AD4">
      <w:pPr>
        <w:spacing w:line="480" w:lineRule="auto"/>
        <w:rPr>
          <w:sz w:val="24"/>
          <w:szCs w:val="24"/>
          <w:lang w:val="en-US"/>
        </w:rPr>
      </w:pPr>
      <w:r w:rsidRPr="00110380">
        <w:rPr>
          <w:sz w:val="24"/>
          <w:szCs w:val="24"/>
          <w:lang w:val="en-US"/>
        </w:rPr>
        <w:t>Supplementary data accompanying the MS by Marian Leon et al. that support the conclusions of the research here described.</w:t>
      </w:r>
      <w:r w:rsidR="00B066B5">
        <w:rPr>
          <w:sz w:val="24"/>
          <w:szCs w:val="24"/>
          <w:lang w:val="en-US"/>
        </w:rPr>
        <w:t xml:space="preserve"> The inventory of the content included as supplementary information follows.</w:t>
      </w:r>
    </w:p>
    <w:p w14:paraId="3DEFFE40" w14:textId="77777777" w:rsidR="009A5DF7" w:rsidRPr="00110380" w:rsidRDefault="009A5DF7" w:rsidP="007B6AD4">
      <w:pPr>
        <w:spacing w:line="480" w:lineRule="auto"/>
        <w:rPr>
          <w:sz w:val="24"/>
          <w:szCs w:val="24"/>
          <w:lang w:val="en-US"/>
        </w:rPr>
      </w:pPr>
    </w:p>
    <w:p w14:paraId="3AF9C3AD" w14:textId="77777777" w:rsidR="009A5DF7" w:rsidRPr="00110380" w:rsidRDefault="009A5DF7" w:rsidP="007B6AD4">
      <w:pPr>
        <w:spacing w:line="480" w:lineRule="auto"/>
        <w:rPr>
          <w:sz w:val="24"/>
          <w:szCs w:val="24"/>
          <w:u w:val="single"/>
          <w:lang w:val="en-US"/>
        </w:rPr>
      </w:pPr>
      <w:r w:rsidRPr="00110380">
        <w:rPr>
          <w:sz w:val="24"/>
          <w:szCs w:val="24"/>
          <w:u w:val="single"/>
          <w:lang w:val="en-US"/>
        </w:rPr>
        <w:t>INVENTORY:</w:t>
      </w:r>
    </w:p>
    <w:p w14:paraId="1AD4A94E" w14:textId="77777777" w:rsidR="009A5DF7" w:rsidRPr="00110380" w:rsidRDefault="009A5DF7" w:rsidP="007B6AD4">
      <w:pPr>
        <w:spacing w:line="480" w:lineRule="auto"/>
        <w:rPr>
          <w:b/>
          <w:sz w:val="24"/>
          <w:szCs w:val="24"/>
          <w:lang w:val="en-US"/>
        </w:rPr>
      </w:pPr>
    </w:p>
    <w:p w14:paraId="32C93B2C" w14:textId="1D0B2A85" w:rsidR="00B27CD1" w:rsidRDefault="00B27CD1" w:rsidP="007B6AD4">
      <w:pPr>
        <w:pStyle w:val="ListParagraph"/>
        <w:numPr>
          <w:ilvl w:val="0"/>
          <w:numId w:val="1"/>
        </w:numPr>
        <w:spacing w:line="48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Supplementary methods</w:t>
      </w:r>
    </w:p>
    <w:p w14:paraId="506AFD6B" w14:textId="79155A8E" w:rsidR="008E68E5" w:rsidRDefault="008E68E5" w:rsidP="007B6AD4">
      <w:pPr>
        <w:pStyle w:val="ListParagraph"/>
        <w:numPr>
          <w:ilvl w:val="0"/>
          <w:numId w:val="1"/>
        </w:numPr>
        <w:spacing w:line="48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Supplementary Tables 1-3</w:t>
      </w:r>
    </w:p>
    <w:p w14:paraId="3A21691D" w14:textId="1DE31E90" w:rsidR="009A5DF7" w:rsidRPr="008E68E5" w:rsidRDefault="008E68E5" w:rsidP="008E68E5">
      <w:pPr>
        <w:pStyle w:val="ListParagraph"/>
        <w:numPr>
          <w:ilvl w:val="0"/>
          <w:numId w:val="1"/>
        </w:numPr>
        <w:spacing w:line="48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S</w:t>
      </w:r>
      <w:r w:rsidR="009A5DF7" w:rsidRPr="00110380">
        <w:rPr>
          <w:sz w:val="24"/>
          <w:szCs w:val="24"/>
          <w:lang w:val="en-US"/>
        </w:rPr>
        <w:t>upplementary figure</w:t>
      </w:r>
      <w:r>
        <w:rPr>
          <w:sz w:val="24"/>
          <w:szCs w:val="24"/>
          <w:lang w:val="en-US"/>
        </w:rPr>
        <w:t xml:space="preserve"> legends for</w:t>
      </w:r>
      <w:r w:rsidR="009A5DF7" w:rsidRPr="00110380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 xml:space="preserve">S1-3 </w:t>
      </w:r>
      <w:r w:rsidR="009A5DF7" w:rsidRPr="00110380">
        <w:rPr>
          <w:sz w:val="24"/>
          <w:szCs w:val="24"/>
          <w:lang w:val="en-US"/>
        </w:rPr>
        <w:t>described in the main text</w:t>
      </w:r>
      <w:r w:rsidR="009A5DF7" w:rsidRPr="008E68E5">
        <w:rPr>
          <w:sz w:val="24"/>
          <w:szCs w:val="24"/>
          <w:lang w:val="en-US"/>
        </w:rPr>
        <w:t>.</w:t>
      </w:r>
    </w:p>
    <w:p w14:paraId="2ECA5F78" w14:textId="77777777" w:rsidR="009A5DF7" w:rsidRPr="00110380" w:rsidRDefault="009A5DF7" w:rsidP="007B6AD4">
      <w:pPr>
        <w:spacing w:line="480" w:lineRule="auto"/>
        <w:rPr>
          <w:b/>
          <w:sz w:val="24"/>
          <w:szCs w:val="24"/>
          <w:lang w:val="en-US"/>
        </w:rPr>
      </w:pPr>
    </w:p>
    <w:p w14:paraId="24BD4195" w14:textId="77777777" w:rsidR="009A5DF7" w:rsidRPr="00110380" w:rsidRDefault="009A5DF7">
      <w:pPr>
        <w:rPr>
          <w:b/>
          <w:sz w:val="24"/>
          <w:szCs w:val="24"/>
          <w:lang w:val="en-US"/>
        </w:rPr>
      </w:pPr>
      <w:r w:rsidRPr="00110380">
        <w:rPr>
          <w:b/>
          <w:sz w:val="24"/>
          <w:szCs w:val="24"/>
          <w:lang w:val="en-US"/>
        </w:rPr>
        <w:br w:type="page"/>
      </w:r>
    </w:p>
    <w:p w14:paraId="1DA2BF0A" w14:textId="77777777" w:rsidR="00B27CD1" w:rsidRDefault="00B27CD1" w:rsidP="009C5BB7">
      <w:pPr>
        <w:spacing w:line="480" w:lineRule="auto"/>
        <w:jc w:val="center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lastRenderedPageBreak/>
        <w:t>SUPPLEMENTARY METHODS</w:t>
      </w:r>
    </w:p>
    <w:p w14:paraId="2B71D5FE" w14:textId="1C15842E" w:rsidR="00B27CD1" w:rsidRDefault="009C5BB7" w:rsidP="007B6AD4">
      <w:pPr>
        <w:spacing w:line="480" w:lineRule="auto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Cell culture</w:t>
      </w:r>
    </w:p>
    <w:p w14:paraId="2C27925E" w14:textId="77777777" w:rsidR="009C5BB7" w:rsidRPr="00793FA1" w:rsidRDefault="009C5BB7" w:rsidP="007B6AD4">
      <w:pPr>
        <w:spacing w:line="480" w:lineRule="auto"/>
        <w:ind w:firstLine="284"/>
        <w:rPr>
          <w:rFonts w:cs="Arial"/>
          <w:lang w:val="en-US"/>
        </w:rPr>
      </w:pPr>
      <w:r w:rsidRPr="00793FA1">
        <w:rPr>
          <w:rFonts w:cs="Arial"/>
          <w:lang w:val="en-US"/>
        </w:rPr>
        <w:t>For generation of Mnx1-eGfp</w:t>
      </w:r>
      <w:r>
        <w:rPr>
          <w:rFonts w:cs="Arial"/>
          <w:lang w:val="en-US"/>
        </w:rPr>
        <w:t xml:space="preserve"> MTN reporter</w:t>
      </w:r>
      <w:r w:rsidRPr="00793FA1">
        <w:rPr>
          <w:rFonts w:cs="Arial"/>
          <w:lang w:val="en-US"/>
        </w:rPr>
        <w:t xml:space="preserve"> iPSC lines, 10x10</w:t>
      </w:r>
      <w:r w:rsidRPr="00793FA1">
        <w:rPr>
          <w:rFonts w:cs="Arial"/>
          <w:vertAlign w:val="superscript"/>
          <w:lang w:val="en-US"/>
        </w:rPr>
        <w:t>6</w:t>
      </w:r>
      <w:r w:rsidRPr="00793FA1">
        <w:rPr>
          <w:rFonts w:cs="Arial"/>
          <w:lang w:val="en-US"/>
        </w:rPr>
        <w:t xml:space="preserve"> </w:t>
      </w:r>
      <w:r>
        <w:rPr>
          <w:rFonts w:cs="Arial"/>
          <w:lang w:val="en-US"/>
        </w:rPr>
        <w:t>disaggregated iPSCs (</w:t>
      </w:r>
      <w:r w:rsidRPr="00793FA1">
        <w:rPr>
          <w:rFonts w:cs="Arial"/>
          <w:lang w:val="en-US"/>
        </w:rPr>
        <w:t>10x10</w:t>
      </w:r>
      <w:r w:rsidRPr="00793FA1">
        <w:rPr>
          <w:rFonts w:cs="Arial"/>
          <w:vertAlign w:val="superscript"/>
          <w:lang w:val="en-US"/>
        </w:rPr>
        <w:t>6</w:t>
      </w:r>
      <w:r w:rsidRPr="00793FA1">
        <w:rPr>
          <w:rFonts w:cs="Arial"/>
          <w:lang w:val="en-US"/>
        </w:rPr>
        <w:t xml:space="preserve"> cells</w:t>
      </w:r>
      <w:r>
        <w:rPr>
          <w:rFonts w:cs="Arial"/>
          <w:lang w:val="en-US"/>
        </w:rPr>
        <w:t xml:space="preserve">) were mixed with </w:t>
      </w:r>
      <w:r w:rsidRPr="00793FA1">
        <w:rPr>
          <w:rFonts w:cs="Arial"/>
          <w:lang w:val="en-US"/>
        </w:rPr>
        <w:t>the linearized pHb9-eGfp</w:t>
      </w:r>
      <w:r>
        <w:rPr>
          <w:rFonts w:cs="Arial"/>
          <w:lang w:val="en-US"/>
        </w:rPr>
        <w:t xml:space="preserve"> </w:t>
      </w:r>
      <w:r w:rsidRPr="00793FA1">
        <w:rPr>
          <w:rFonts w:cs="Arial"/>
          <w:lang w:val="en-US"/>
        </w:rPr>
        <w:t>and pPYCAG-IP</w:t>
      </w:r>
      <w:r>
        <w:rPr>
          <w:rFonts w:cs="Arial"/>
          <w:lang w:val="en-US"/>
        </w:rPr>
        <w:t xml:space="preserve"> </w:t>
      </w:r>
      <w:r w:rsidRPr="00793FA1">
        <w:rPr>
          <w:rFonts w:cs="Arial"/>
          <w:lang w:val="en-US"/>
        </w:rPr>
        <w:t>vectors</w:t>
      </w:r>
      <w:r>
        <w:rPr>
          <w:rFonts w:cs="Arial"/>
          <w:lang w:val="en-US"/>
        </w:rPr>
        <w:t xml:space="preserve"> </w:t>
      </w:r>
      <w:r w:rsidRPr="00793FA1">
        <w:rPr>
          <w:rFonts w:cs="Arial"/>
          <w:lang w:val="en-US"/>
        </w:rPr>
        <w:t>(5 µg total DNA</w:t>
      </w:r>
      <w:r>
        <w:rPr>
          <w:rFonts w:cs="Arial"/>
          <w:lang w:val="en-US"/>
        </w:rPr>
        <w:t>, 10:1 ratio</w:t>
      </w:r>
      <w:r w:rsidRPr="00793FA1">
        <w:rPr>
          <w:rFonts w:cs="Arial"/>
          <w:lang w:val="en-US"/>
        </w:rPr>
        <w:t>)</w:t>
      </w:r>
      <w:r>
        <w:rPr>
          <w:rFonts w:cs="Arial"/>
          <w:lang w:val="en-US"/>
        </w:rPr>
        <w:t xml:space="preserve"> in 1 ml of </w:t>
      </w:r>
      <w:r w:rsidRPr="00793FA1">
        <w:rPr>
          <w:rFonts w:cs="Arial"/>
          <w:lang w:val="en-US"/>
        </w:rPr>
        <w:t xml:space="preserve">Opti-MEM medium (ThermoFisher Scientific, 31985070) and electroporated </w:t>
      </w:r>
      <w:r>
        <w:rPr>
          <w:rFonts w:cs="Arial"/>
          <w:lang w:val="en-US"/>
        </w:rPr>
        <w:t>(</w:t>
      </w:r>
      <w:r w:rsidRPr="00793FA1">
        <w:rPr>
          <w:rFonts w:cs="Arial"/>
          <w:lang w:val="en-US"/>
        </w:rPr>
        <w:t>0.24 kV and 500 µFd</w:t>
      </w:r>
      <w:r>
        <w:rPr>
          <w:rFonts w:cs="Arial"/>
          <w:lang w:val="en-US"/>
        </w:rPr>
        <w:t xml:space="preserve">) </w:t>
      </w:r>
      <w:r w:rsidRPr="00793FA1">
        <w:rPr>
          <w:rFonts w:cs="Arial"/>
          <w:lang w:val="en-US"/>
        </w:rPr>
        <w:t>using the Gene Pulser Xcell Electroporation Systems (Bio-Rad, 1652660</w:t>
      </w:r>
      <w:r>
        <w:rPr>
          <w:rFonts w:cs="Arial"/>
          <w:lang w:val="en-US"/>
        </w:rPr>
        <w:t>, Spain</w:t>
      </w:r>
      <w:r w:rsidRPr="00793FA1">
        <w:rPr>
          <w:rFonts w:cs="Arial"/>
          <w:lang w:val="en-US"/>
        </w:rPr>
        <w:t>). Next day, cells were subjected to a positive selection with puromycin: 1.5 µg/ml during the first two days and 1 µg/ml during the following 5 days</w:t>
      </w:r>
      <w:r>
        <w:rPr>
          <w:rFonts w:cs="Arial"/>
          <w:lang w:val="en-US"/>
        </w:rPr>
        <w:t xml:space="preserve"> and cultured in 0.5 </w:t>
      </w:r>
      <w:r w:rsidRPr="00793FA1">
        <w:rPr>
          <w:rFonts w:cs="Arial"/>
          <w:lang w:val="en-US"/>
        </w:rPr>
        <w:t>µg/ml</w:t>
      </w:r>
      <w:r>
        <w:rPr>
          <w:rFonts w:cs="Arial"/>
          <w:lang w:val="en-US"/>
        </w:rPr>
        <w:t xml:space="preserve"> afterwards</w:t>
      </w:r>
      <w:r w:rsidRPr="00793FA1">
        <w:rPr>
          <w:rFonts w:cs="Arial"/>
          <w:lang w:val="en-US"/>
        </w:rPr>
        <w:t xml:space="preserve">. </w:t>
      </w:r>
      <w:r w:rsidRPr="0026609A">
        <w:rPr>
          <w:rFonts w:cs="Arial"/>
          <w:lang w:val="en-US"/>
        </w:rPr>
        <w:t>pHB9-EGFP (Hb9 promoter) [TJ#96] was a gift from Thomas Jessell (Addgene plasmid # 16275; http://n2t.net/addgene:16275; RRID:</w:t>
      </w:r>
      <w:r>
        <w:rPr>
          <w:rFonts w:cs="Arial"/>
          <w:lang w:val="en-US"/>
        </w:rPr>
        <w:t xml:space="preserve"> </w:t>
      </w:r>
      <w:r w:rsidRPr="0026609A">
        <w:rPr>
          <w:rFonts w:cs="Arial"/>
          <w:lang w:val="en-US"/>
        </w:rPr>
        <w:t>Addgene_16275</w:t>
      </w:r>
      <w:r>
        <w:rPr>
          <w:rFonts w:cs="Arial"/>
          <w:lang w:val="en-US"/>
        </w:rPr>
        <w:t xml:space="preserve">). </w:t>
      </w:r>
      <w:r w:rsidRPr="00793FA1">
        <w:rPr>
          <w:rFonts w:cs="Arial"/>
          <w:lang w:val="en-US"/>
        </w:rPr>
        <w:t>The pPYCAG-IP vector was a gift from Prof. Austin Smith (</w:t>
      </w:r>
      <w:r>
        <w:rPr>
          <w:rFonts w:cs="Arial"/>
          <w:lang w:val="en-US"/>
        </w:rPr>
        <w:t>Living Systems Institute, University of Exeter</w:t>
      </w:r>
      <w:r w:rsidRPr="00793FA1">
        <w:rPr>
          <w:rFonts w:cs="Arial"/>
          <w:lang w:val="en-US"/>
        </w:rPr>
        <w:t>,</w:t>
      </w:r>
      <w:r>
        <w:rPr>
          <w:rFonts w:cs="Arial"/>
          <w:lang w:val="en-US"/>
        </w:rPr>
        <w:t xml:space="preserve"> Exeter,</w:t>
      </w:r>
      <w:r w:rsidRPr="00793FA1">
        <w:rPr>
          <w:rFonts w:cs="Arial"/>
          <w:lang w:val="en-US"/>
        </w:rPr>
        <w:t xml:space="preserve"> UK).</w:t>
      </w:r>
    </w:p>
    <w:p w14:paraId="0526DCFE" w14:textId="77777777" w:rsidR="009C5BB7" w:rsidRPr="00793FA1" w:rsidRDefault="009C5BB7" w:rsidP="007B6AD4">
      <w:pPr>
        <w:spacing w:line="480" w:lineRule="auto"/>
        <w:ind w:firstLine="284"/>
        <w:rPr>
          <w:rFonts w:cs="Arial"/>
          <w:lang w:val="en-US"/>
        </w:rPr>
      </w:pPr>
      <w:r w:rsidRPr="00793FA1">
        <w:rPr>
          <w:rFonts w:cs="Arial"/>
          <w:lang w:val="en-US"/>
        </w:rPr>
        <w:t xml:space="preserve">For </w:t>
      </w:r>
      <w:r>
        <w:rPr>
          <w:rFonts w:cs="Arial"/>
          <w:lang w:val="en-US"/>
        </w:rPr>
        <w:t>MTN</w:t>
      </w:r>
      <w:r w:rsidRPr="00793FA1">
        <w:rPr>
          <w:rFonts w:cs="Arial"/>
          <w:lang w:val="en-US"/>
        </w:rPr>
        <w:t xml:space="preserve"> differentiation </w:t>
      </w:r>
      <w:r>
        <w:rPr>
          <w:rFonts w:cs="Arial"/>
          <w:lang w:val="en-US"/>
        </w:rPr>
        <w:t>[30,31]</w:t>
      </w:r>
      <w:r w:rsidRPr="00793FA1">
        <w:rPr>
          <w:rFonts w:cs="Arial"/>
          <w:lang w:val="en-US"/>
        </w:rPr>
        <w:t>, iPSCs were resuspended at a concentration of 1x10</w:t>
      </w:r>
      <w:r w:rsidRPr="00793FA1">
        <w:rPr>
          <w:rFonts w:cs="Arial"/>
          <w:vertAlign w:val="superscript"/>
          <w:lang w:val="en-US"/>
        </w:rPr>
        <w:t>5</w:t>
      </w:r>
      <w:r w:rsidRPr="00793FA1">
        <w:rPr>
          <w:rFonts w:cs="Arial"/>
          <w:lang w:val="en-US"/>
        </w:rPr>
        <w:t xml:space="preserve"> cells/ml in differentiation medium </w:t>
      </w:r>
      <w:r>
        <w:rPr>
          <w:rFonts w:cs="Arial"/>
          <w:lang w:val="en-US"/>
        </w:rPr>
        <w:t>[</w:t>
      </w:r>
      <w:r w:rsidRPr="00793FA1">
        <w:rPr>
          <w:rFonts w:cs="Arial"/>
          <w:lang w:val="en-US"/>
        </w:rPr>
        <w:t xml:space="preserve">1:1 mixture of DMEM-F12 (Biowest, L0090) and Neurobasal (Thermo Fisher Scientific, 21103049) supplemented with </w:t>
      </w:r>
      <w:r>
        <w:rPr>
          <w:rFonts w:cs="Arial"/>
          <w:lang w:val="en-US"/>
        </w:rPr>
        <w:t>10% knock out serum replacement (ThermoFisher scientific)</w:t>
      </w:r>
      <w:r w:rsidRPr="00793FA1">
        <w:rPr>
          <w:rFonts w:cs="Arial"/>
          <w:lang w:val="en-US"/>
        </w:rPr>
        <w:t>, 2 mM L-glutamine (Biowest, X0550), 1X penicillin/streptomycin (Biowest, L0022), 1X non-essential amino acids (Biowest, X0557), 1 mM sodium pyruvate (Biowest, L0642), 0.1mM β-mercaptoethanol, 1mM HEPES (Gibco, 15630-056) and 0.5X N2 (ThermoFisher Scientific)</w:t>
      </w:r>
      <w:r>
        <w:rPr>
          <w:rFonts w:cs="Arial"/>
          <w:lang w:val="en-US"/>
        </w:rPr>
        <w:t xml:space="preserve">] </w:t>
      </w:r>
      <w:r w:rsidRPr="00793FA1">
        <w:rPr>
          <w:rFonts w:cs="Arial"/>
          <w:lang w:val="en-US"/>
        </w:rPr>
        <w:t xml:space="preserve">and seeded in hanging drops (20-50 µL) on Petri dishes. On day 2, the position of the plates was restored, and fresh medium supplemented with 10 </w:t>
      </w:r>
      <w:r>
        <w:rPr>
          <w:rFonts w:cs="Arial"/>
          <w:lang w:val="en-US"/>
        </w:rPr>
        <w:t>µ</w:t>
      </w:r>
      <w:r w:rsidRPr="00793FA1">
        <w:rPr>
          <w:rFonts w:cs="Arial"/>
          <w:lang w:val="en-US"/>
        </w:rPr>
        <w:t>M RA (Sigma-Aldrich, R2625) and 0,5 µM SAG (Smoothened Agonist; Calbiochem, 364590-63-6) w</w:t>
      </w:r>
      <w:r>
        <w:rPr>
          <w:rFonts w:cs="Arial"/>
          <w:lang w:val="en-US"/>
        </w:rPr>
        <w:t>as</w:t>
      </w:r>
      <w:r w:rsidRPr="00793FA1">
        <w:rPr>
          <w:rFonts w:cs="Arial"/>
          <w:lang w:val="en-US"/>
        </w:rPr>
        <w:t xml:space="preserve"> added</w:t>
      </w:r>
      <w:r>
        <w:rPr>
          <w:rFonts w:cs="Arial"/>
          <w:lang w:val="en-US"/>
        </w:rPr>
        <w:t xml:space="preserve"> for suspension culture</w:t>
      </w:r>
      <w:r w:rsidRPr="00793FA1">
        <w:rPr>
          <w:rFonts w:cs="Arial"/>
          <w:lang w:val="en-US"/>
        </w:rPr>
        <w:t>.</w:t>
      </w:r>
      <w:r>
        <w:rPr>
          <w:rFonts w:cs="Arial"/>
          <w:lang w:val="en-US"/>
        </w:rPr>
        <w:t xml:space="preserve"> Media was changed every other day.</w:t>
      </w:r>
    </w:p>
    <w:p w14:paraId="007C9029" w14:textId="3EF8C2A2" w:rsidR="009C5BB7" w:rsidRPr="009C5BB7" w:rsidRDefault="009C5BB7" w:rsidP="007B6AD4">
      <w:pPr>
        <w:spacing w:line="480" w:lineRule="auto"/>
        <w:rPr>
          <w:bCs/>
          <w:sz w:val="24"/>
          <w:szCs w:val="24"/>
          <w:lang w:val="en-US"/>
        </w:rPr>
      </w:pPr>
      <w:r w:rsidRPr="00793FA1">
        <w:rPr>
          <w:rFonts w:cs="Arial"/>
          <w:lang w:val="en-US"/>
        </w:rPr>
        <w:t xml:space="preserve">For monolayer </w:t>
      </w:r>
      <w:r>
        <w:rPr>
          <w:rFonts w:cs="Arial"/>
          <w:lang w:val="en-US"/>
        </w:rPr>
        <w:t>MTN</w:t>
      </w:r>
      <w:r w:rsidRPr="00793FA1">
        <w:rPr>
          <w:rFonts w:cs="Arial"/>
          <w:lang w:val="en-US"/>
        </w:rPr>
        <w:t xml:space="preserve"> culture, </w:t>
      </w:r>
      <w:r>
        <w:rPr>
          <w:rFonts w:cs="Arial"/>
          <w:lang w:val="en-US"/>
        </w:rPr>
        <w:t xml:space="preserve">day 7 </w:t>
      </w:r>
      <w:r w:rsidRPr="00793FA1">
        <w:rPr>
          <w:rFonts w:cs="Arial"/>
          <w:lang w:val="en-US"/>
        </w:rPr>
        <w:t xml:space="preserve">EBs were disaggregated enzymatically </w:t>
      </w:r>
      <w:r>
        <w:rPr>
          <w:rFonts w:cs="Arial"/>
          <w:lang w:val="en-US"/>
        </w:rPr>
        <w:t>with Acutasse (ThermoFisher scientific) for 5 minutes at room temperature. C</w:t>
      </w:r>
      <w:r w:rsidRPr="00793FA1">
        <w:rPr>
          <w:rFonts w:cs="Arial"/>
          <w:lang w:val="en-US"/>
        </w:rPr>
        <w:t>ells were resuspended in fresh medium</w:t>
      </w:r>
      <w:r>
        <w:rPr>
          <w:rFonts w:cs="Arial"/>
          <w:lang w:val="en-US"/>
        </w:rPr>
        <w:t xml:space="preserve"> [</w:t>
      </w:r>
      <w:r w:rsidRPr="00793FA1">
        <w:rPr>
          <w:rFonts w:cs="Arial"/>
          <w:lang w:val="en-US"/>
        </w:rPr>
        <w:t xml:space="preserve">1: 1 mixture of DMEM-F12 (Biowest, L0090) and Neurobasal (Thermo Fisher Scientific, 21103049) supplemented with 1X B27 (Gibco, 17504-044), 2 mM L-glutamine (Biowest, X0550), 1X penicillin/streptomycin (Biowest, </w:t>
      </w:r>
      <w:r w:rsidRPr="00793FA1">
        <w:rPr>
          <w:rFonts w:cs="Arial"/>
          <w:lang w:val="en-US"/>
        </w:rPr>
        <w:lastRenderedPageBreak/>
        <w:t>L0022), 1X non-essential amino acids (Biowest, X0557), 1 mM sodium pyruvate (Biowest, L0642), 0.1 mM β-mercaptoethanol, 1mM HEPES (Gibco, 15630-056), 0.5X N2 (ThermoFisher Scientific), 10 ng/ml BDNF (PeproTech, 450-02), 10 ng/ml  CNTF (PeproTech, 450-50) and 10 ng/ml GDNF (PeproTech, 450-44)</w:t>
      </w:r>
      <w:r>
        <w:rPr>
          <w:rFonts w:cs="Arial"/>
          <w:lang w:val="en-US"/>
        </w:rPr>
        <w:t>], counted and</w:t>
      </w:r>
      <w:r w:rsidRPr="00793FA1">
        <w:rPr>
          <w:rFonts w:cs="Arial"/>
          <w:lang w:val="en-US"/>
        </w:rPr>
        <w:t xml:space="preserve"> seeded</w:t>
      </w:r>
      <w:r>
        <w:rPr>
          <w:rFonts w:cs="Arial"/>
          <w:lang w:val="en-US"/>
        </w:rPr>
        <w:t xml:space="preserve"> as indicated in the text</w:t>
      </w:r>
      <w:r w:rsidRPr="00793FA1">
        <w:rPr>
          <w:rFonts w:cs="Arial"/>
          <w:lang w:val="en-US"/>
        </w:rPr>
        <w:t>.</w:t>
      </w:r>
      <w:r>
        <w:rPr>
          <w:rFonts w:cs="Arial"/>
          <w:lang w:val="en-US"/>
        </w:rPr>
        <w:t xml:space="preserve"> W</w:t>
      </w:r>
      <w:r w:rsidRPr="00793FA1">
        <w:rPr>
          <w:rFonts w:cs="Arial"/>
          <w:lang w:val="en-US"/>
        </w:rPr>
        <w:t>hen indicated, the medium was supplemented with 10 mM Ara-C (Sigma-Aldrich C6645) to eliminate proliferating cells. Culture dishes were pre-treated with a solution of 0.5 mg/ml poly-D, L-ornithine (Sigma-Aldrich, 8638) and 1 mg/ml fibronectin (Sigma-Aldrich, F0895-1Mg).</w:t>
      </w:r>
    </w:p>
    <w:p w14:paraId="270F10C2" w14:textId="77777777" w:rsidR="009C5BB7" w:rsidRPr="00DF25C8" w:rsidRDefault="009C5BB7" w:rsidP="009631BD">
      <w:pPr>
        <w:spacing w:line="480" w:lineRule="auto"/>
        <w:ind w:firstLine="284"/>
        <w:jc w:val="both"/>
        <w:rPr>
          <w:rFonts w:cs="Arial"/>
          <w:b/>
          <w:lang w:val="en-US"/>
        </w:rPr>
      </w:pPr>
      <w:r w:rsidRPr="00DF25C8">
        <w:rPr>
          <w:rFonts w:cs="Arial"/>
          <w:b/>
          <w:lang w:val="en-US"/>
        </w:rPr>
        <w:t>Extracellular metabolic flux analysis</w:t>
      </w:r>
    </w:p>
    <w:p w14:paraId="1EE1478E" w14:textId="4FE9CF7A" w:rsidR="009C5BB7" w:rsidRPr="009631BD" w:rsidRDefault="009C5BB7" w:rsidP="009631BD">
      <w:pPr>
        <w:spacing w:line="480" w:lineRule="auto"/>
        <w:rPr>
          <w:bCs/>
          <w:sz w:val="24"/>
          <w:szCs w:val="24"/>
          <w:lang w:val="en-US"/>
        </w:rPr>
      </w:pPr>
      <w:r w:rsidRPr="009631BD">
        <w:rPr>
          <w:bCs/>
          <w:sz w:val="24"/>
          <w:szCs w:val="24"/>
          <w:lang w:val="en-US"/>
        </w:rPr>
        <w:t xml:space="preserve">For measuring </w:t>
      </w:r>
      <w:r w:rsidR="009631BD" w:rsidRPr="009631BD">
        <w:rPr>
          <w:bCs/>
          <w:sz w:val="24"/>
          <w:szCs w:val="24"/>
          <w:lang w:val="en-US"/>
        </w:rPr>
        <w:t>OCR and ECAR parameters</w:t>
      </w:r>
      <w:r w:rsidR="009631BD">
        <w:rPr>
          <w:bCs/>
          <w:sz w:val="24"/>
          <w:szCs w:val="24"/>
          <w:lang w:val="en-US"/>
        </w:rPr>
        <w:t xml:space="preserve"> using the corresponding kits (see mean text), </w:t>
      </w:r>
      <w:r w:rsidR="009631BD" w:rsidRPr="009631BD">
        <w:rPr>
          <w:bCs/>
          <w:sz w:val="24"/>
          <w:szCs w:val="24"/>
          <w:lang w:val="en-US"/>
        </w:rPr>
        <w:t>Cells (20 000-30 000 cells per well) were plated the day before the measurements on XF96 culture microplates. Next day, media was changed to unbuffered XF Base medium supplemented with 2 mM Glutamine (glycolysis stress kit), or 25 mM glucose, 1 mM Sodium Pyruvate and 2 mM Glutamine (mitochondria stress kit) and equilibrated for 1 hour at 37 ºC without a CO2 supply. For OCR assessment, oligomycin (1 μM), FCCP (1 μM) and antimycin A/rotenone (0.5 μM) were used. For ECAR assessment, glucose (10 mM), oligomycin (1 μM) and 2-deoxy-D-glucose (50 mM) were used. Measurements were taken every 5 minutes after addition of the drugs (a total of 4 readings per reagent added) and results were normalized to the total number of cells per well, evaluated</w:t>
      </w:r>
      <w:r w:rsidR="009631BD">
        <w:rPr>
          <w:bCs/>
          <w:sz w:val="24"/>
          <w:szCs w:val="24"/>
          <w:lang w:val="en-US"/>
        </w:rPr>
        <w:t xml:space="preserve"> by nuclear counterstaining of replica plates as stated in the mean text.</w:t>
      </w:r>
    </w:p>
    <w:p w14:paraId="4D127E4B" w14:textId="77777777" w:rsidR="009631BD" w:rsidRPr="009A5DF7" w:rsidRDefault="009C5BB7" w:rsidP="009631BD">
      <w:pPr>
        <w:spacing w:line="360" w:lineRule="auto"/>
        <w:jc w:val="center"/>
        <w:rPr>
          <w:rFonts w:eastAsia="Times New Roman" w:cs="Arial"/>
          <w:b/>
          <w:sz w:val="24"/>
          <w:szCs w:val="24"/>
          <w:lang w:val="en-US" w:eastAsia="es-ES_tradnl"/>
        </w:rPr>
      </w:pPr>
      <w:r>
        <w:rPr>
          <w:b/>
          <w:sz w:val="24"/>
          <w:szCs w:val="24"/>
          <w:lang w:val="en-US"/>
        </w:rPr>
        <w:br w:type="page"/>
      </w:r>
      <w:r w:rsidR="009631BD" w:rsidRPr="009A5DF7">
        <w:rPr>
          <w:rFonts w:eastAsia="Times New Roman" w:cs="Arial"/>
          <w:b/>
          <w:sz w:val="24"/>
          <w:szCs w:val="24"/>
          <w:lang w:val="en-US" w:eastAsia="es-ES_tradnl"/>
        </w:rPr>
        <w:lastRenderedPageBreak/>
        <w:t>SUPPLEMENTARY TABLES</w:t>
      </w:r>
    </w:p>
    <w:p w14:paraId="5983D3F1" w14:textId="77777777" w:rsidR="009631BD" w:rsidRDefault="009631BD" w:rsidP="009631BD">
      <w:pPr>
        <w:spacing w:line="360" w:lineRule="auto"/>
        <w:rPr>
          <w:rFonts w:eastAsia="Times New Roman" w:cs="Arial"/>
          <w:sz w:val="24"/>
          <w:szCs w:val="24"/>
          <w:lang w:val="en-US" w:eastAsia="es-ES_tradnl"/>
        </w:rPr>
      </w:pPr>
    </w:p>
    <w:tbl>
      <w:tblPr>
        <w:tblW w:w="839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3"/>
        <w:gridCol w:w="1418"/>
        <w:gridCol w:w="2551"/>
        <w:gridCol w:w="2730"/>
      </w:tblGrid>
      <w:tr w:rsidR="009631BD" w:rsidRPr="00793FA1" w14:paraId="4C71EA7C" w14:textId="77777777" w:rsidTr="008A181F">
        <w:trPr>
          <w:trHeight w:val="180"/>
        </w:trPr>
        <w:tc>
          <w:tcPr>
            <w:tcW w:w="8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66B671" w14:textId="77777777" w:rsidR="009631BD" w:rsidRPr="00793FA1" w:rsidRDefault="009631BD" w:rsidP="008A181F">
            <w:pPr>
              <w:jc w:val="center"/>
              <w:rPr>
                <w:rFonts w:cs="Arial"/>
                <w:b/>
                <w:bCs/>
                <w:color w:val="000000"/>
                <w:lang w:val="en-US"/>
              </w:rPr>
            </w:pPr>
            <w:r w:rsidRPr="00793FA1">
              <w:rPr>
                <w:rFonts w:cs="Arial"/>
                <w:b/>
                <w:lang w:val="en-US"/>
              </w:rPr>
              <w:t>Table 1. Primary antibodies used</w:t>
            </w:r>
          </w:p>
        </w:tc>
      </w:tr>
      <w:tr w:rsidR="009631BD" w:rsidRPr="00793FA1" w14:paraId="2E82B1AB" w14:textId="77777777" w:rsidTr="008A181F">
        <w:trPr>
          <w:trHeight w:val="180"/>
        </w:trPr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93D844B" w14:textId="77777777" w:rsidR="009631BD" w:rsidRPr="00E32582" w:rsidRDefault="009631BD" w:rsidP="008A181F">
            <w:pPr>
              <w:rPr>
                <w:rFonts w:cs="Arial"/>
                <w:lang w:val="en-US"/>
              </w:rPr>
            </w:pPr>
            <w:r w:rsidRPr="00793FA1">
              <w:rPr>
                <w:rFonts w:cs="Arial"/>
                <w:b/>
                <w:bCs/>
                <w:color w:val="000000"/>
                <w:lang w:val="en-US"/>
              </w:rPr>
              <w:t>Antigen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80904A4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b/>
                <w:bCs/>
                <w:color w:val="000000"/>
                <w:lang w:val="en-US"/>
              </w:rPr>
              <w:t>Specie</w:t>
            </w:r>
            <w:r>
              <w:rPr>
                <w:rFonts w:cs="Arial"/>
                <w:b/>
                <w:bCs/>
                <w:color w:val="000000"/>
                <w:lang w:val="en-US"/>
              </w:rPr>
              <w:t>s</w:t>
            </w:r>
            <w:r w:rsidRPr="00793FA1">
              <w:rPr>
                <w:rFonts w:cs="Arial"/>
                <w:b/>
                <w:bCs/>
                <w:color w:val="000000"/>
                <w:vertAlign w:val="superscript"/>
                <w:lang w:val="en-US"/>
              </w:rPr>
              <w:t>a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D03E7C9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b/>
                <w:bCs/>
                <w:color w:val="000000"/>
                <w:lang w:val="en-US"/>
              </w:rPr>
              <w:t>Supplier</w:t>
            </w:r>
            <w:r w:rsidRPr="00793FA1">
              <w:rPr>
                <w:rFonts w:cs="Arial"/>
                <w:b/>
                <w:bCs/>
                <w:color w:val="000000"/>
                <w:vertAlign w:val="superscript"/>
                <w:lang w:val="en-US"/>
              </w:rPr>
              <w:t>b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9DFEC8D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b/>
                <w:bCs/>
                <w:color w:val="000000"/>
                <w:lang w:val="en-US"/>
              </w:rPr>
              <w:t>Dilution</w:t>
            </w:r>
            <w:r w:rsidRPr="00793FA1">
              <w:rPr>
                <w:rFonts w:cs="Arial"/>
                <w:b/>
                <w:bCs/>
                <w:color w:val="000000"/>
                <w:vertAlign w:val="superscript"/>
                <w:lang w:val="en-US"/>
              </w:rPr>
              <w:t>c</w:t>
            </w:r>
          </w:p>
        </w:tc>
      </w:tr>
      <w:tr w:rsidR="009631BD" w:rsidRPr="00793FA1" w14:paraId="0AEC5D8F" w14:textId="77777777" w:rsidTr="008A181F">
        <w:trPr>
          <w:trHeight w:val="180"/>
        </w:trPr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6E6BBCB" w14:textId="77777777" w:rsidR="009631BD" w:rsidRPr="00E32582" w:rsidRDefault="009631BD" w:rsidP="008A181F">
            <w:pPr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ATP5B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CBF504F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Ms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278C051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SCBT, sc-55597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D76A031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1:200 (WB)</w:t>
            </w:r>
          </w:p>
        </w:tc>
      </w:tr>
      <w:tr w:rsidR="009631BD" w:rsidRPr="00793FA1" w14:paraId="1F1667D4" w14:textId="77777777" w:rsidTr="008A181F">
        <w:trPr>
          <w:trHeight w:val="165"/>
        </w:trPr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8CDDDB0" w14:textId="77777777" w:rsidR="009631BD" w:rsidRPr="00E32582" w:rsidRDefault="009631BD" w:rsidP="008A181F">
            <w:pPr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ANKG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CBE7F40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Ms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324C40B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SCBT, sc-166602</w:t>
            </w:r>
            <w:r w:rsidRPr="00793FA1">
              <w:rPr>
                <w:rFonts w:cs="Arial"/>
                <w:color w:val="000000"/>
                <w:lang w:val="en-US"/>
              </w:rPr>
              <w:t> 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481B556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1:50 (IF)</w:t>
            </w:r>
            <w:r w:rsidRPr="00793FA1">
              <w:rPr>
                <w:rFonts w:cs="Arial"/>
                <w:color w:val="000000"/>
                <w:lang w:val="en-US"/>
              </w:rPr>
              <w:t> </w:t>
            </w:r>
          </w:p>
        </w:tc>
      </w:tr>
      <w:tr w:rsidR="009631BD" w:rsidRPr="00793FA1" w14:paraId="32687B3C" w14:textId="77777777" w:rsidTr="008A181F">
        <w:trPr>
          <w:trHeight w:val="180"/>
        </w:trPr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99A03B6" w14:textId="77777777" w:rsidR="009631BD" w:rsidRPr="00E32582" w:rsidRDefault="009631BD" w:rsidP="008A181F">
            <w:pPr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COIV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48D32D5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Rb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7E40DCB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CST, #4850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2F1D441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1:1000 (WB)</w:t>
            </w:r>
          </w:p>
        </w:tc>
      </w:tr>
      <w:tr w:rsidR="009631BD" w:rsidRPr="00793FA1" w14:paraId="49B71784" w14:textId="77777777" w:rsidTr="008A181F">
        <w:trPr>
          <w:trHeight w:val="165"/>
        </w:trPr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D4C7A6C" w14:textId="77777777" w:rsidR="009631BD" w:rsidRPr="00E32582" w:rsidRDefault="009631BD" w:rsidP="008A181F">
            <w:pPr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DRP1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A0161F8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Rb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2182DC1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CST, #8570</w:t>
            </w:r>
            <w:r w:rsidRPr="00793FA1">
              <w:rPr>
                <w:rFonts w:cs="Arial"/>
                <w:color w:val="000000"/>
                <w:lang w:val="en-US"/>
              </w:rPr>
              <w:t> 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4A0039B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1:1000 (WB)</w:t>
            </w:r>
          </w:p>
        </w:tc>
      </w:tr>
      <w:tr w:rsidR="009631BD" w:rsidRPr="00793FA1" w14:paraId="00CA55B3" w14:textId="77777777" w:rsidTr="008A181F">
        <w:trPr>
          <w:trHeight w:val="180"/>
        </w:trPr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00E045D" w14:textId="77777777" w:rsidR="009631BD" w:rsidRPr="00E32582" w:rsidRDefault="009631BD" w:rsidP="008A181F">
            <w:pPr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p</w:t>
            </w:r>
            <w:r w:rsidRPr="00E32582">
              <w:rPr>
                <w:rFonts w:ascii="Cambria Math" w:hAnsi="Cambria Math" w:cs="Cambria Math"/>
                <w:color w:val="000000"/>
                <w:lang w:val="en-US"/>
              </w:rPr>
              <w:t>‐</w:t>
            </w:r>
            <w:r w:rsidRPr="00E32582">
              <w:rPr>
                <w:rFonts w:cs="Arial"/>
                <w:color w:val="000000"/>
                <w:lang w:val="en-US"/>
              </w:rPr>
              <w:t>DRP1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4CA1C5C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Rb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8AEAE37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CST, #3455</w:t>
            </w:r>
            <w:r w:rsidRPr="00793FA1">
              <w:rPr>
                <w:rFonts w:cs="Arial"/>
                <w:color w:val="000000"/>
                <w:lang w:val="en-US"/>
              </w:rPr>
              <w:t> 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05E680B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1:1000 (WB)</w:t>
            </w:r>
          </w:p>
        </w:tc>
      </w:tr>
      <w:tr w:rsidR="009631BD" w:rsidRPr="00793FA1" w14:paraId="7717AAFA" w14:textId="77777777" w:rsidTr="008A181F">
        <w:trPr>
          <w:trHeight w:val="165"/>
        </w:trPr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D46767C" w14:textId="77777777" w:rsidR="009631BD" w:rsidRPr="00E32582" w:rsidRDefault="009631BD" w:rsidP="008A181F">
            <w:pPr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ERK1/2</w:t>
            </w:r>
            <w:r w:rsidRPr="00793FA1">
              <w:rPr>
                <w:rFonts w:cs="Arial"/>
                <w:color w:val="000000"/>
                <w:lang w:val="en-US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33C77AC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Rb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1C7D3D6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CST, #9102</w:t>
            </w:r>
            <w:r w:rsidRPr="00793FA1">
              <w:rPr>
                <w:rFonts w:cs="Arial"/>
                <w:color w:val="000000"/>
                <w:lang w:val="en-US"/>
              </w:rPr>
              <w:t> 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A165DC1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1:1000 (WB)</w:t>
            </w:r>
            <w:r w:rsidRPr="00793FA1">
              <w:rPr>
                <w:rFonts w:cs="Arial"/>
                <w:color w:val="000000"/>
                <w:lang w:val="en-US"/>
              </w:rPr>
              <w:t> </w:t>
            </w:r>
          </w:p>
        </w:tc>
      </w:tr>
      <w:tr w:rsidR="009631BD" w:rsidRPr="00793FA1" w14:paraId="4492D263" w14:textId="77777777" w:rsidTr="008A181F">
        <w:trPr>
          <w:trHeight w:val="180"/>
        </w:trPr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2071EF2" w14:textId="77777777" w:rsidR="009631BD" w:rsidRPr="00E32582" w:rsidRDefault="009631BD" w:rsidP="008A181F">
            <w:pPr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p</w:t>
            </w:r>
            <w:r w:rsidRPr="00E32582">
              <w:rPr>
                <w:rFonts w:ascii="Cambria Math" w:hAnsi="Cambria Math" w:cs="Cambria Math"/>
                <w:color w:val="000000"/>
                <w:lang w:val="en-US"/>
              </w:rPr>
              <w:t>‐</w:t>
            </w:r>
            <w:r w:rsidRPr="00E32582">
              <w:rPr>
                <w:rFonts w:cs="Arial"/>
                <w:color w:val="000000"/>
                <w:lang w:val="en-US"/>
              </w:rPr>
              <w:t>ERK1/2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63B19EF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Ms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45EAE81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CST, #9106</w:t>
            </w:r>
            <w:r w:rsidRPr="00793FA1">
              <w:rPr>
                <w:rFonts w:cs="Arial"/>
                <w:color w:val="000000"/>
                <w:lang w:val="en-US"/>
              </w:rPr>
              <w:t> 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F596C0C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1:2000 (WB)</w:t>
            </w:r>
            <w:r w:rsidRPr="00793FA1">
              <w:rPr>
                <w:rFonts w:cs="Arial"/>
                <w:color w:val="000000"/>
                <w:lang w:val="en-US"/>
              </w:rPr>
              <w:t> </w:t>
            </w:r>
          </w:p>
        </w:tc>
      </w:tr>
      <w:tr w:rsidR="009631BD" w:rsidRPr="00793FA1" w14:paraId="3CD88CD5" w14:textId="77777777" w:rsidTr="008A181F">
        <w:trPr>
          <w:trHeight w:val="165"/>
        </w:trPr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F9E0B7C" w14:textId="77777777" w:rsidR="009631BD" w:rsidRPr="00E32582" w:rsidRDefault="009631BD" w:rsidP="008A181F">
            <w:pPr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GDAP1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D2B86FC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Rb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9E663D1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SA, HPA014266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68FFC8D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1:1000 (WB)</w:t>
            </w:r>
          </w:p>
        </w:tc>
      </w:tr>
      <w:tr w:rsidR="009631BD" w:rsidRPr="00793FA1" w14:paraId="58A2DE9D" w14:textId="77777777" w:rsidTr="008A181F">
        <w:trPr>
          <w:trHeight w:val="180"/>
        </w:trPr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A9F9886" w14:textId="77777777" w:rsidR="009631BD" w:rsidRPr="00E32582" w:rsidRDefault="009631BD" w:rsidP="008A181F">
            <w:pPr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GAPDH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7AB4205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Rb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0107E87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CST, #5174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3D2CA2C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1:1000 (WB)</w:t>
            </w:r>
            <w:r w:rsidRPr="00793FA1">
              <w:rPr>
                <w:rFonts w:cs="Arial"/>
                <w:color w:val="000000"/>
                <w:lang w:val="en-US"/>
              </w:rPr>
              <w:t> </w:t>
            </w:r>
          </w:p>
        </w:tc>
      </w:tr>
      <w:tr w:rsidR="009631BD" w:rsidRPr="00793FA1" w14:paraId="33DF0FC4" w14:textId="77777777" w:rsidTr="008A181F">
        <w:trPr>
          <w:trHeight w:val="165"/>
        </w:trPr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B4304B3" w14:textId="77777777" w:rsidR="009631BD" w:rsidRPr="00E32582" w:rsidRDefault="009631BD" w:rsidP="008A181F">
            <w:pPr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HB9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51834CC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Ms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CAE53FF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DSHB, #81.5C10</w:t>
            </w:r>
            <w:r w:rsidRPr="00793FA1">
              <w:rPr>
                <w:rFonts w:cs="Arial"/>
                <w:color w:val="000000"/>
                <w:lang w:val="en-US"/>
              </w:rPr>
              <w:t> 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6D927F7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1:25 (IF)</w:t>
            </w:r>
          </w:p>
        </w:tc>
      </w:tr>
      <w:tr w:rsidR="009631BD" w:rsidRPr="00793FA1" w14:paraId="38B73330" w14:textId="77777777" w:rsidTr="008A181F">
        <w:trPr>
          <w:trHeight w:val="180"/>
        </w:trPr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F6C8E4D" w14:textId="77777777" w:rsidR="009631BD" w:rsidRPr="00E32582" w:rsidRDefault="009631BD" w:rsidP="008A181F">
            <w:pPr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HK1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29BC702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Rb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D2E89EB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CST, #2024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D6DCF51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1:1000 (WB)</w:t>
            </w:r>
          </w:p>
        </w:tc>
      </w:tr>
      <w:tr w:rsidR="009631BD" w:rsidRPr="00793FA1" w14:paraId="0031C550" w14:textId="77777777" w:rsidTr="008A181F">
        <w:trPr>
          <w:trHeight w:val="165"/>
        </w:trPr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7338D54" w14:textId="77777777" w:rsidR="009631BD" w:rsidRPr="00E32582" w:rsidRDefault="009631BD" w:rsidP="008A181F">
            <w:pPr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HK2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FC1C800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Rb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82284D7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CST, #2867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F4EE19B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1:1000 (WB)</w:t>
            </w:r>
          </w:p>
        </w:tc>
      </w:tr>
      <w:tr w:rsidR="009631BD" w:rsidRPr="00793FA1" w14:paraId="590A9A57" w14:textId="77777777" w:rsidTr="008A181F">
        <w:trPr>
          <w:trHeight w:val="180"/>
        </w:trPr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06B44EA" w14:textId="77777777" w:rsidR="009631BD" w:rsidRPr="00E32582" w:rsidRDefault="009631BD" w:rsidP="008A181F">
            <w:pPr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JNK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E3F76FC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Rb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3C48FAC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CST, #9258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6C89BB8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1:1000 (WB)</w:t>
            </w:r>
          </w:p>
        </w:tc>
      </w:tr>
      <w:tr w:rsidR="009631BD" w:rsidRPr="00793FA1" w14:paraId="5452CC85" w14:textId="77777777" w:rsidTr="008A181F">
        <w:trPr>
          <w:trHeight w:val="165"/>
        </w:trPr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6CFD3CD" w14:textId="77777777" w:rsidR="009631BD" w:rsidRPr="00E32582" w:rsidRDefault="009631BD" w:rsidP="008A181F">
            <w:pPr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p-JNK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DFD0AEE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Rb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F9933CA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CST, #4668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3649271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1:1000 (WB)</w:t>
            </w:r>
          </w:p>
        </w:tc>
      </w:tr>
      <w:tr w:rsidR="009631BD" w:rsidRPr="00793FA1" w14:paraId="71EC6B08" w14:textId="77777777" w:rsidTr="008A181F">
        <w:trPr>
          <w:trHeight w:val="180"/>
        </w:trPr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77CF17F" w14:textId="77777777" w:rsidR="009631BD" w:rsidRPr="00E32582" w:rsidRDefault="009631BD" w:rsidP="008A181F">
            <w:pPr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LC3B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F494D2E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Rb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A22D8D2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CST, #2775</w:t>
            </w:r>
            <w:r w:rsidRPr="00793FA1">
              <w:rPr>
                <w:rFonts w:cs="Arial"/>
                <w:color w:val="000000"/>
                <w:lang w:val="en-US"/>
              </w:rPr>
              <w:t> 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5E4B479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1:100 (IF)</w:t>
            </w:r>
          </w:p>
        </w:tc>
      </w:tr>
      <w:tr w:rsidR="009631BD" w:rsidRPr="00793FA1" w14:paraId="401DA8D5" w14:textId="77777777" w:rsidTr="008A181F">
        <w:trPr>
          <w:trHeight w:val="165"/>
        </w:trPr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5D31363" w14:textId="77777777" w:rsidR="009631BD" w:rsidRPr="00E32582" w:rsidRDefault="009631BD" w:rsidP="008A181F">
            <w:pPr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LDH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D9B6BA5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Rb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E7D7900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CST, #3582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E97C999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1:1000 (WB)</w:t>
            </w:r>
          </w:p>
        </w:tc>
      </w:tr>
      <w:tr w:rsidR="009631BD" w:rsidRPr="00793FA1" w14:paraId="22BB606F" w14:textId="77777777" w:rsidTr="008A181F">
        <w:trPr>
          <w:trHeight w:val="180"/>
        </w:trPr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CE2BA56" w14:textId="77777777" w:rsidR="009631BD" w:rsidRPr="00E32582" w:rsidRDefault="009631BD" w:rsidP="008A181F">
            <w:pPr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MFN2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1134F9B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Rb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CE1C965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SA, AV42420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CF80A9A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1:1000 (WB)</w:t>
            </w:r>
          </w:p>
        </w:tc>
      </w:tr>
      <w:tr w:rsidR="009631BD" w:rsidRPr="00793FA1" w14:paraId="49C08137" w14:textId="77777777" w:rsidTr="008A181F">
        <w:trPr>
          <w:trHeight w:val="180"/>
        </w:trPr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96F356E" w14:textId="77777777" w:rsidR="009631BD" w:rsidRPr="00E32582" w:rsidRDefault="009631BD" w:rsidP="008A181F">
            <w:pPr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NDUFS3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A616BCB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Ms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6711260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SCBT, sc-374282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ADADF97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1:200 (IF)</w:t>
            </w:r>
          </w:p>
        </w:tc>
      </w:tr>
      <w:tr w:rsidR="009631BD" w:rsidRPr="00793FA1" w14:paraId="6CA15365" w14:textId="77777777" w:rsidTr="008A181F">
        <w:trPr>
          <w:trHeight w:val="180"/>
        </w:trPr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92A0141" w14:textId="77777777" w:rsidR="009631BD" w:rsidRPr="00E32582" w:rsidRDefault="009631BD" w:rsidP="008A181F">
            <w:pPr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OPA1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B7F187E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Ms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5DB799C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BD, #612606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FD5155C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1:1000 (WB)</w:t>
            </w:r>
          </w:p>
        </w:tc>
      </w:tr>
      <w:tr w:rsidR="009631BD" w:rsidRPr="00793FA1" w14:paraId="6609E5F3" w14:textId="77777777" w:rsidTr="008A181F">
        <w:trPr>
          <w:trHeight w:val="165"/>
        </w:trPr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40935E4" w14:textId="77777777" w:rsidR="009631BD" w:rsidRPr="00E32582" w:rsidRDefault="009631BD" w:rsidP="008A181F">
            <w:pPr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p38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0652A64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Rb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41831DD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CST, #9212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F3DEF15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1:1000 (WB)</w:t>
            </w:r>
          </w:p>
        </w:tc>
      </w:tr>
      <w:tr w:rsidR="009631BD" w:rsidRPr="00793FA1" w14:paraId="186FE1DA" w14:textId="77777777" w:rsidTr="008A181F">
        <w:trPr>
          <w:trHeight w:val="180"/>
        </w:trPr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4C775A5" w14:textId="77777777" w:rsidR="009631BD" w:rsidRPr="00E32582" w:rsidRDefault="009631BD" w:rsidP="008A181F">
            <w:pPr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p-p38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2F8F0AB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Rb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3358CA9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CST, #4511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862269A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1:1000 (WB)</w:t>
            </w:r>
          </w:p>
        </w:tc>
      </w:tr>
      <w:tr w:rsidR="009631BD" w:rsidRPr="00793FA1" w14:paraId="613F2E8F" w14:textId="77777777" w:rsidTr="008A181F">
        <w:trPr>
          <w:trHeight w:val="165"/>
        </w:trPr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7381DFF" w14:textId="77777777" w:rsidR="009631BD" w:rsidRPr="00E32582" w:rsidRDefault="009631BD" w:rsidP="008A181F">
            <w:pPr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PKM1/2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EE38325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Rb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92B1588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CST, #3190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4E5DC3E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1:1000 (WB)</w:t>
            </w:r>
          </w:p>
        </w:tc>
      </w:tr>
      <w:tr w:rsidR="009631BD" w:rsidRPr="00793FA1" w14:paraId="69F3BA65" w14:textId="77777777" w:rsidTr="008A181F">
        <w:trPr>
          <w:trHeight w:val="180"/>
        </w:trPr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FE9FD57" w14:textId="77777777" w:rsidR="009631BD" w:rsidRPr="00E32582" w:rsidRDefault="009631BD" w:rsidP="008A181F">
            <w:pPr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SDHA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EA8C0D4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Rb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AFA7723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SCBT, sc-11998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5B91F54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E32582">
              <w:rPr>
                <w:rFonts w:cs="Arial"/>
                <w:color w:val="000000"/>
                <w:lang w:val="en-US"/>
              </w:rPr>
              <w:t>1:300 (WB)</w:t>
            </w:r>
          </w:p>
        </w:tc>
      </w:tr>
      <w:tr w:rsidR="009631BD" w:rsidRPr="00793FA1" w14:paraId="04166576" w14:textId="77777777" w:rsidTr="008A181F">
        <w:trPr>
          <w:trHeight w:val="180"/>
        </w:trPr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642AF93" w14:textId="77777777" w:rsidR="009631BD" w:rsidRPr="00793FA1" w:rsidRDefault="009631BD" w:rsidP="008A181F">
            <w:pPr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TOM2O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56700D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Ms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154771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SA, WH0009804M1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626DAD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1:500 (IF); 1:500 (WB)</w:t>
            </w:r>
          </w:p>
        </w:tc>
      </w:tr>
      <w:tr w:rsidR="009631BD" w:rsidRPr="00793FA1" w14:paraId="14B9EABE" w14:textId="77777777" w:rsidTr="008A181F">
        <w:trPr>
          <w:trHeight w:val="180"/>
        </w:trPr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3F0AA6" w14:textId="77777777" w:rsidR="009631BD" w:rsidRPr="00793FA1" w:rsidRDefault="009631BD" w:rsidP="008A181F">
            <w:pPr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Tubulin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F8877A5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Ms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62B9A8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SCBT, sc</w:t>
            </w:r>
            <w:r w:rsidRPr="00793FA1">
              <w:rPr>
                <w:rFonts w:ascii="Cambria Math" w:hAnsi="Cambria Math" w:cs="Cambria Math"/>
                <w:lang w:val="en-US"/>
              </w:rPr>
              <w:t>‐</w:t>
            </w:r>
            <w:r w:rsidRPr="00793FA1">
              <w:rPr>
                <w:rFonts w:cs="Arial"/>
                <w:lang w:val="en-US"/>
              </w:rPr>
              <w:t>32293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7904CC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1:5000 (WB)</w:t>
            </w:r>
          </w:p>
        </w:tc>
      </w:tr>
      <w:tr w:rsidR="009631BD" w:rsidRPr="00793FA1" w14:paraId="27B716F5" w14:textId="77777777" w:rsidTr="008A181F">
        <w:trPr>
          <w:trHeight w:val="180"/>
        </w:trPr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6F37CA" w14:textId="77777777" w:rsidR="009631BD" w:rsidRPr="00793FA1" w:rsidRDefault="009631BD" w:rsidP="008A181F">
            <w:pPr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TUJ1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4BC2623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Rb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10FD9D1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Covance, MRB</w:t>
            </w:r>
            <w:r w:rsidRPr="00793FA1">
              <w:rPr>
                <w:rFonts w:ascii="Cambria Math" w:hAnsi="Cambria Math" w:cs="Cambria Math"/>
                <w:lang w:val="en-US"/>
              </w:rPr>
              <w:t>‐</w:t>
            </w:r>
            <w:r w:rsidRPr="00793FA1">
              <w:rPr>
                <w:rFonts w:cs="Arial"/>
                <w:lang w:val="en-US"/>
              </w:rPr>
              <w:t>435P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823FD3E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1:1000 (IF)</w:t>
            </w:r>
          </w:p>
        </w:tc>
      </w:tr>
      <w:tr w:rsidR="009631BD" w:rsidRPr="00793FA1" w14:paraId="74FB1420" w14:textId="77777777" w:rsidTr="008A181F">
        <w:trPr>
          <w:trHeight w:val="180"/>
        </w:trPr>
        <w:tc>
          <w:tcPr>
            <w:tcW w:w="1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F869E7" w14:textId="77777777" w:rsidR="009631BD" w:rsidRPr="00793FA1" w:rsidRDefault="009631BD" w:rsidP="008A181F">
            <w:pPr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UQCRC2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603A5E7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Ms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500405F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SCBT, sc-390378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B251DC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1:200 (WB)</w:t>
            </w:r>
          </w:p>
        </w:tc>
      </w:tr>
    </w:tbl>
    <w:p w14:paraId="5F3FFA19" w14:textId="77777777" w:rsidR="009631BD" w:rsidRPr="00793FA1" w:rsidRDefault="009631BD" w:rsidP="009631BD">
      <w:pPr>
        <w:spacing w:line="360" w:lineRule="auto"/>
        <w:rPr>
          <w:rFonts w:cs="Arial"/>
          <w:lang w:val="en-US"/>
        </w:rPr>
      </w:pPr>
      <w:r w:rsidRPr="009631BD">
        <w:rPr>
          <w:rFonts w:cs="Arial"/>
          <w:b/>
          <w:bCs/>
          <w:lang w:val="en-US"/>
        </w:rPr>
        <w:t>Legend</w:t>
      </w:r>
      <w:r>
        <w:rPr>
          <w:rFonts w:cs="Arial"/>
          <w:lang w:val="en-US"/>
        </w:rPr>
        <w:t>:</w:t>
      </w:r>
      <w:r w:rsidRPr="00793FA1">
        <w:rPr>
          <w:rFonts w:cs="Arial"/>
          <w:lang w:val="en-US"/>
        </w:rPr>
        <w:t xml:space="preserve"> (a) Species in which the antibody was generated: Ms (mouse), or Rb (rabbit). (b) Antibody supplier company: CST, Cell Signaling Technology; DSHB, Developmental Studies Hybridoma Bank; SA, Sigma-Aldrich; SCBT, Santa Cruz Biotechnology. (c) Dilution used: IF, immunofluorescence; WB, protein immunodetection.</w:t>
      </w:r>
    </w:p>
    <w:p w14:paraId="346A6F45" w14:textId="77777777" w:rsidR="009631BD" w:rsidRPr="00793FA1" w:rsidRDefault="009631BD" w:rsidP="009631BD">
      <w:pPr>
        <w:spacing w:line="360" w:lineRule="auto"/>
        <w:rPr>
          <w:rFonts w:cs="Arial"/>
          <w:lang w:val="en-US"/>
        </w:rPr>
      </w:pPr>
    </w:p>
    <w:tbl>
      <w:tblPr>
        <w:tblW w:w="848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"/>
        <w:gridCol w:w="1197"/>
        <w:gridCol w:w="2230"/>
        <w:gridCol w:w="2008"/>
        <w:gridCol w:w="1590"/>
      </w:tblGrid>
      <w:tr w:rsidR="009631BD" w:rsidRPr="00793FA1" w14:paraId="6C5AB9D4" w14:textId="77777777" w:rsidTr="008A181F">
        <w:trPr>
          <w:trHeight w:val="180"/>
        </w:trPr>
        <w:tc>
          <w:tcPr>
            <w:tcW w:w="848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23B69E7" w14:textId="77777777" w:rsidR="009631BD" w:rsidRPr="00793FA1" w:rsidRDefault="009631BD" w:rsidP="008A181F">
            <w:pPr>
              <w:jc w:val="center"/>
              <w:rPr>
                <w:rFonts w:cs="Arial"/>
                <w:b/>
                <w:bCs/>
                <w:color w:val="000000"/>
                <w:lang w:val="en-US"/>
              </w:rPr>
            </w:pPr>
            <w:r w:rsidRPr="00793FA1">
              <w:rPr>
                <w:rFonts w:cs="Arial"/>
                <w:b/>
                <w:lang w:val="en-US"/>
              </w:rPr>
              <w:t>Table 2. Secondary antibodies used</w:t>
            </w:r>
          </w:p>
        </w:tc>
      </w:tr>
      <w:tr w:rsidR="009631BD" w:rsidRPr="00793FA1" w14:paraId="46A05D57" w14:textId="77777777" w:rsidTr="008A181F">
        <w:trPr>
          <w:trHeight w:val="180"/>
        </w:trPr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F97DE0B" w14:textId="77777777" w:rsidR="009631BD" w:rsidRPr="00E32582" w:rsidRDefault="009631BD" w:rsidP="008A181F">
            <w:pPr>
              <w:rPr>
                <w:rFonts w:cs="Arial"/>
                <w:lang w:val="en-US"/>
              </w:rPr>
            </w:pPr>
            <w:r w:rsidRPr="00793FA1">
              <w:rPr>
                <w:rFonts w:cs="Arial"/>
                <w:b/>
                <w:bCs/>
                <w:color w:val="000000"/>
                <w:lang w:val="en-US"/>
              </w:rPr>
              <w:t>Antigen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02E38B8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b/>
                <w:bCs/>
                <w:color w:val="000000"/>
                <w:lang w:val="en-US"/>
              </w:rPr>
              <w:t>Specie</w:t>
            </w:r>
            <w:r>
              <w:rPr>
                <w:rFonts w:cs="Arial"/>
                <w:b/>
                <w:bCs/>
                <w:color w:val="000000"/>
                <w:lang w:val="en-US"/>
              </w:rPr>
              <w:t>s</w:t>
            </w:r>
            <w:r w:rsidRPr="00793FA1">
              <w:rPr>
                <w:rFonts w:cs="Arial"/>
                <w:b/>
                <w:bCs/>
                <w:color w:val="000000"/>
                <w:vertAlign w:val="superscript"/>
                <w:lang w:val="en-US"/>
              </w:rPr>
              <w:t>a</w:t>
            </w:r>
          </w:p>
        </w:tc>
        <w:tc>
          <w:tcPr>
            <w:tcW w:w="2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842B3E5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b/>
                <w:bCs/>
                <w:color w:val="000000"/>
                <w:lang w:val="en-US"/>
              </w:rPr>
              <w:t>Conjugated</w:t>
            </w:r>
            <w:r w:rsidRPr="00793FA1">
              <w:rPr>
                <w:rFonts w:cs="Arial"/>
                <w:b/>
                <w:bCs/>
                <w:color w:val="000000"/>
                <w:vertAlign w:val="superscript"/>
                <w:lang w:val="en-US"/>
              </w:rPr>
              <w:t>b</w:t>
            </w:r>
          </w:p>
        </w:tc>
        <w:tc>
          <w:tcPr>
            <w:tcW w:w="2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1FC5C37" w14:textId="77777777" w:rsidR="009631BD" w:rsidRPr="00E32582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b/>
                <w:bCs/>
                <w:color w:val="000000"/>
                <w:lang w:val="en-US"/>
              </w:rPr>
              <w:t>Supplier</w:t>
            </w:r>
            <w:r w:rsidRPr="00793FA1">
              <w:rPr>
                <w:rFonts w:cs="Arial"/>
                <w:b/>
                <w:bCs/>
                <w:color w:val="000000"/>
                <w:vertAlign w:val="superscript"/>
                <w:lang w:val="en-US"/>
              </w:rPr>
              <w:t>c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96A85EB" w14:textId="77777777" w:rsidR="009631BD" w:rsidRPr="00793FA1" w:rsidRDefault="009631BD" w:rsidP="008A181F">
            <w:pPr>
              <w:jc w:val="center"/>
              <w:rPr>
                <w:rFonts w:cs="Arial"/>
                <w:b/>
                <w:bCs/>
                <w:color w:val="000000"/>
                <w:lang w:val="en-US"/>
              </w:rPr>
            </w:pPr>
            <w:r w:rsidRPr="00793FA1">
              <w:rPr>
                <w:rFonts w:cs="Arial"/>
                <w:b/>
                <w:bCs/>
                <w:color w:val="000000"/>
                <w:lang w:val="en-US"/>
              </w:rPr>
              <w:t>Dilution</w:t>
            </w:r>
            <w:r w:rsidRPr="00793FA1">
              <w:rPr>
                <w:rFonts w:cs="Arial"/>
                <w:b/>
                <w:bCs/>
                <w:color w:val="000000"/>
                <w:vertAlign w:val="superscript"/>
                <w:lang w:val="en-US"/>
              </w:rPr>
              <w:t>d</w:t>
            </w:r>
          </w:p>
        </w:tc>
      </w:tr>
      <w:tr w:rsidR="009631BD" w:rsidRPr="00793FA1" w14:paraId="2F11B57B" w14:textId="77777777" w:rsidTr="008A181F">
        <w:trPr>
          <w:trHeight w:val="180"/>
        </w:trPr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29ABB3" w14:textId="77777777" w:rsidR="009631BD" w:rsidRPr="00793FA1" w:rsidRDefault="009631BD" w:rsidP="008A181F">
            <w:pPr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Mouse IgG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ACA462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Dk</w:t>
            </w:r>
          </w:p>
        </w:tc>
        <w:tc>
          <w:tcPr>
            <w:tcW w:w="2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2AF97A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AF–488</w:t>
            </w:r>
          </w:p>
        </w:tc>
        <w:tc>
          <w:tcPr>
            <w:tcW w:w="2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B187CD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TFS, A-21202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CB38C15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1:1000 (IF)</w:t>
            </w:r>
          </w:p>
        </w:tc>
      </w:tr>
      <w:tr w:rsidR="009631BD" w:rsidRPr="00793FA1" w14:paraId="2A2268A8" w14:textId="77777777" w:rsidTr="008A181F">
        <w:trPr>
          <w:trHeight w:val="165"/>
        </w:trPr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6BFDD5" w14:textId="77777777" w:rsidR="009631BD" w:rsidRPr="00793FA1" w:rsidRDefault="009631BD" w:rsidP="008A181F">
            <w:pPr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Mouse IgG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F5BF87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Dk</w:t>
            </w:r>
          </w:p>
        </w:tc>
        <w:tc>
          <w:tcPr>
            <w:tcW w:w="2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C16E24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AF–555</w:t>
            </w:r>
          </w:p>
        </w:tc>
        <w:tc>
          <w:tcPr>
            <w:tcW w:w="2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AB3B97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TFS, A-31570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F19C188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1:1000 (IF)</w:t>
            </w:r>
          </w:p>
        </w:tc>
      </w:tr>
      <w:tr w:rsidR="009631BD" w:rsidRPr="00793FA1" w14:paraId="0861F7F8" w14:textId="77777777" w:rsidTr="008A181F">
        <w:trPr>
          <w:trHeight w:val="180"/>
        </w:trPr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15BE3D" w14:textId="77777777" w:rsidR="009631BD" w:rsidRPr="00793FA1" w:rsidRDefault="009631BD" w:rsidP="008A181F">
            <w:pPr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Mouse IgG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2FEF65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Dk</w:t>
            </w:r>
          </w:p>
        </w:tc>
        <w:tc>
          <w:tcPr>
            <w:tcW w:w="2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FFC93C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AF–647</w:t>
            </w:r>
          </w:p>
        </w:tc>
        <w:tc>
          <w:tcPr>
            <w:tcW w:w="2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D7F0F2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TFS, A-31571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14327FE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1:1000 (IF)</w:t>
            </w:r>
          </w:p>
        </w:tc>
      </w:tr>
      <w:tr w:rsidR="009631BD" w:rsidRPr="00793FA1" w14:paraId="35875F33" w14:textId="77777777" w:rsidTr="008A181F">
        <w:trPr>
          <w:trHeight w:val="180"/>
        </w:trPr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729D84" w14:textId="77777777" w:rsidR="009631BD" w:rsidRPr="00793FA1" w:rsidRDefault="009631BD" w:rsidP="008A181F">
            <w:pPr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Rabbit IgG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11ADAE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Dk</w:t>
            </w:r>
          </w:p>
        </w:tc>
        <w:tc>
          <w:tcPr>
            <w:tcW w:w="2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40AA70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AF–488</w:t>
            </w:r>
          </w:p>
        </w:tc>
        <w:tc>
          <w:tcPr>
            <w:tcW w:w="2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D7720D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TFS, A-21206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53F3956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1:1000 (IF)</w:t>
            </w:r>
          </w:p>
        </w:tc>
      </w:tr>
      <w:tr w:rsidR="009631BD" w:rsidRPr="00793FA1" w14:paraId="4B3CF53E" w14:textId="77777777" w:rsidTr="008A181F">
        <w:trPr>
          <w:trHeight w:val="165"/>
        </w:trPr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5C01E5" w14:textId="77777777" w:rsidR="009631BD" w:rsidRPr="00793FA1" w:rsidRDefault="009631BD" w:rsidP="008A181F">
            <w:pPr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Rabbit IgG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C163EA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Dk</w:t>
            </w:r>
          </w:p>
        </w:tc>
        <w:tc>
          <w:tcPr>
            <w:tcW w:w="2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22EAE9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AF–555</w:t>
            </w:r>
          </w:p>
        </w:tc>
        <w:tc>
          <w:tcPr>
            <w:tcW w:w="2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9AE3DC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TFS, A-31572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E242218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1:1000 (IF)</w:t>
            </w:r>
          </w:p>
        </w:tc>
      </w:tr>
      <w:tr w:rsidR="009631BD" w:rsidRPr="00793FA1" w14:paraId="4DB0AC0A" w14:textId="77777777" w:rsidTr="008A181F">
        <w:trPr>
          <w:trHeight w:val="180"/>
        </w:trPr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99358B" w14:textId="77777777" w:rsidR="009631BD" w:rsidRPr="00793FA1" w:rsidRDefault="009631BD" w:rsidP="008A181F">
            <w:pPr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Rabbit IgG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A81686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Dk</w:t>
            </w:r>
          </w:p>
        </w:tc>
        <w:tc>
          <w:tcPr>
            <w:tcW w:w="2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74E46C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AF–647</w:t>
            </w:r>
          </w:p>
        </w:tc>
        <w:tc>
          <w:tcPr>
            <w:tcW w:w="2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6C09F4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TFS, A-31573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DC6C641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1:1000 (IF)</w:t>
            </w:r>
          </w:p>
        </w:tc>
      </w:tr>
      <w:tr w:rsidR="009631BD" w:rsidRPr="00793FA1" w14:paraId="1F4D65EF" w14:textId="77777777" w:rsidTr="008A181F">
        <w:trPr>
          <w:trHeight w:val="165"/>
        </w:trPr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C4E25D" w14:textId="77777777" w:rsidR="009631BD" w:rsidRPr="00793FA1" w:rsidRDefault="009631BD" w:rsidP="008A181F">
            <w:pPr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Mouse IgG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2CBE62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Gt</w:t>
            </w:r>
          </w:p>
        </w:tc>
        <w:tc>
          <w:tcPr>
            <w:tcW w:w="2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90A313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Peroxidase</w:t>
            </w:r>
          </w:p>
        </w:tc>
        <w:tc>
          <w:tcPr>
            <w:tcW w:w="2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CCD1D7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TFS, 31432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79AF8F3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1:5000 (WB)</w:t>
            </w:r>
          </w:p>
        </w:tc>
      </w:tr>
      <w:tr w:rsidR="009631BD" w:rsidRPr="00793FA1" w14:paraId="546DBB69" w14:textId="77777777" w:rsidTr="008A181F">
        <w:trPr>
          <w:trHeight w:val="180"/>
        </w:trPr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4C4BA0" w14:textId="77777777" w:rsidR="009631BD" w:rsidRPr="00793FA1" w:rsidRDefault="009631BD" w:rsidP="008A181F">
            <w:pPr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Rabbit IgG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FE361B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Gt</w:t>
            </w:r>
          </w:p>
        </w:tc>
        <w:tc>
          <w:tcPr>
            <w:tcW w:w="2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6E82BF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Peroxidase</w:t>
            </w:r>
          </w:p>
        </w:tc>
        <w:tc>
          <w:tcPr>
            <w:tcW w:w="2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9ACA88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TFS, 31460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E588185" w14:textId="77777777" w:rsidR="009631BD" w:rsidRPr="00793FA1" w:rsidRDefault="009631BD" w:rsidP="008A181F">
            <w:pPr>
              <w:jc w:val="center"/>
              <w:rPr>
                <w:rFonts w:cs="Arial"/>
                <w:lang w:val="en-US"/>
              </w:rPr>
            </w:pPr>
            <w:r w:rsidRPr="00793FA1">
              <w:rPr>
                <w:rFonts w:cs="Arial"/>
                <w:lang w:val="en-US"/>
              </w:rPr>
              <w:t>1:5000 (WB)</w:t>
            </w:r>
          </w:p>
        </w:tc>
      </w:tr>
    </w:tbl>
    <w:p w14:paraId="10BB7ACC" w14:textId="77777777" w:rsidR="009631BD" w:rsidRPr="00793FA1" w:rsidRDefault="009631BD" w:rsidP="009631BD">
      <w:pPr>
        <w:spacing w:line="360" w:lineRule="auto"/>
        <w:rPr>
          <w:rFonts w:cs="Arial"/>
          <w:lang w:val="en-US"/>
        </w:rPr>
      </w:pPr>
      <w:r w:rsidRPr="009631BD">
        <w:rPr>
          <w:rFonts w:cs="Arial"/>
          <w:b/>
          <w:bCs/>
          <w:lang w:val="en-US"/>
        </w:rPr>
        <w:t>Legend</w:t>
      </w:r>
      <w:r>
        <w:rPr>
          <w:rFonts w:cs="Arial"/>
          <w:lang w:val="en-US"/>
        </w:rPr>
        <w:t>:</w:t>
      </w:r>
      <w:r w:rsidRPr="00793FA1">
        <w:rPr>
          <w:rFonts w:cs="Arial"/>
          <w:lang w:val="en-US"/>
        </w:rPr>
        <w:t xml:space="preserve"> (a) Species in which the antibody was generated: Dk (donkey), Gt (goat). (b) Fluorophore or enzyme conjugate: AF, Alexa Fluor. (c) Antibody supplier company: TFS, Thermo Fisher Scientific. (d) Dilution used: IF, immunofluorescence; WB, protein immunodetection.</w:t>
      </w:r>
    </w:p>
    <w:p w14:paraId="03629AD0" w14:textId="77777777" w:rsidR="009631BD" w:rsidRPr="00793FA1" w:rsidRDefault="009631BD" w:rsidP="009631BD">
      <w:pPr>
        <w:spacing w:line="360" w:lineRule="auto"/>
        <w:rPr>
          <w:rFonts w:cs="Arial"/>
          <w:lang w:val="en-US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0"/>
        <w:gridCol w:w="3627"/>
        <w:gridCol w:w="3445"/>
      </w:tblGrid>
      <w:tr w:rsidR="009631BD" w:rsidRPr="00B27CD1" w14:paraId="54E518F2" w14:textId="77777777" w:rsidTr="008A181F">
        <w:trPr>
          <w:trHeight w:val="180"/>
        </w:trPr>
        <w:tc>
          <w:tcPr>
            <w:tcW w:w="84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8D9C19A" w14:textId="77777777" w:rsidR="009631BD" w:rsidRPr="001C3BCF" w:rsidRDefault="009631BD" w:rsidP="008A181F">
            <w:pPr>
              <w:spacing w:line="360" w:lineRule="auto"/>
              <w:jc w:val="center"/>
              <w:rPr>
                <w:rFonts w:cs="Arial"/>
                <w:b/>
                <w:sz w:val="24"/>
                <w:szCs w:val="24"/>
                <w:lang w:val="en-US"/>
              </w:rPr>
            </w:pPr>
            <w:r w:rsidRPr="00793FA1">
              <w:rPr>
                <w:rFonts w:cs="Arial"/>
                <w:b/>
                <w:lang w:val="en-US"/>
              </w:rPr>
              <w:t>Table 3. Sequences of the primers used in the SYBR Green assays</w:t>
            </w:r>
          </w:p>
        </w:tc>
      </w:tr>
      <w:tr w:rsidR="009631BD" w:rsidRPr="00B27CD1" w14:paraId="110DBC5B" w14:textId="77777777" w:rsidTr="008A181F">
        <w:trPr>
          <w:trHeight w:val="180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3FADA3F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  <w:t>Gene</w:t>
            </w:r>
          </w:p>
        </w:tc>
        <w:tc>
          <w:tcPr>
            <w:tcW w:w="3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9939706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  <w:t>Forward primers (5’ to 3’)</w:t>
            </w:r>
          </w:p>
        </w:tc>
        <w:tc>
          <w:tcPr>
            <w:tcW w:w="3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E15B000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  <w:t>Reverse primers (5’ to 3’)</w:t>
            </w:r>
          </w:p>
        </w:tc>
      </w:tr>
      <w:tr w:rsidR="009631BD" w:rsidRPr="00793FA1" w14:paraId="3E1429CE" w14:textId="77777777" w:rsidTr="008A181F">
        <w:trPr>
          <w:trHeight w:val="165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6FFA60E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val="en-US"/>
              </w:rPr>
              <w:t>Cxcl10</w:t>
            </w:r>
          </w:p>
        </w:tc>
        <w:tc>
          <w:tcPr>
            <w:tcW w:w="3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8924D5D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CGAACTTAACCACCATCTTC</w:t>
            </w:r>
          </w:p>
        </w:tc>
        <w:tc>
          <w:tcPr>
            <w:tcW w:w="3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FAEC04E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TTGATGACACAAGTTCTTCC</w:t>
            </w:r>
          </w:p>
        </w:tc>
      </w:tr>
      <w:tr w:rsidR="009631BD" w:rsidRPr="00793FA1" w14:paraId="5D718907" w14:textId="77777777" w:rsidTr="008A181F">
        <w:trPr>
          <w:trHeight w:val="180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694A9E4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val="en-US"/>
              </w:rPr>
              <w:t>Ddx58</w:t>
            </w:r>
          </w:p>
        </w:tc>
        <w:tc>
          <w:tcPr>
            <w:tcW w:w="3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0465271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TACCTAGACCACAAACTTGG</w:t>
            </w:r>
          </w:p>
        </w:tc>
        <w:tc>
          <w:tcPr>
            <w:tcW w:w="3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4D57EE3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TTACAGATATGTTGCATGGC</w:t>
            </w:r>
          </w:p>
        </w:tc>
      </w:tr>
      <w:tr w:rsidR="009631BD" w:rsidRPr="00793FA1" w14:paraId="37449A10" w14:textId="77777777" w:rsidTr="008A181F">
        <w:trPr>
          <w:trHeight w:val="165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7A2C515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val="en-US"/>
              </w:rPr>
              <w:t>Dhx58</w:t>
            </w:r>
          </w:p>
        </w:tc>
        <w:tc>
          <w:tcPr>
            <w:tcW w:w="3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A6F93EA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GTGTACAACACCATGTTGAG</w:t>
            </w:r>
          </w:p>
        </w:tc>
        <w:tc>
          <w:tcPr>
            <w:tcW w:w="3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8A5751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CTGGGAGTAGCAATTCTTTG</w:t>
            </w:r>
          </w:p>
        </w:tc>
      </w:tr>
      <w:tr w:rsidR="009631BD" w:rsidRPr="00793FA1" w14:paraId="022C2B13" w14:textId="77777777" w:rsidTr="008A181F">
        <w:trPr>
          <w:trHeight w:val="180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DD73745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val="en-US"/>
              </w:rPr>
              <w:t>Gapdh</w:t>
            </w:r>
          </w:p>
        </w:tc>
        <w:tc>
          <w:tcPr>
            <w:tcW w:w="3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4703BA4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GCACAGTCAAGGCCGAGAAT</w:t>
            </w:r>
            <w:r w:rsidRPr="00793FA1">
              <w:rPr>
                <w:rStyle w:val="apple-converted-space"/>
                <w:rFonts w:ascii="Arial" w:hAnsi="Arial" w:cs="Arial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3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0ACD9CD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GCCTTCTCCATGGTGGTGAA</w:t>
            </w:r>
            <w:r w:rsidRPr="00793FA1">
              <w:rPr>
                <w:rStyle w:val="apple-converted-space"/>
                <w:rFonts w:ascii="Arial" w:hAnsi="Arial" w:cs="Arial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9631BD" w:rsidRPr="00793FA1" w14:paraId="20C8E832" w14:textId="77777777" w:rsidTr="008A181F">
        <w:trPr>
          <w:trHeight w:val="165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37D21B6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val="en-US"/>
              </w:rPr>
              <w:t>Ifi44</w:t>
            </w:r>
          </w:p>
        </w:tc>
        <w:tc>
          <w:tcPr>
            <w:tcW w:w="3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2833618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ACCAATCACATCAAACCATC</w:t>
            </w:r>
          </w:p>
        </w:tc>
        <w:tc>
          <w:tcPr>
            <w:tcW w:w="3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EBF0253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CTATCCACGTGTGTAAGTAAAG</w:t>
            </w:r>
          </w:p>
        </w:tc>
      </w:tr>
      <w:tr w:rsidR="009631BD" w:rsidRPr="00793FA1" w14:paraId="78B3A52A" w14:textId="77777777" w:rsidTr="008A181F">
        <w:trPr>
          <w:trHeight w:val="180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68088ED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val="en-US"/>
              </w:rPr>
              <w:t>Ifih1</w:t>
            </w:r>
          </w:p>
        </w:tc>
        <w:tc>
          <w:tcPr>
            <w:tcW w:w="3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C11BFDF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CAGATACTAGGACTGACAGC</w:t>
            </w:r>
          </w:p>
        </w:tc>
        <w:tc>
          <w:tcPr>
            <w:tcW w:w="3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FFA8455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CAAATTTCTTGCATGGTTCC</w:t>
            </w:r>
          </w:p>
        </w:tc>
      </w:tr>
      <w:tr w:rsidR="009631BD" w:rsidRPr="00793FA1" w14:paraId="6CC7FA0F" w14:textId="77777777" w:rsidTr="008A181F">
        <w:trPr>
          <w:trHeight w:val="165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ED438DE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val="en-US"/>
              </w:rPr>
              <w:t>Ifit1</w:t>
            </w:r>
          </w:p>
        </w:tc>
        <w:tc>
          <w:tcPr>
            <w:tcW w:w="3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E9652D2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CAGAAAACCCTGAGTACAAC</w:t>
            </w:r>
          </w:p>
        </w:tc>
        <w:tc>
          <w:tcPr>
            <w:tcW w:w="3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7F428A3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TTCTGCTTCAACATGTTCTC</w:t>
            </w:r>
          </w:p>
        </w:tc>
      </w:tr>
      <w:tr w:rsidR="009631BD" w:rsidRPr="00793FA1" w14:paraId="5AB89B06" w14:textId="77777777" w:rsidTr="008A181F">
        <w:trPr>
          <w:trHeight w:val="180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ED11399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val="en-US"/>
              </w:rPr>
              <w:t>Il6</w:t>
            </w:r>
          </w:p>
        </w:tc>
        <w:tc>
          <w:tcPr>
            <w:tcW w:w="3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5E9C20D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TCCTTCAGAGAGATACAGAAAC</w:t>
            </w:r>
          </w:p>
        </w:tc>
        <w:tc>
          <w:tcPr>
            <w:tcW w:w="3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3C65506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TTCTGTGACTCCAGCTTATC</w:t>
            </w:r>
          </w:p>
        </w:tc>
      </w:tr>
      <w:tr w:rsidR="009631BD" w:rsidRPr="00793FA1" w14:paraId="02B85923" w14:textId="77777777" w:rsidTr="008A181F">
        <w:trPr>
          <w:trHeight w:val="165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72018D5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val="en-US"/>
              </w:rPr>
              <w:t>Irf7</w:t>
            </w:r>
          </w:p>
        </w:tc>
        <w:tc>
          <w:tcPr>
            <w:tcW w:w="3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565938C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CTACCTGTTACCAACACTTG</w:t>
            </w:r>
          </w:p>
        </w:tc>
        <w:tc>
          <w:tcPr>
            <w:tcW w:w="3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4DA388D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GCCTCTATGGTTTTAGGTTG</w:t>
            </w:r>
          </w:p>
        </w:tc>
      </w:tr>
      <w:tr w:rsidR="009631BD" w:rsidRPr="00793FA1" w14:paraId="08950BD2" w14:textId="77777777" w:rsidTr="008A181F">
        <w:trPr>
          <w:trHeight w:val="180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5403402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val="en-US"/>
              </w:rPr>
              <w:t>Isg15</w:t>
            </w:r>
          </w:p>
        </w:tc>
        <w:tc>
          <w:tcPr>
            <w:tcW w:w="3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B181595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ATGGAGGACTTTTGGGATAG</w:t>
            </w:r>
          </w:p>
        </w:tc>
        <w:tc>
          <w:tcPr>
            <w:tcW w:w="3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600D26B" w14:textId="77777777" w:rsidR="009631BD" w:rsidRPr="00793FA1" w:rsidRDefault="009631BD" w:rsidP="008A181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3FA1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AGAGGCAGAGCTTTTTATTG</w:t>
            </w:r>
          </w:p>
        </w:tc>
      </w:tr>
    </w:tbl>
    <w:p w14:paraId="58F32C90" w14:textId="77777777" w:rsidR="009631BD" w:rsidRDefault="009631BD" w:rsidP="009631BD">
      <w:pPr>
        <w:spacing w:line="360" w:lineRule="auto"/>
        <w:ind w:firstLine="284"/>
        <w:rPr>
          <w:rFonts w:cs="Arial"/>
          <w:lang w:val="en-US"/>
        </w:rPr>
      </w:pPr>
    </w:p>
    <w:p w14:paraId="4A611FD5" w14:textId="04016FC6" w:rsidR="009C5BB7" w:rsidRDefault="009C5BB7">
      <w:pPr>
        <w:rPr>
          <w:b/>
          <w:sz w:val="24"/>
          <w:szCs w:val="24"/>
          <w:lang w:val="en-US"/>
        </w:rPr>
      </w:pPr>
    </w:p>
    <w:p w14:paraId="735E7433" w14:textId="77777777" w:rsidR="009631BD" w:rsidRDefault="009631BD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br w:type="page"/>
      </w:r>
    </w:p>
    <w:p w14:paraId="0B89B372" w14:textId="3DC2C077" w:rsidR="00256B7F" w:rsidRPr="00110380" w:rsidRDefault="009A5DF7" w:rsidP="009A5DF7">
      <w:pPr>
        <w:jc w:val="center"/>
        <w:rPr>
          <w:b/>
          <w:sz w:val="24"/>
          <w:szCs w:val="24"/>
          <w:lang w:val="en-US"/>
        </w:rPr>
      </w:pPr>
      <w:r w:rsidRPr="00110380">
        <w:rPr>
          <w:b/>
          <w:sz w:val="24"/>
          <w:szCs w:val="24"/>
          <w:lang w:val="en-US"/>
        </w:rPr>
        <w:lastRenderedPageBreak/>
        <w:t>SUPLEMENTARY FIGURE LEGENDS</w:t>
      </w:r>
    </w:p>
    <w:p w14:paraId="3CB5C660" w14:textId="77777777" w:rsidR="009A5DF7" w:rsidRPr="009A5DF7" w:rsidRDefault="009A5DF7" w:rsidP="009A5DF7">
      <w:pPr>
        <w:spacing w:line="360" w:lineRule="auto"/>
        <w:rPr>
          <w:rFonts w:eastAsia="Times New Roman" w:cs="Arial"/>
          <w:sz w:val="24"/>
          <w:szCs w:val="24"/>
          <w:lang w:val="en-US" w:eastAsia="es-ES_tradnl"/>
        </w:rPr>
      </w:pPr>
    </w:p>
    <w:p w14:paraId="24881FED" w14:textId="77777777" w:rsidR="009A5DF7" w:rsidRPr="009A5DF7" w:rsidRDefault="009A5DF7" w:rsidP="009A5DF7">
      <w:pPr>
        <w:spacing w:line="360" w:lineRule="auto"/>
        <w:rPr>
          <w:rFonts w:eastAsia="Times New Roman" w:cs="Arial"/>
          <w:b/>
          <w:sz w:val="24"/>
          <w:szCs w:val="24"/>
          <w:lang w:val="en-US" w:eastAsia="es-ES_tradnl"/>
        </w:rPr>
      </w:pPr>
      <w:r w:rsidRPr="009A5DF7">
        <w:rPr>
          <w:rFonts w:eastAsia="Times New Roman" w:cs="Arial"/>
          <w:b/>
          <w:sz w:val="24"/>
          <w:szCs w:val="24"/>
          <w:lang w:val="en-US" w:eastAsia="es-ES_tradnl"/>
        </w:rPr>
        <w:t xml:space="preserve">Figure S1. Motor neuron differentiation efficiency of </w:t>
      </w:r>
      <w:r w:rsidRPr="009A5DF7">
        <w:rPr>
          <w:rFonts w:eastAsia="Times New Roman" w:cs="Arial"/>
          <w:b/>
          <w:i/>
          <w:sz w:val="24"/>
          <w:szCs w:val="24"/>
          <w:lang w:val="en-US" w:eastAsia="es-ES_tradnl"/>
        </w:rPr>
        <w:t>Gdap1</w:t>
      </w:r>
      <w:r w:rsidRPr="009A5DF7">
        <w:rPr>
          <w:rFonts w:eastAsia="Times New Roman" w:cs="Arial"/>
          <w:b/>
          <w:i/>
          <w:sz w:val="24"/>
          <w:szCs w:val="24"/>
          <w:vertAlign w:val="superscript"/>
          <w:lang w:val="en-US" w:eastAsia="es-ES_tradnl"/>
        </w:rPr>
        <w:t>WT</w:t>
      </w:r>
      <w:r w:rsidRPr="009A5DF7">
        <w:rPr>
          <w:rFonts w:eastAsia="Times New Roman" w:cs="Arial"/>
          <w:b/>
          <w:sz w:val="24"/>
          <w:szCs w:val="24"/>
          <w:lang w:val="en-US" w:eastAsia="es-ES_tradnl"/>
        </w:rPr>
        <w:t xml:space="preserve"> and </w:t>
      </w:r>
      <w:r w:rsidRPr="009A5DF7">
        <w:rPr>
          <w:rFonts w:eastAsia="Times New Roman" w:cs="Arial"/>
          <w:b/>
          <w:i/>
          <w:sz w:val="24"/>
          <w:szCs w:val="24"/>
          <w:lang w:val="en-US" w:eastAsia="es-ES_tradnl"/>
        </w:rPr>
        <w:t>Gdap1</w:t>
      </w:r>
      <w:r w:rsidRPr="009A5DF7">
        <w:rPr>
          <w:rFonts w:eastAsia="Times New Roman" w:cs="Arial"/>
          <w:b/>
          <w:i/>
          <w:sz w:val="24"/>
          <w:szCs w:val="24"/>
          <w:vertAlign w:val="superscript"/>
          <w:lang w:val="en-US" w:eastAsia="es-ES_tradnl"/>
        </w:rPr>
        <w:t>–/–</w:t>
      </w:r>
      <w:r w:rsidRPr="009A5DF7">
        <w:rPr>
          <w:rFonts w:eastAsia="Times New Roman" w:cs="Arial"/>
          <w:b/>
          <w:sz w:val="24"/>
          <w:szCs w:val="24"/>
          <w:lang w:val="en-US" w:eastAsia="es-ES_tradnl"/>
        </w:rPr>
        <w:t xml:space="preserve"> iPSCs was similar.</w:t>
      </w:r>
    </w:p>
    <w:p w14:paraId="153D92C7" w14:textId="77777777" w:rsidR="009A5DF7" w:rsidRPr="009A5DF7" w:rsidRDefault="009A5DF7" w:rsidP="009A5DF7">
      <w:pPr>
        <w:spacing w:line="360" w:lineRule="auto"/>
        <w:rPr>
          <w:rFonts w:eastAsia="Times New Roman" w:cs="Arial"/>
          <w:sz w:val="24"/>
          <w:szCs w:val="24"/>
          <w:lang w:val="en-US" w:eastAsia="es-ES_tradnl"/>
        </w:rPr>
      </w:pPr>
      <w:r w:rsidRPr="009A5DF7">
        <w:rPr>
          <w:rFonts w:eastAsia="Times New Roman" w:cs="Arial"/>
          <w:sz w:val="24"/>
          <w:szCs w:val="24"/>
          <w:lang w:val="en-US" w:eastAsia="es-ES_tradnl"/>
        </w:rPr>
        <w:t>(</w:t>
      </w:r>
      <w:r w:rsidR="00110380" w:rsidRPr="00110380">
        <w:rPr>
          <w:rFonts w:eastAsia="Times New Roman" w:cs="Arial"/>
          <w:b/>
          <w:bCs/>
          <w:sz w:val="24"/>
          <w:szCs w:val="24"/>
          <w:lang w:val="en-US" w:eastAsia="es-ES_tradnl"/>
        </w:rPr>
        <w:t>A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t xml:space="preserve">) Total RNA was extracted from </w:t>
      </w:r>
      <w:r w:rsidRPr="009A5DF7">
        <w:rPr>
          <w:rFonts w:eastAsia="Times New Roman" w:cs="Arial"/>
          <w:i/>
          <w:sz w:val="24"/>
          <w:szCs w:val="24"/>
          <w:lang w:val="en-US" w:eastAsia="es-ES_tradnl"/>
        </w:rPr>
        <w:t>Gdap1</w:t>
      </w:r>
      <w:r w:rsidRPr="009A5DF7">
        <w:rPr>
          <w:rFonts w:eastAsia="Times New Roman" w:cs="Arial"/>
          <w:i/>
          <w:sz w:val="24"/>
          <w:szCs w:val="24"/>
          <w:vertAlign w:val="superscript"/>
          <w:lang w:val="en-US" w:eastAsia="es-ES_tradnl"/>
        </w:rPr>
        <w:t>WT</w:t>
      </w:r>
      <w:r w:rsidRPr="009A5DF7">
        <w:rPr>
          <w:rFonts w:eastAsia="Times New Roman" w:cs="Arial"/>
          <w:sz w:val="24"/>
          <w:szCs w:val="24"/>
          <w:vertAlign w:val="superscript"/>
          <w:lang w:val="en-US" w:eastAsia="es-ES_tradnl"/>
        </w:rPr>
        <w:t xml:space="preserve"> 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t xml:space="preserve">and </w:t>
      </w:r>
      <w:r w:rsidRPr="009A5DF7">
        <w:rPr>
          <w:rFonts w:eastAsia="Times New Roman" w:cs="Arial"/>
          <w:i/>
          <w:sz w:val="24"/>
          <w:szCs w:val="24"/>
          <w:lang w:val="en-US" w:eastAsia="es-ES_tradnl"/>
        </w:rPr>
        <w:t>Gdap1</w:t>
      </w:r>
      <w:r w:rsidRPr="009A5DF7">
        <w:rPr>
          <w:rFonts w:eastAsia="Times New Roman" w:cs="Arial"/>
          <w:i/>
          <w:sz w:val="24"/>
          <w:szCs w:val="24"/>
          <w:vertAlign w:val="superscript"/>
          <w:lang w:val="en-US" w:eastAsia="es-ES_tradnl"/>
        </w:rPr>
        <w:t>–/–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t xml:space="preserve"> EBs at day 7, </w:t>
      </w:r>
      <w:r w:rsidRPr="009A5DF7">
        <w:rPr>
          <w:rFonts w:eastAsia="Times New Roman" w:cs="Arial"/>
          <w:i/>
          <w:sz w:val="24"/>
          <w:szCs w:val="24"/>
          <w:lang w:val="en-US" w:eastAsia="es-ES_tradnl"/>
        </w:rPr>
        <w:t>Mnx1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t xml:space="preserve"> gene expression was then evaluated by qPCR and represented as relative gene expression to day 0 in each genotype (n = 3). (</w:t>
      </w:r>
      <w:r w:rsidR="00110380" w:rsidRPr="00110380">
        <w:rPr>
          <w:rFonts w:eastAsia="Times New Roman" w:cs="Arial"/>
          <w:b/>
          <w:bCs/>
          <w:sz w:val="24"/>
          <w:szCs w:val="24"/>
          <w:lang w:val="en-US" w:eastAsia="es-ES_tradnl"/>
        </w:rPr>
        <w:t>B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t xml:space="preserve">) Dot plots on the left, EGFP expression evaluated by flow cytometry of day 7 disaggregated EBs in </w:t>
      </w:r>
      <w:r w:rsidRPr="009A5DF7">
        <w:rPr>
          <w:rFonts w:eastAsia="Times New Roman" w:cs="Arial"/>
          <w:i/>
          <w:sz w:val="24"/>
          <w:szCs w:val="24"/>
          <w:lang w:val="en-US" w:eastAsia="es-ES_tradnl"/>
        </w:rPr>
        <w:t>Gdap1</w:t>
      </w:r>
      <w:r w:rsidRPr="009A5DF7">
        <w:rPr>
          <w:rFonts w:eastAsia="Times New Roman" w:cs="Arial"/>
          <w:i/>
          <w:sz w:val="24"/>
          <w:szCs w:val="24"/>
          <w:vertAlign w:val="superscript"/>
          <w:lang w:val="en-US" w:eastAsia="es-ES_tradnl"/>
        </w:rPr>
        <w:t>WT</w:t>
      </w:r>
      <w:r w:rsidRPr="009A5DF7">
        <w:rPr>
          <w:rFonts w:eastAsia="Times New Roman" w:cs="Arial"/>
          <w:sz w:val="24"/>
          <w:szCs w:val="24"/>
          <w:vertAlign w:val="superscript"/>
          <w:lang w:val="en-US" w:eastAsia="es-ES_tradnl"/>
        </w:rPr>
        <w:t xml:space="preserve"> 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t xml:space="preserve">or </w:t>
      </w:r>
      <w:r w:rsidRPr="009A5DF7">
        <w:rPr>
          <w:rFonts w:eastAsia="Times New Roman" w:cs="Arial"/>
          <w:i/>
          <w:sz w:val="24"/>
          <w:szCs w:val="24"/>
          <w:lang w:val="en-US" w:eastAsia="es-ES_tradnl"/>
        </w:rPr>
        <w:t>Gdap1</w:t>
      </w:r>
      <w:r w:rsidRPr="009A5DF7">
        <w:rPr>
          <w:rFonts w:eastAsia="Times New Roman" w:cs="Arial"/>
          <w:i/>
          <w:sz w:val="24"/>
          <w:szCs w:val="24"/>
          <w:vertAlign w:val="superscript"/>
          <w:lang w:val="en-US" w:eastAsia="es-ES_tradnl"/>
        </w:rPr>
        <w:t>–/–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t>. Graph on the right, percentage of cells positive for EGFP (n = 3) corresponding to the analysis by flow cytometry. (</w:t>
      </w:r>
      <w:r w:rsidR="00110380" w:rsidRPr="00110380">
        <w:rPr>
          <w:rFonts w:eastAsia="Times New Roman" w:cs="Arial"/>
          <w:b/>
          <w:bCs/>
          <w:sz w:val="24"/>
          <w:szCs w:val="24"/>
          <w:lang w:val="en-US" w:eastAsia="es-ES_tradnl"/>
        </w:rPr>
        <w:t>C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t xml:space="preserve">) Upper panels, lysates of day 7 EBs from </w:t>
      </w:r>
      <w:r w:rsidRPr="009A5DF7">
        <w:rPr>
          <w:rFonts w:eastAsia="Times New Roman" w:cs="Arial"/>
          <w:i/>
          <w:sz w:val="24"/>
          <w:szCs w:val="24"/>
          <w:lang w:val="en-US" w:eastAsia="es-ES_tradnl"/>
        </w:rPr>
        <w:t>Gdap1</w:t>
      </w:r>
      <w:r w:rsidRPr="009A5DF7">
        <w:rPr>
          <w:rFonts w:eastAsia="Times New Roman" w:cs="Arial"/>
          <w:i/>
          <w:sz w:val="24"/>
          <w:szCs w:val="24"/>
          <w:vertAlign w:val="superscript"/>
          <w:lang w:val="en-US" w:eastAsia="es-ES_tradnl"/>
        </w:rPr>
        <w:t>WT</w:t>
      </w:r>
      <w:r w:rsidRPr="009A5DF7">
        <w:rPr>
          <w:rFonts w:eastAsia="Times New Roman" w:cs="Arial"/>
          <w:sz w:val="24"/>
          <w:szCs w:val="24"/>
          <w:vertAlign w:val="superscript"/>
          <w:lang w:val="en-US" w:eastAsia="es-ES_tradnl"/>
        </w:rPr>
        <w:t xml:space="preserve"> 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t xml:space="preserve">or </w:t>
      </w:r>
      <w:r w:rsidRPr="009A5DF7">
        <w:rPr>
          <w:rFonts w:eastAsia="Times New Roman" w:cs="Arial"/>
          <w:i/>
          <w:sz w:val="24"/>
          <w:szCs w:val="24"/>
          <w:lang w:val="en-US" w:eastAsia="es-ES_tradnl"/>
        </w:rPr>
        <w:t>Gdap1</w:t>
      </w:r>
      <w:r w:rsidRPr="009A5DF7">
        <w:rPr>
          <w:rFonts w:eastAsia="Times New Roman" w:cs="Arial"/>
          <w:i/>
          <w:sz w:val="24"/>
          <w:szCs w:val="24"/>
          <w:vertAlign w:val="superscript"/>
          <w:lang w:val="en-US" w:eastAsia="es-ES_tradnl"/>
        </w:rPr>
        <w:t>–/–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t xml:space="preserve"> cells were analyzed by immunoblotting using the indicated antibodies. Arrowhead on the left, specific </w:t>
      </w:r>
      <w:r w:rsidRPr="009A5DF7">
        <w:rPr>
          <w:rFonts w:eastAsia="Times New Roman" w:cs="Arial"/>
          <w:i/>
          <w:iCs/>
          <w:sz w:val="24"/>
          <w:szCs w:val="24"/>
          <w:lang w:val="en-US" w:eastAsia="es-ES_tradnl"/>
        </w:rPr>
        <w:t>Gdap1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t xml:space="preserve"> band; n.s. on the right, non-specific signal. Lower graph, quantification of the GDAP1/GAPDH ratios (n = 3). Data are represented as the mean ± SEM. The one-tailed Student's t-test was used to compare the categories with each other.</w:t>
      </w:r>
    </w:p>
    <w:p w14:paraId="7634A14D" w14:textId="77777777" w:rsidR="009A5DF7" w:rsidRPr="009A5DF7" w:rsidRDefault="009A5DF7" w:rsidP="009A5DF7">
      <w:pPr>
        <w:spacing w:line="360" w:lineRule="auto"/>
        <w:rPr>
          <w:rFonts w:eastAsia="Times New Roman" w:cs="Arial"/>
          <w:sz w:val="24"/>
          <w:szCs w:val="24"/>
          <w:lang w:val="en-US" w:eastAsia="es-ES_tradnl"/>
        </w:rPr>
      </w:pPr>
    </w:p>
    <w:p w14:paraId="5C1CEBF9" w14:textId="77777777" w:rsidR="009A5DF7" w:rsidRPr="009A5DF7" w:rsidRDefault="009A5DF7" w:rsidP="009A5DF7">
      <w:pPr>
        <w:spacing w:line="360" w:lineRule="auto"/>
        <w:rPr>
          <w:rFonts w:eastAsia="Times New Roman" w:cs="Arial"/>
          <w:sz w:val="24"/>
          <w:szCs w:val="24"/>
          <w:lang w:val="en-US" w:eastAsia="es-ES_tradnl"/>
        </w:rPr>
      </w:pPr>
    </w:p>
    <w:p w14:paraId="5C95A9F7" w14:textId="77777777" w:rsidR="009A5DF7" w:rsidRPr="009A5DF7" w:rsidRDefault="009A5DF7" w:rsidP="009A5DF7">
      <w:pPr>
        <w:spacing w:line="360" w:lineRule="auto"/>
        <w:rPr>
          <w:rFonts w:eastAsia="Times New Roman" w:cs="Arial"/>
          <w:b/>
          <w:sz w:val="24"/>
          <w:szCs w:val="24"/>
          <w:lang w:val="en-US" w:eastAsia="es-ES_tradnl"/>
        </w:rPr>
      </w:pPr>
      <w:r w:rsidRPr="009A5DF7">
        <w:rPr>
          <w:rFonts w:eastAsia="Times New Roman" w:cs="Arial"/>
          <w:b/>
          <w:sz w:val="24"/>
          <w:szCs w:val="24"/>
          <w:lang w:val="en-US" w:eastAsia="es-ES_tradnl"/>
        </w:rPr>
        <w:t xml:space="preserve">Figure S2. Abnormal cellular phenotype in </w:t>
      </w:r>
      <w:r w:rsidRPr="009A5DF7">
        <w:rPr>
          <w:rFonts w:eastAsia="Times New Roman" w:cs="Arial"/>
          <w:b/>
          <w:i/>
          <w:sz w:val="24"/>
          <w:szCs w:val="24"/>
          <w:lang w:val="en-US" w:eastAsia="es-ES_tradnl"/>
        </w:rPr>
        <w:t>Gdap1</w:t>
      </w:r>
      <w:r w:rsidRPr="009A5DF7">
        <w:rPr>
          <w:rFonts w:eastAsia="Times New Roman" w:cs="Arial"/>
          <w:b/>
          <w:i/>
          <w:sz w:val="24"/>
          <w:szCs w:val="24"/>
          <w:vertAlign w:val="superscript"/>
          <w:lang w:val="en-US" w:eastAsia="es-ES_tradnl"/>
        </w:rPr>
        <w:t>–/–</w:t>
      </w:r>
      <w:r w:rsidRPr="009A5DF7">
        <w:rPr>
          <w:rFonts w:eastAsia="Times New Roman" w:cs="Arial"/>
          <w:b/>
          <w:sz w:val="24"/>
          <w:szCs w:val="24"/>
          <w:lang w:val="en-US" w:eastAsia="es-ES_tradnl"/>
        </w:rPr>
        <w:t xml:space="preserve"> motor neurons.</w:t>
      </w:r>
    </w:p>
    <w:p w14:paraId="74A641E4" w14:textId="08E30323" w:rsidR="009A5DF7" w:rsidRPr="009A5DF7" w:rsidRDefault="009A5DF7" w:rsidP="009A5DF7">
      <w:pPr>
        <w:spacing w:line="360" w:lineRule="auto"/>
        <w:rPr>
          <w:rFonts w:eastAsia="Times New Roman" w:cs="Arial"/>
          <w:sz w:val="24"/>
          <w:szCs w:val="24"/>
          <w:lang w:val="en-US" w:eastAsia="es-ES_tradnl"/>
        </w:rPr>
      </w:pPr>
      <w:r w:rsidRPr="009A5DF7">
        <w:rPr>
          <w:rFonts w:eastAsia="Times New Roman" w:cs="Arial"/>
          <w:sz w:val="24"/>
          <w:szCs w:val="24"/>
          <w:lang w:val="en-US" w:eastAsia="es-ES_tradnl"/>
        </w:rPr>
        <w:t xml:space="preserve"> (</w:t>
      </w:r>
      <w:r w:rsidR="00110380" w:rsidRPr="00110380">
        <w:rPr>
          <w:rFonts w:eastAsia="Times New Roman" w:cs="Arial"/>
          <w:b/>
          <w:sz w:val="24"/>
          <w:szCs w:val="24"/>
          <w:lang w:val="en-US" w:eastAsia="es-ES_tradnl"/>
        </w:rPr>
        <w:t>A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t xml:space="preserve">) Left panels, representative phase contrast (upper panels) or fluorescence (lower panels) images of differentiated </w:t>
      </w:r>
      <w:r w:rsidRPr="009A5DF7">
        <w:rPr>
          <w:rFonts w:eastAsia="Times New Roman" w:cs="Arial"/>
          <w:i/>
          <w:sz w:val="24"/>
          <w:szCs w:val="24"/>
          <w:lang w:val="en-US" w:eastAsia="es-ES_tradnl"/>
        </w:rPr>
        <w:t>Gdap1</w:t>
      </w:r>
      <w:r w:rsidRPr="009A5DF7">
        <w:rPr>
          <w:rFonts w:eastAsia="Times New Roman" w:cs="Arial"/>
          <w:i/>
          <w:sz w:val="24"/>
          <w:szCs w:val="24"/>
          <w:vertAlign w:val="superscript"/>
          <w:lang w:val="en-US" w:eastAsia="es-ES_tradnl"/>
        </w:rPr>
        <w:t>WT</w:t>
      </w:r>
      <w:r w:rsidRPr="009A5DF7">
        <w:rPr>
          <w:rFonts w:eastAsia="Times New Roman" w:cs="Arial"/>
          <w:sz w:val="24"/>
          <w:szCs w:val="24"/>
          <w:vertAlign w:val="superscript"/>
          <w:lang w:val="en-US" w:eastAsia="es-ES_tradnl"/>
        </w:rPr>
        <w:t xml:space="preserve"> 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t xml:space="preserve">or </w:t>
      </w:r>
      <w:r w:rsidRPr="009A5DF7">
        <w:rPr>
          <w:rFonts w:eastAsia="Times New Roman" w:cs="Arial"/>
          <w:i/>
          <w:sz w:val="24"/>
          <w:szCs w:val="24"/>
          <w:lang w:val="en-US" w:eastAsia="es-ES_tradnl"/>
        </w:rPr>
        <w:t>Gdap1</w:t>
      </w:r>
      <w:r w:rsidRPr="009A5DF7">
        <w:rPr>
          <w:rFonts w:eastAsia="Times New Roman" w:cs="Arial"/>
          <w:i/>
          <w:sz w:val="24"/>
          <w:szCs w:val="24"/>
          <w:vertAlign w:val="superscript"/>
          <w:lang w:val="en-US" w:eastAsia="es-ES_tradnl"/>
        </w:rPr>
        <w:t>–/–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t xml:space="preserve"> cells one day after plating (day 8) at different density (Gdap1</w:t>
      </w:r>
      <w:r w:rsidRPr="009A5DF7">
        <w:rPr>
          <w:rFonts w:eastAsia="Times New Roman" w:cs="Arial"/>
          <w:sz w:val="24"/>
          <w:szCs w:val="24"/>
          <w:vertAlign w:val="superscript"/>
          <w:lang w:val="en-US" w:eastAsia="es-ES_tradnl"/>
        </w:rPr>
        <w:t>WT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t>, 1.25x10</w:t>
      </w:r>
      <w:r w:rsidRPr="009A5DF7">
        <w:rPr>
          <w:rFonts w:eastAsia="Times New Roman" w:cs="Arial"/>
          <w:sz w:val="24"/>
          <w:szCs w:val="24"/>
          <w:vertAlign w:val="superscript"/>
          <w:lang w:val="en-US" w:eastAsia="es-ES_tradnl"/>
        </w:rPr>
        <w:t>5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t xml:space="preserve"> cells/cm</w:t>
      </w:r>
      <w:r w:rsidRPr="009A5DF7">
        <w:rPr>
          <w:rFonts w:eastAsia="Times New Roman" w:cs="Arial"/>
          <w:sz w:val="24"/>
          <w:szCs w:val="24"/>
          <w:vertAlign w:val="superscript"/>
          <w:lang w:val="en-US" w:eastAsia="es-ES_tradnl"/>
        </w:rPr>
        <w:t>2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t>; Gdap1</w:t>
      </w:r>
      <w:r w:rsidRPr="009A5DF7">
        <w:rPr>
          <w:rFonts w:eastAsia="Times New Roman" w:cs="Arial"/>
          <w:sz w:val="24"/>
          <w:szCs w:val="24"/>
          <w:vertAlign w:val="superscript"/>
          <w:lang w:val="en-US" w:eastAsia="es-ES_tradnl"/>
        </w:rPr>
        <w:t>–/–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t>, 2.5x10</w:t>
      </w:r>
      <w:r w:rsidRPr="009A5DF7">
        <w:rPr>
          <w:rFonts w:eastAsia="Times New Roman" w:cs="Arial"/>
          <w:sz w:val="24"/>
          <w:szCs w:val="24"/>
          <w:vertAlign w:val="superscript"/>
          <w:lang w:val="en-US" w:eastAsia="es-ES_tradnl"/>
        </w:rPr>
        <w:t>5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t xml:space="preserve"> cells/ cm</w:t>
      </w:r>
      <w:r w:rsidRPr="009A5DF7">
        <w:rPr>
          <w:rFonts w:eastAsia="Times New Roman" w:cs="Arial"/>
          <w:sz w:val="24"/>
          <w:szCs w:val="24"/>
          <w:vertAlign w:val="superscript"/>
          <w:lang w:val="en-US" w:eastAsia="es-ES_tradnl"/>
        </w:rPr>
        <w:t>2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t>). Scale bars, 120 μm. Right graph, number of EGFP positive cells in the cultures (n = 6). (</w:t>
      </w:r>
      <w:r w:rsidR="009631BD">
        <w:rPr>
          <w:rFonts w:eastAsia="Times New Roman" w:cs="Arial"/>
          <w:b/>
          <w:sz w:val="24"/>
          <w:szCs w:val="24"/>
          <w:lang w:val="en-US" w:eastAsia="es-ES_tradnl"/>
        </w:rPr>
        <w:t>B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t xml:space="preserve">) Graph showing the survival rate of cultured </w:t>
      </w:r>
      <w:r w:rsidRPr="009A5DF7">
        <w:rPr>
          <w:rFonts w:eastAsia="Times New Roman" w:cs="Arial"/>
          <w:i/>
          <w:sz w:val="24"/>
          <w:szCs w:val="24"/>
          <w:lang w:val="en-US" w:eastAsia="es-ES_tradnl"/>
        </w:rPr>
        <w:t>Gdap1</w:t>
      </w:r>
      <w:r w:rsidRPr="009A5DF7">
        <w:rPr>
          <w:rFonts w:eastAsia="Times New Roman" w:cs="Arial"/>
          <w:i/>
          <w:sz w:val="24"/>
          <w:szCs w:val="24"/>
          <w:vertAlign w:val="superscript"/>
          <w:lang w:val="en-US" w:eastAsia="es-ES_tradnl"/>
        </w:rPr>
        <w:t>WT</w:t>
      </w:r>
      <w:r w:rsidRPr="009A5DF7">
        <w:rPr>
          <w:rFonts w:eastAsia="Times New Roman" w:cs="Arial"/>
          <w:sz w:val="24"/>
          <w:szCs w:val="24"/>
          <w:vertAlign w:val="superscript"/>
          <w:lang w:val="en-US" w:eastAsia="es-ES_tradnl"/>
        </w:rPr>
        <w:t xml:space="preserve"> 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t xml:space="preserve">or </w:t>
      </w:r>
      <w:r w:rsidRPr="009A5DF7">
        <w:rPr>
          <w:rFonts w:eastAsia="Times New Roman" w:cs="Arial"/>
          <w:i/>
          <w:sz w:val="24"/>
          <w:szCs w:val="24"/>
          <w:lang w:val="en-US" w:eastAsia="es-ES_tradnl"/>
        </w:rPr>
        <w:t>Gdap1</w:t>
      </w:r>
      <w:r w:rsidRPr="009A5DF7">
        <w:rPr>
          <w:rFonts w:eastAsia="Times New Roman" w:cs="Arial"/>
          <w:i/>
          <w:sz w:val="24"/>
          <w:szCs w:val="24"/>
          <w:vertAlign w:val="superscript"/>
          <w:lang w:val="en-US" w:eastAsia="es-ES_tradnl"/>
        </w:rPr>
        <w:t>–/–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t xml:space="preserve"> motor neurons (GFP-positive) seeded as in (</w:t>
      </w:r>
      <w:r w:rsidR="009631BD">
        <w:rPr>
          <w:rFonts w:eastAsia="Times New Roman" w:cs="Arial"/>
          <w:bCs/>
          <w:sz w:val="24"/>
          <w:szCs w:val="24"/>
          <w:lang w:val="en-US" w:eastAsia="es-ES_tradnl"/>
        </w:rPr>
        <w:t>A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t>). Data are represented as the mean ± SEM. The one-tailed Student's t-test was used to compare the categories with each other (* P &lt;0.05; ** P &lt;0.01; *** P &lt;0.001).</w:t>
      </w:r>
    </w:p>
    <w:p w14:paraId="293ACDE0" w14:textId="77777777" w:rsidR="009A5DF7" w:rsidRPr="009A5DF7" w:rsidRDefault="009A5DF7" w:rsidP="009A5DF7">
      <w:pPr>
        <w:spacing w:line="360" w:lineRule="auto"/>
        <w:rPr>
          <w:rFonts w:eastAsia="Times New Roman" w:cs="Arial"/>
          <w:sz w:val="24"/>
          <w:szCs w:val="24"/>
          <w:lang w:val="en-US" w:eastAsia="es-ES_tradnl"/>
        </w:rPr>
      </w:pPr>
    </w:p>
    <w:p w14:paraId="4FF8E291" w14:textId="77777777" w:rsidR="009A5DF7" w:rsidRPr="009A5DF7" w:rsidRDefault="009A5DF7" w:rsidP="009A5DF7">
      <w:pPr>
        <w:spacing w:line="360" w:lineRule="auto"/>
        <w:rPr>
          <w:rFonts w:eastAsia="Times New Roman" w:cs="Arial"/>
          <w:sz w:val="24"/>
          <w:szCs w:val="24"/>
          <w:lang w:val="en-US" w:eastAsia="es-ES_tradnl"/>
        </w:rPr>
      </w:pPr>
    </w:p>
    <w:p w14:paraId="1A18A680" w14:textId="77777777" w:rsidR="009A5DF7" w:rsidRPr="009A5DF7" w:rsidRDefault="009A5DF7" w:rsidP="009A5DF7">
      <w:pPr>
        <w:spacing w:line="360" w:lineRule="auto"/>
        <w:rPr>
          <w:rFonts w:eastAsia="Times New Roman" w:cs="Arial"/>
          <w:b/>
          <w:sz w:val="24"/>
          <w:szCs w:val="24"/>
          <w:lang w:val="en-US" w:eastAsia="es-ES_tradnl"/>
        </w:rPr>
      </w:pPr>
      <w:r w:rsidRPr="009A5DF7">
        <w:rPr>
          <w:rFonts w:eastAsia="Times New Roman" w:cs="Arial"/>
          <w:b/>
          <w:sz w:val="24"/>
          <w:szCs w:val="24"/>
          <w:lang w:val="en-US" w:eastAsia="es-ES_tradnl"/>
        </w:rPr>
        <w:t xml:space="preserve">Figure S3. Altered mitochondrial functionality in in </w:t>
      </w:r>
      <w:r w:rsidRPr="009A5DF7">
        <w:rPr>
          <w:rFonts w:eastAsia="Times New Roman" w:cs="Arial"/>
          <w:b/>
          <w:i/>
          <w:sz w:val="24"/>
          <w:szCs w:val="24"/>
          <w:lang w:val="en-US" w:eastAsia="es-ES_tradnl"/>
        </w:rPr>
        <w:t>Gdap1</w:t>
      </w:r>
      <w:r w:rsidRPr="009A5DF7">
        <w:rPr>
          <w:rFonts w:eastAsia="Times New Roman" w:cs="Arial"/>
          <w:b/>
          <w:i/>
          <w:sz w:val="24"/>
          <w:szCs w:val="24"/>
          <w:vertAlign w:val="superscript"/>
          <w:lang w:val="en-US" w:eastAsia="es-ES_tradnl"/>
        </w:rPr>
        <w:t>–/–</w:t>
      </w:r>
      <w:r w:rsidRPr="009A5DF7">
        <w:rPr>
          <w:rFonts w:eastAsia="Times New Roman" w:cs="Arial"/>
          <w:b/>
          <w:sz w:val="24"/>
          <w:szCs w:val="24"/>
          <w:lang w:val="en-US" w:eastAsia="es-ES_tradnl"/>
        </w:rPr>
        <w:t xml:space="preserve"> motor neurons.</w:t>
      </w:r>
    </w:p>
    <w:p w14:paraId="3EB83D77" w14:textId="77777777" w:rsidR="009A5DF7" w:rsidRPr="009A5DF7" w:rsidRDefault="009A5DF7" w:rsidP="009A5DF7">
      <w:pPr>
        <w:spacing w:line="360" w:lineRule="auto"/>
        <w:rPr>
          <w:rFonts w:eastAsia="Times New Roman" w:cs="Arial"/>
          <w:sz w:val="24"/>
          <w:szCs w:val="24"/>
          <w:lang w:val="en-US" w:eastAsia="es-ES_tradnl"/>
        </w:rPr>
      </w:pPr>
      <w:r w:rsidRPr="009A5DF7">
        <w:rPr>
          <w:rFonts w:eastAsia="Times New Roman" w:cs="Arial"/>
          <w:sz w:val="24"/>
          <w:szCs w:val="24"/>
          <w:lang w:val="en-US" w:eastAsia="es-ES_tradnl"/>
        </w:rPr>
        <w:t>(</w:t>
      </w:r>
      <w:r w:rsidR="00110380" w:rsidRPr="00110380">
        <w:rPr>
          <w:rFonts w:eastAsia="Times New Roman" w:cs="Arial"/>
          <w:b/>
          <w:sz w:val="24"/>
          <w:szCs w:val="24"/>
          <w:lang w:val="en-US" w:eastAsia="es-ES_tradnl"/>
        </w:rPr>
        <w:t>A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t xml:space="preserve">) Upper panels, cell lysates from day 7 </w:t>
      </w:r>
      <w:r w:rsidRPr="009A5DF7">
        <w:rPr>
          <w:rFonts w:eastAsia="Times New Roman" w:cs="Arial"/>
          <w:i/>
          <w:sz w:val="24"/>
          <w:szCs w:val="24"/>
          <w:lang w:val="en-US" w:eastAsia="es-ES_tradnl"/>
        </w:rPr>
        <w:t>Gdap1</w:t>
      </w:r>
      <w:r w:rsidRPr="009A5DF7">
        <w:rPr>
          <w:rFonts w:eastAsia="Times New Roman" w:cs="Arial"/>
          <w:i/>
          <w:sz w:val="24"/>
          <w:szCs w:val="24"/>
          <w:vertAlign w:val="superscript"/>
          <w:lang w:val="en-US" w:eastAsia="es-ES_tradnl"/>
        </w:rPr>
        <w:t>WT</w:t>
      </w:r>
      <w:r w:rsidRPr="009A5DF7">
        <w:rPr>
          <w:rFonts w:eastAsia="Times New Roman" w:cs="Arial"/>
          <w:sz w:val="24"/>
          <w:szCs w:val="24"/>
          <w:vertAlign w:val="superscript"/>
          <w:lang w:val="en-US" w:eastAsia="es-ES_tradnl"/>
        </w:rPr>
        <w:t xml:space="preserve"> 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t xml:space="preserve">or </w:t>
      </w:r>
      <w:r w:rsidRPr="009A5DF7">
        <w:rPr>
          <w:rFonts w:eastAsia="Times New Roman" w:cs="Arial"/>
          <w:i/>
          <w:sz w:val="24"/>
          <w:szCs w:val="24"/>
          <w:lang w:val="en-US" w:eastAsia="es-ES_tradnl"/>
        </w:rPr>
        <w:t>Gdap1</w:t>
      </w:r>
      <w:r w:rsidRPr="009A5DF7">
        <w:rPr>
          <w:rFonts w:eastAsia="Times New Roman" w:cs="Arial"/>
          <w:i/>
          <w:sz w:val="24"/>
          <w:szCs w:val="24"/>
          <w:vertAlign w:val="superscript"/>
          <w:lang w:val="en-US" w:eastAsia="es-ES_tradnl"/>
        </w:rPr>
        <w:t>–/–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t xml:space="preserve"> EBs were analyzed by immunoblotting using the indicated antibodies. Lower graph, quantification of the TOM20/GAPDH ratios (n = 3). (</w:t>
      </w:r>
      <w:r w:rsidR="00110380" w:rsidRPr="00110380">
        <w:rPr>
          <w:rFonts w:eastAsia="Times New Roman" w:cs="Arial"/>
          <w:b/>
          <w:sz w:val="24"/>
          <w:szCs w:val="24"/>
          <w:lang w:val="en-US" w:eastAsia="es-ES_tradnl"/>
        </w:rPr>
        <w:t>B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t xml:space="preserve">) Upper panels, cell 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lastRenderedPageBreak/>
        <w:t xml:space="preserve">lysates from </w:t>
      </w:r>
      <w:r w:rsidRPr="009A5DF7">
        <w:rPr>
          <w:rFonts w:eastAsia="Times New Roman" w:cs="Arial"/>
          <w:i/>
          <w:sz w:val="24"/>
          <w:szCs w:val="24"/>
          <w:lang w:val="en-US" w:eastAsia="es-ES_tradnl"/>
        </w:rPr>
        <w:t>Gdap1</w:t>
      </w:r>
      <w:r w:rsidRPr="009A5DF7">
        <w:rPr>
          <w:rFonts w:eastAsia="Times New Roman" w:cs="Arial"/>
          <w:i/>
          <w:sz w:val="24"/>
          <w:szCs w:val="24"/>
          <w:vertAlign w:val="superscript"/>
          <w:lang w:val="en-US" w:eastAsia="es-ES_tradnl"/>
        </w:rPr>
        <w:t>WT</w:t>
      </w:r>
      <w:r w:rsidRPr="009A5DF7">
        <w:rPr>
          <w:rFonts w:eastAsia="Times New Roman" w:cs="Arial"/>
          <w:sz w:val="24"/>
          <w:szCs w:val="24"/>
          <w:vertAlign w:val="superscript"/>
          <w:lang w:val="en-US" w:eastAsia="es-ES_tradnl"/>
        </w:rPr>
        <w:t xml:space="preserve"> 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t xml:space="preserve">or </w:t>
      </w:r>
      <w:r w:rsidRPr="009A5DF7">
        <w:rPr>
          <w:rFonts w:eastAsia="Times New Roman" w:cs="Arial"/>
          <w:i/>
          <w:sz w:val="24"/>
          <w:szCs w:val="24"/>
          <w:lang w:val="en-US" w:eastAsia="es-ES_tradnl"/>
        </w:rPr>
        <w:t>Gdap1</w:t>
      </w:r>
      <w:r w:rsidRPr="009A5DF7">
        <w:rPr>
          <w:rFonts w:eastAsia="Times New Roman" w:cs="Arial"/>
          <w:i/>
          <w:sz w:val="24"/>
          <w:szCs w:val="24"/>
          <w:vertAlign w:val="superscript"/>
          <w:lang w:val="en-US" w:eastAsia="es-ES_tradnl"/>
        </w:rPr>
        <w:t>–/–</w:t>
      </w:r>
      <w:r w:rsidRPr="009A5DF7">
        <w:rPr>
          <w:rFonts w:eastAsia="Times New Roman" w:cs="Arial"/>
          <w:sz w:val="24"/>
          <w:szCs w:val="24"/>
          <w:lang w:val="en-US" w:eastAsia="es-ES_tradnl"/>
        </w:rPr>
        <w:t xml:space="preserve"> undifferentiated iPSCs, or EBs at day 3 or day 7 of differentiation were analyzed by immunoblotting using the indicated antibodies. Ponceau S staining was used as a loading control. Upper right and graphs at the bottom show the quantification of the signals as indicated. Data are represented as the mean ± SEM. The one-tailed Student's t-test was used to compare the categories with each other.</w:t>
      </w:r>
    </w:p>
    <w:p w14:paraId="3D1AC437" w14:textId="77777777" w:rsidR="009A5DF7" w:rsidRPr="009A5DF7" w:rsidRDefault="009A5DF7" w:rsidP="009A5DF7">
      <w:pPr>
        <w:spacing w:line="360" w:lineRule="auto"/>
        <w:rPr>
          <w:rFonts w:eastAsia="Times New Roman" w:cs="Arial"/>
          <w:sz w:val="24"/>
          <w:szCs w:val="24"/>
          <w:lang w:val="en-US" w:eastAsia="es-ES_tradnl"/>
        </w:rPr>
      </w:pPr>
    </w:p>
    <w:p w14:paraId="46E63E7B" w14:textId="77777777" w:rsidR="009A5DF7" w:rsidRDefault="009A5DF7">
      <w:pPr>
        <w:rPr>
          <w:rFonts w:eastAsia="Times New Roman" w:cs="Arial"/>
          <w:sz w:val="24"/>
          <w:szCs w:val="24"/>
          <w:lang w:val="en-US" w:eastAsia="es-ES_tradnl"/>
        </w:rPr>
      </w:pPr>
      <w:r>
        <w:rPr>
          <w:rFonts w:eastAsia="Times New Roman" w:cs="Arial"/>
          <w:sz w:val="24"/>
          <w:szCs w:val="24"/>
          <w:lang w:val="en-US" w:eastAsia="es-ES_tradnl"/>
        </w:rPr>
        <w:br w:type="page"/>
      </w:r>
    </w:p>
    <w:p w14:paraId="37DA96F4" w14:textId="77777777" w:rsidR="009A5DF7" w:rsidRPr="009A5DF7" w:rsidRDefault="009A5DF7" w:rsidP="009A5DF7">
      <w:pPr>
        <w:spacing w:line="360" w:lineRule="auto"/>
        <w:rPr>
          <w:rFonts w:eastAsia="Times New Roman" w:cs="Arial"/>
          <w:sz w:val="24"/>
          <w:szCs w:val="24"/>
          <w:lang w:val="en-US" w:eastAsia="es-ES_tradnl"/>
        </w:rPr>
      </w:pPr>
    </w:p>
    <w:p w14:paraId="57DDCD5B" w14:textId="77777777" w:rsidR="009A5DF7" w:rsidRPr="009A5DF7" w:rsidRDefault="009A5DF7" w:rsidP="009A5DF7">
      <w:pPr>
        <w:spacing w:line="360" w:lineRule="auto"/>
        <w:rPr>
          <w:rFonts w:eastAsia="Times New Roman" w:cs="Arial"/>
          <w:sz w:val="24"/>
          <w:szCs w:val="24"/>
          <w:lang w:val="en-US" w:eastAsia="es-ES_tradnl"/>
        </w:rPr>
      </w:pPr>
    </w:p>
    <w:p w14:paraId="731BF72B" w14:textId="77777777" w:rsidR="009A5DF7" w:rsidRPr="009A5DF7" w:rsidRDefault="009A5DF7" w:rsidP="009A5DF7">
      <w:pPr>
        <w:spacing w:line="360" w:lineRule="auto"/>
        <w:rPr>
          <w:rFonts w:eastAsia="Times New Roman" w:cs="Arial"/>
          <w:sz w:val="24"/>
          <w:szCs w:val="24"/>
          <w:lang w:val="en-US" w:eastAsia="es-ES_tradnl"/>
        </w:rPr>
      </w:pPr>
    </w:p>
    <w:p w14:paraId="12E62808" w14:textId="77777777" w:rsidR="009A5DF7" w:rsidRPr="009A5DF7" w:rsidRDefault="009A5DF7" w:rsidP="009A5DF7">
      <w:pPr>
        <w:spacing w:line="360" w:lineRule="auto"/>
        <w:rPr>
          <w:rFonts w:eastAsia="Times New Roman" w:cs="Arial"/>
          <w:sz w:val="24"/>
          <w:szCs w:val="24"/>
          <w:lang w:val="en-US" w:eastAsia="es-ES_tradnl"/>
        </w:rPr>
      </w:pPr>
    </w:p>
    <w:p w14:paraId="229A74AE" w14:textId="77777777" w:rsidR="009A5DF7" w:rsidRPr="009A5DF7" w:rsidRDefault="009A5DF7" w:rsidP="009A5DF7">
      <w:pPr>
        <w:spacing w:line="360" w:lineRule="auto"/>
        <w:rPr>
          <w:rFonts w:eastAsia="Times New Roman" w:cs="Arial"/>
          <w:sz w:val="24"/>
          <w:szCs w:val="24"/>
          <w:lang w:val="en-US" w:eastAsia="es-ES_tradnl"/>
        </w:rPr>
      </w:pPr>
    </w:p>
    <w:p w14:paraId="1A7AEC6A" w14:textId="77777777" w:rsidR="009A5DF7" w:rsidRPr="009A5DF7" w:rsidRDefault="009A5DF7">
      <w:pPr>
        <w:rPr>
          <w:lang w:val="en-US"/>
        </w:rPr>
      </w:pPr>
    </w:p>
    <w:sectPr w:rsidR="009A5DF7" w:rsidRPr="009A5DF7" w:rsidSect="009A5DF7">
      <w:footerReference w:type="even" r:id="rId7"/>
      <w:footerReference w:type="default" r:id="rId8"/>
      <w:pgSz w:w="11900" w:h="16840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1837E9" w14:textId="77777777" w:rsidR="004C4EB4" w:rsidRDefault="004C4EB4" w:rsidP="009A5DF7">
      <w:r>
        <w:separator/>
      </w:r>
    </w:p>
  </w:endnote>
  <w:endnote w:type="continuationSeparator" w:id="0">
    <w:p w14:paraId="76AC6937" w14:textId="77777777" w:rsidR="004C4EB4" w:rsidRDefault="004C4EB4" w:rsidP="009A5D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(Cuerpo en alfa">
    <w:altName w:val="Times New Roman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044209264"/>
      <w:docPartObj>
        <w:docPartGallery w:val="Page Numbers (Bottom of Page)"/>
        <w:docPartUnique/>
      </w:docPartObj>
    </w:sdtPr>
    <w:sdtContent>
      <w:p w14:paraId="1D171BC1" w14:textId="77777777" w:rsidR="009A5DF7" w:rsidRDefault="009A5DF7" w:rsidP="00FC15A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A907389" w14:textId="77777777" w:rsidR="009A5DF7" w:rsidRDefault="009A5DF7" w:rsidP="009A5DF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062169070"/>
      <w:docPartObj>
        <w:docPartGallery w:val="Page Numbers (Bottom of Page)"/>
        <w:docPartUnique/>
      </w:docPartObj>
    </w:sdtPr>
    <w:sdtContent>
      <w:p w14:paraId="36B12938" w14:textId="77777777" w:rsidR="009A5DF7" w:rsidRDefault="009A5DF7" w:rsidP="00FC15A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58709EF" w14:textId="77777777" w:rsidR="009A5DF7" w:rsidRDefault="009A5DF7" w:rsidP="009A5DF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50BDD0" w14:textId="77777777" w:rsidR="004C4EB4" w:rsidRDefault="004C4EB4" w:rsidP="009A5DF7">
      <w:r>
        <w:separator/>
      </w:r>
    </w:p>
  </w:footnote>
  <w:footnote w:type="continuationSeparator" w:id="0">
    <w:p w14:paraId="13E87812" w14:textId="77777777" w:rsidR="004C4EB4" w:rsidRDefault="004C4EB4" w:rsidP="009A5D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92675A"/>
    <w:multiLevelType w:val="hybridMultilevel"/>
    <w:tmpl w:val="70D2B1A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6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DF7"/>
    <w:rsid w:val="00110380"/>
    <w:rsid w:val="00256B7F"/>
    <w:rsid w:val="002F43B7"/>
    <w:rsid w:val="004C4EB4"/>
    <w:rsid w:val="006C3EFB"/>
    <w:rsid w:val="007B6AD4"/>
    <w:rsid w:val="008C509C"/>
    <w:rsid w:val="008E68E5"/>
    <w:rsid w:val="009631BD"/>
    <w:rsid w:val="009A5DF7"/>
    <w:rsid w:val="009C5BB7"/>
    <w:rsid w:val="00A45278"/>
    <w:rsid w:val="00A74D62"/>
    <w:rsid w:val="00B066B5"/>
    <w:rsid w:val="00B27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46DB7"/>
  <w15:chartTrackingRefBased/>
  <w15:docId w15:val="{8F8A9285-E0DD-8E4C-9B8C-01E858697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Times New Roman (Cuerpo en alfa"/>
        <w:sz w:val="22"/>
        <w:szCs w:val="22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5DF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A5DF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ES" w:eastAsia="es-ES_tradnl"/>
    </w:rPr>
  </w:style>
  <w:style w:type="character" w:customStyle="1" w:styleId="apple-converted-space">
    <w:name w:val="apple-converted-space"/>
    <w:basedOn w:val="DefaultParagraphFont"/>
    <w:rsid w:val="009A5DF7"/>
  </w:style>
  <w:style w:type="paragraph" w:styleId="Footer">
    <w:name w:val="footer"/>
    <w:basedOn w:val="Normal"/>
    <w:link w:val="FooterChar"/>
    <w:uiPriority w:val="99"/>
    <w:unhideWhenUsed/>
    <w:rsid w:val="009A5DF7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5DF7"/>
  </w:style>
  <w:style w:type="character" w:styleId="PageNumber">
    <w:name w:val="page number"/>
    <w:basedOn w:val="DefaultParagraphFont"/>
    <w:uiPriority w:val="99"/>
    <w:semiHidden/>
    <w:unhideWhenUsed/>
    <w:rsid w:val="009A5DF7"/>
  </w:style>
  <w:style w:type="character" w:styleId="LineNumber">
    <w:name w:val="line number"/>
    <w:basedOn w:val="DefaultParagraphFont"/>
    <w:uiPriority w:val="99"/>
    <w:semiHidden/>
    <w:unhideWhenUsed/>
    <w:rsid w:val="009A5D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8</Pages>
  <Words>1358</Words>
  <Characters>7742</Characters>
  <Application>Microsoft Office Word</Application>
  <DocSecurity>0</DocSecurity>
  <Lines>64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Lisa Sevilla</cp:lastModifiedBy>
  <cp:revision>6</cp:revision>
  <dcterms:created xsi:type="dcterms:W3CDTF">2022-09-02T15:14:00Z</dcterms:created>
  <dcterms:modified xsi:type="dcterms:W3CDTF">2022-09-04T17:45:00Z</dcterms:modified>
</cp:coreProperties>
</file>