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8B8" w:rsidRDefault="00CB78B8" w:rsidP="00CB78B8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Supplementary </w:t>
      </w:r>
      <w:r w:rsidR="00132700">
        <w:rPr>
          <w:rFonts w:ascii="Arial" w:hAnsi="Arial" w:cs="Arial"/>
          <w:b/>
          <w:sz w:val="24"/>
        </w:rPr>
        <w:t xml:space="preserve">Materials and </w:t>
      </w:r>
      <w:r>
        <w:rPr>
          <w:rFonts w:ascii="Arial" w:hAnsi="Arial" w:cs="Arial" w:hint="eastAsia"/>
          <w:b/>
          <w:sz w:val="24"/>
        </w:rPr>
        <w:t>Me</w:t>
      </w:r>
      <w:r>
        <w:rPr>
          <w:rFonts w:ascii="Arial" w:hAnsi="Arial" w:cs="Arial"/>
          <w:b/>
          <w:sz w:val="24"/>
        </w:rPr>
        <w:t>thods</w:t>
      </w:r>
    </w:p>
    <w:p w:rsidR="00AF20B5" w:rsidRDefault="00AF20B5" w:rsidP="00CB78B8">
      <w:pPr>
        <w:spacing w:line="360" w:lineRule="auto"/>
        <w:rPr>
          <w:rFonts w:ascii="Arial" w:hAnsi="Arial" w:cs="Arial"/>
          <w:b/>
          <w:sz w:val="22"/>
        </w:rPr>
      </w:pPr>
    </w:p>
    <w:p w:rsidR="00132700" w:rsidRPr="001014D0" w:rsidRDefault="00132700" w:rsidP="00132700">
      <w:pPr>
        <w:spacing w:line="480" w:lineRule="auto"/>
        <w:rPr>
          <w:rFonts w:ascii="Arial" w:hAnsi="Arial" w:cs="Arial"/>
          <w:b/>
          <w:sz w:val="22"/>
        </w:rPr>
      </w:pPr>
      <w:r w:rsidRPr="001014D0">
        <w:rPr>
          <w:rFonts w:ascii="Arial" w:hAnsi="Arial" w:cs="Arial"/>
          <w:b/>
          <w:sz w:val="22"/>
        </w:rPr>
        <w:t xml:space="preserve">Western blot and immunoprecipitation </w:t>
      </w:r>
    </w:p>
    <w:p w:rsidR="00132700" w:rsidRDefault="00132700" w:rsidP="00132700">
      <w:pPr>
        <w:spacing w:line="360" w:lineRule="auto"/>
        <w:rPr>
          <w:rFonts w:ascii="Arial" w:hAnsi="Arial" w:cs="Arial"/>
          <w:b/>
          <w:sz w:val="22"/>
        </w:rPr>
      </w:pPr>
      <w:r w:rsidRPr="001014D0">
        <w:rPr>
          <w:rFonts w:ascii="Arial" w:hAnsi="Arial" w:cs="Arial"/>
          <w:sz w:val="22"/>
        </w:rPr>
        <w:t xml:space="preserve">Whole cell lysates were prepared using passive lysis buffer (Promega, Madison, WI, USA) with a protease inhibitor cocktail (Roche, Basel, Switzerland). The proteins were electrophoresed and transferred </w:t>
      </w:r>
      <w:r>
        <w:rPr>
          <w:rFonts w:ascii="Arial" w:eastAsia="맑은 고딕" w:hAnsi="Arial" w:cs="Arial"/>
          <w:sz w:val="22"/>
        </w:rPr>
        <w:t xml:space="preserve">onto a membrane. </w:t>
      </w:r>
      <w:r w:rsidRPr="001014D0">
        <w:rPr>
          <w:rFonts w:ascii="Arial" w:hAnsi="Arial" w:cs="Arial"/>
          <w:sz w:val="22"/>
        </w:rPr>
        <w:t>The membranes were incubated overnight at 4</w:t>
      </w:r>
      <w:r>
        <w:rPr>
          <w:rFonts w:ascii="Arial" w:hAnsi="Arial" w:cs="Arial"/>
          <w:sz w:val="22"/>
        </w:rPr>
        <w:t xml:space="preserve"> </w:t>
      </w:r>
      <w:r w:rsidRPr="001014D0">
        <w:rPr>
          <w:rFonts w:ascii="Arial" w:hAnsi="Arial" w:cs="Arial"/>
          <w:sz w:val="22"/>
        </w:rPr>
        <w:t xml:space="preserve">°C with primary antibodies against GAPDH (Trevigen, Gaithersburg, MD, USA), KIT (Dako or Cell Signaling Technology, Beverly, MA, USA), HA (Cell Signaling Technology), phospho-KIT (Cell Signaling Technology), AKT (Cell Signaling Technology), phospho-AKT (Cell Signaling Technology), ERK (Santa Cruz Biotechnology, Santa Cruz, CA, USA), phospho-ERK (Santa Cruz Biotechnology), P85 (Cell Signaling Technology), GRB2 (Cell Signaling </w:t>
      </w:r>
      <w:r w:rsidRPr="001014D0">
        <w:rPr>
          <w:rFonts w:ascii="Arial" w:hAnsi="Arial" w:cs="Arial"/>
          <w:color w:val="000000" w:themeColor="text1"/>
          <w:sz w:val="22"/>
        </w:rPr>
        <w:t>Technology), GBF1 (</w:t>
      </w:r>
      <w:r w:rsidRPr="001014D0">
        <w:rPr>
          <w:rFonts w:ascii="Arial" w:hAnsi="Arial" w:cs="Arial"/>
          <w:color w:val="000000" w:themeColor="text1"/>
          <w:sz w:val="24"/>
          <w:szCs w:val="24"/>
        </w:rPr>
        <w:t>BD Biosciences; NJ, USA</w:t>
      </w:r>
      <w:r w:rsidRPr="001014D0">
        <w:rPr>
          <w:rFonts w:ascii="Arial" w:hAnsi="Arial" w:cs="Arial"/>
          <w:color w:val="000000" w:themeColor="text1"/>
          <w:sz w:val="22"/>
        </w:rPr>
        <w:t>), GM130 (</w:t>
      </w:r>
      <w:r w:rsidRPr="001014D0">
        <w:rPr>
          <w:rFonts w:ascii="Arial" w:hAnsi="Arial" w:cs="Arial"/>
          <w:color w:val="000000" w:themeColor="text1"/>
          <w:sz w:val="24"/>
          <w:szCs w:val="24"/>
        </w:rPr>
        <w:t>BD Biosciences</w:t>
      </w:r>
      <w:r w:rsidRPr="001014D0">
        <w:rPr>
          <w:rFonts w:ascii="Arial" w:hAnsi="Arial" w:cs="Arial"/>
          <w:color w:val="000000" w:themeColor="text1"/>
          <w:sz w:val="22"/>
        </w:rPr>
        <w:t>), Golgin97 (MyBioSource, San Diego, CA, USA), TGN38 (Bio-Rad Laboratories, Hercules, CA</w:t>
      </w:r>
      <w:r>
        <w:rPr>
          <w:rFonts w:ascii="Arial" w:eastAsia="맑은 고딕" w:hAnsi="Arial" w:cs="Arial"/>
          <w:color w:val="000000"/>
          <w:sz w:val="22"/>
        </w:rPr>
        <w:t>, USA), GRASP55 (</w:t>
      </w:r>
      <w:r w:rsidRPr="001014D0">
        <w:rPr>
          <w:rFonts w:ascii="Arial" w:hAnsi="Arial" w:cs="Arial"/>
          <w:color w:val="000000" w:themeColor="text1"/>
          <w:kern w:val="0"/>
          <w:sz w:val="22"/>
        </w:rPr>
        <w:t>Abcam</w:t>
      </w:r>
      <w:r w:rsidRPr="001014D0">
        <w:rPr>
          <w:rFonts w:ascii="Arial" w:hAnsi="Arial" w:cs="Arial"/>
          <w:color w:val="000000" w:themeColor="text1"/>
          <w:sz w:val="22"/>
        </w:rPr>
        <w:t xml:space="preserve">), </w:t>
      </w:r>
      <w:r>
        <w:rPr>
          <w:rFonts w:ascii="Arial" w:eastAsia="맑은 고딕" w:hAnsi="Arial" w:cs="Arial"/>
          <w:color w:val="000000"/>
          <w:sz w:val="22"/>
        </w:rPr>
        <w:t>GRASP65 (Invitrogen, Carlsbad, CA, USA), BLZF1 (Novus Biologicals, Littleton, CO, USA), STX3 (</w:t>
      </w:r>
      <w:r w:rsidRPr="001014D0">
        <w:rPr>
          <w:rFonts w:ascii="Arial" w:hAnsi="Arial" w:cs="Arial"/>
          <w:color w:val="000000" w:themeColor="text1"/>
          <w:kern w:val="0"/>
          <w:sz w:val="22"/>
        </w:rPr>
        <w:t>Abcam</w:t>
      </w:r>
      <w:r w:rsidRPr="001014D0">
        <w:rPr>
          <w:rFonts w:ascii="Arial" w:hAnsi="Arial" w:cs="Arial"/>
          <w:color w:val="000000" w:themeColor="text1"/>
          <w:sz w:val="22"/>
        </w:rPr>
        <w:t>), STX6 (Cell Signaling Technology), GOLPH3 (LifeSpan Biosciences, Seattle, WA, USA), ATF6 (Abcam), IRE1</w:t>
      </w:r>
      <w:r w:rsidRPr="001014D0">
        <w:rPr>
          <w:rFonts w:ascii="Arial" w:eastAsia="맑은 고딕" w:hAnsi="Arial" w:cs="Arial"/>
          <w:color w:val="000000" w:themeColor="text1"/>
          <w:sz w:val="22"/>
        </w:rPr>
        <w:t>α (</w:t>
      </w:r>
      <w:r w:rsidRPr="001014D0">
        <w:rPr>
          <w:rFonts w:ascii="Arial" w:hAnsi="Arial" w:cs="Arial"/>
          <w:color w:val="000000" w:themeColor="text1"/>
          <w:sz w:val="22"/>
        </w:rPr>
        <w:t>Cell Signaling Technology), phospho-IRE1</w:t>
      </w:r>
      <w:r w:rsidRPr="001014D0">
        <w:rPr>
          <w:rFonts w:ascii="Arial" w:eastAsia="맑은 고딕" w:hAnsi="Arial" w:cs="Arial"/>
          <w:color w:val="000000" w:themeColor="text1"/>
          <w:sz w:val="22"/>
        </w:rPr>
        <w:t>α</w:t>
      </w:r>
      <w:r w:rsidRPr="001014D0">
        <w:rPr>
          <w:rFonts w:ascii="Arial" w:hAnsi="Arial" w:cs="Arial"/>
          <w:color w:val="000000" w:themeColor="text1"/>
          <w:sz w:val="22"/>
        </w:rPr>
        <w:t xml:space="preserve"> (Novus Biologicals), PERK (Cell Signaling Technology), phospho-PERK (Cell Signaling Technology), CHOP (Cell Signaling Technology), BIP (Cell Signaling Technology), GRP94 (Cell Signaling Technology), HSP70 (Abcam) and </w:t>
      </w:r>
      <w:r w:rsidRPr="001014D0">
        <w:rPr>
          <w:rFonts w:ascii="Arial" w:hAnsi="Arial" w:cs="Arial"/>
          <w:sz w:val="22"/>
        </w:rPr>
        <w:t>HSP90 (Cell Signaling Technology). The membranes were washed and incubated with the appropriate secondary antibodies for 1 hour at room temperature. Western blot images were analyzed using a</w:t>
      </w:r>
      <w:r>
        <w:rPr>
          <w:rFonts w:ascii="Arial" w:hAnsi="Arial" w:cs="Arial"/>
          <w:sz w:val="22"/>
        </w:rPr>
        <w:t>n</w:t>
      </w:r>
      <w:r w:rsidRPr="001014D0">
        <w:rPr>
          <w:rFonts w:ascii="Arial" w:hAnsi="Arial" w:cs="Arial"/>
          <w:sz w:val="22"/>
        </w:rPr>
        <w:t xml:space="preserve"> LAS 4000 mini camera (Fujifilm, Tokyo, Japan). For immunoprecipitation assays, immune complexes of MT-KIT were collected by mixing 500 µg </w:t>
      </w:r>
      <w:r>
        <w:rPr>
          <w:rFonts w:ascii="Arial" w:eastAsia="맑은 고딕" w:hAnsi="Arial" w:cs="Arial"/>
          <w:sz w:val="22"/>
        </w:rPr>
        <w:t xml:space="preserve">of GIST cell lysate with a KIT antibody (Cell Signaling Technology) and protein A/G PLUS-Agarose (Santa Cruz Biotechnology), then gently rocking on an orbital shaker at 4 °C overnight. Immune complexes bound to </w:t>
      </w:r>
      <w:r w:rsidRPr="001014D0">
        <w:rPr>
          <w:rFonts w:ascii="Arial" w:hAnsi="Arial" w:cs="Arial"/>
          <w:sz w:val="22"/>
        </w:rPr>
        <w:t>agarose beads were washed and boiled with 3× NuPAGE LDS Sample Buffer (Thermo Fisher Scientific) to elute the complexes. The relative density of each band was quantified using ImageJ software</w:t>
      </w:r>
      <w:r>
        <w:rPr>
          <w:rFonts w:ascii="Arial" w:eastAsia="맑은 고딕" w:hAnsi="Arial" w:cs="Arial"/>
          <w:sz w:val="22"/>
        </w:rPr>
        <w:t xml:space="preserve"> (NIH).</w:t>
      </w:r>
    </w:p>
    <w:p w:rsidR="00132700" w:rsidRDefault="00132700" w:rsidP="00CB78B8">
      <w:pPr>
        <w:spacing w:line="360" w:lineRule="auto"/>
        <w:rPr>
          <w:rFonts w:ascii="Arial" w:hAnsi="Arial" w:cs="Arial"/>
          <w:b/>
          <w:sz w:val="22"/>
        </w:rPr>
      </w:pPr>
    </w:p>
    <w:p w:rsidR="00CB78B8" w:rsidRPr="001014D0" w:rsidRDefault="00CB78B8" w:rsidP="00CB78B8">
      <w:pPr>
        <w:spacing w:line="360" w:lineRule="auto"/>
        <w:rPr>
          <w:rFonts w:ascii="Arial" w:hAnsi="Arial" w:cs="Arial"/>
          <w:b/>
          <w:sz w:val="22"/>
        </w:rPr>
      </w:pPr>
      <w:r w:rsidRPr="001014D0">
        <w:rPr>
          <w:rFonts w:ascii="Arial" w:hAnsi="Arial" w:cs="Arial"/>
          <w:b/>
          <w:sz w:val="22"/>
        </w:rPr>
        <w:t xml:space="preserve">Biotinylation assay </w:t>
      </w:r>
    </w:p>
    <w:p w:rsidR="00CB78B8" w:rsidRPr="001014D0" w:rsidRDefault="00CB78B8" w:rsidP="00CB78B8">
      <w:pPr>
        <w:spacing w:line="360" w:lineRule="auto"/>
        <w:rPr>
          <w:rFonts w:ascii="Arial" w:hAnsi="Arial" w:cs="Arial"/>
          <w:b/>
          <w:sz w:val="22"/>
        </w:rPr>
      </w:pPr>
      <w:r w:rsidRPr="001014D0">
        <w:rPr>
          <w:rFonts w:ascii="Arial" w:hAnsi="Arial" w:cs="Arial"/>
          <w:sz w:val="22"/>
        </w:rPr>
        <w:t xml:space="preserve">DLD-1, Colo320DM, GIST430, and GIST882 cells were biotin-labeled for 30 minutes, </w:t>
      </w:r>
      <w:r>
        <w:rPr>
          <w:rFonts w:ascii="Arial" w:eastAsia="맑은 고딕" w:hAnsi="Arial" w:cs="Arial"/>
          <w:sz w:val="22"/>
        </w:rPr>
        <w:t>washed extensively</w:t>
      </w:r>
      <w:r w:rsidRPr="001014D0">
        <w:rPr>
          <w:rFonts w:ascii="Arial" w:hAnsi="Arial" w:cs="Arial"/>
          <w:sz w:val="22"/>
        </w:rPr>
        <w:t xml:space="preserve">, and harvested for further analysis. To analyze membranous MT-KIT stability, GIST cells were harvested at predefined incubation times. Subsequently, </w:t>
      </w:r>
      <w:r>
        <w:rPr>
          <w:rFonts w:ascii="Arial" w:eastAsia="맑은 고딕" w:hAnsi="Arial" w:cs="Arial"/>
          <w:sz w:val="22"/>
        </w:rPr>
        <w:t>the labeled proteins were isolated and eluted using the Pierce Cell Surface Protein Isolation Kit (</w:t>
      </w:r>
      <w:r w:rsidRPr="001014D0">
        <w:rPr>
          <w:rFonts w:ascii="Arial" w:hAnsi="Arial" w:cs="Arial"/>
          <w:sz w:val="22"/>
        </w:rPr>
        <w:t xml:space="preserve">Thermo Fisher Scientific, </w:t>
      </w:r>
      <w:r w:rsidRPr="001014D0">
        <w:rPr>
          <w:rFonts w:ascii="Arial" w:hAnsi="Arial" w:cs="Arial"/>
          <w:sz w:val="22"/>
        </w:rPr>
        <w:lastRenderedPageBreak/>
        <w:t xml:space="preserve">Waltham, MA, USA) according to the manufacturer’s instructions. Because of the low expression of membranous MT-KIT in GIST cells, biotinylation assays for GIST cells were performed with twice the amount of lysate compared to those used for DLD-1 and Colo320DM cells. </w:t>
      </w:r>
    </w:p>
    <w:p w:rsidR="00CB78B8" w:rsidRPr="001014D0" w:rsidRDefault="00CB78B8" w:rsidP="00CB78B8">
      <w:pPr>
        <w:spacing w:line="360" w:lineRule="auto"/>
        <w:rPr>
          <w:rFonts w:ascii="Arial" w:hAnsi="Arial" w:cs="Arial"/>
          <w:sz w:val="22"/>
        </w:rPr>
      </w:pPr>
    </w:p>
    <w:p w:rsidR="00CB78B8" w:rsidRPr="001014D0" w:rsidRDefault="00CB78B8" w:rsidP="00CB78B8">
      <w:pPr>
        <w:spacing w:line="360" w:lineRule="auto"/>
        <w:rPr>
          <w:rFonts w:ascii="Arial" w:hAnsi="Arial" w:cs="Arial"/>
          <w:b/>
          <w:sz w:val="22"/>
        </w:rPr>
      </w:pPr>
      <w:r w:rsidRPr="001014D0">
        <w:rPr>
          <w:rFonts w:ascii="Arial" w:hAnsi="Arial" w:cs="Arial"/>
          <w:b/>
          <w:sz w:val="22"/>
        </w:rPr>
        <w:t>Immunofluorescence</w:t>
      </w:r>
    </w:p>
    <w:p w:rsidR="00CB78B8" w:rsidRDefault="00CB78B8" w:rsidP="00CB78B8">
      <w:pPr>
        <w:spacing w:line="360" w:lineRule="auto"/>
        <w:rPr>
          <w:rFonts w:ascii="Arial" w:hAnsi="Arial" w:cs="Arial"/>
          <w:color w:val="000000" w:themeColor="text1"/>
          <w:sz w:val="22"/>
        </w:rPr>
      </w:pPr>
      <w:r w:rsidRPr="001014D0">
        <w:rPr>
          <w:rFonts w:ascii="Arial" w:hAnsi="Arial" w:cs="Arial"/>
          <w:color w:val="000000" w:themeColor="text1"/>
          <w:sz w:val="22"/>
        </w:rPr>
        <w:t>Cells grown on slides were rinsed with phosphate-buffered saline (PBS), fixed with 4% paraformaldehyde or 100% methanol for 15 minutes, and permeabilized in 0.2% Triton X-100 in PBS. The slides were incubated overnight</w:t>
      </w:r>
      <w:r>
        <w:rPr>
          <w:rFonts w:ascii="Arial" w:eastAsia="맑은 고딕" w:hAnsi="Arial" w:cs="Arial"/>
          <w:color w:val="000000"/>
          <w:sz w:val="22"/>
        </w:rPr>
        <w:t xml:space="preserve"> at 4 °C with primary antibodies against KIT (Cell Signaling Technology), </w:t>
      </w:r>
      <w:r w:rsidRPr="001014D0">
        <w:rPr>
          <w:rFonts w:ascii="Arial" w:hAnsi="Arial" w:cs="Arial"/>
          <w:color w:val="000000" w:themeColor="text1"/>
          <w:sz w:val="22"/>
        </w:rPr>
        <w:t>calnexin (Cell Signaling Technology), GM130 (Cell Signaling Technology), mannosidase II (</w:t>
      </w:r>
      <w:r w:rsidRPr="001014D0">
        <w:rPr>
          <w:rFonts w:ascii="Arial" w:hAnsi="Arial" w:cs="Arial"/>
          <w:color w:val="000000" w:themeColor="text1"/>
          <w:kern w:val="0"/>
          <w:sz w:val="22"/>
        </w:rPr>
        <w:t>Abcam</w:t>
      </w:r>
      <w:r w:rsidRPr="001014D0">
        <w:rPr>
          <w:rFonts w:ascii="Arial" w:hAnsi="Arial" w:cs="Arial"/>
          <w:color w:val="000000" w:themeColor="text1"/>
          <w:sz w:val="22"/>
        </w:rPr>
        <w:t>), Golgin-97 (Cell Signaling Technology), HA (Cell Signaling Technology), BLZF1 (Novus Biologicals), LAMP1 (Cell Signaling Technology), and ATF6 (</w:t>
      </w:r>
      <w:r w:rsidRPr="001014D0">
        <w:rPr>
          <w:rFonts w:ascii="Arial" w:hAnsi="Arial" w:cs="Arial"/>
          <w:color w:val="000000" w:themeColor="text1"/>
          <w:kern w:val="0"/>
          <w:sz w:val="22"/>
        </w:rPr>
        <w:t>Abcam</w:t>
      </w:r>
      <w:r w:rsidRPr="001014D0">
        <w:rPr>
          <w:rFonts w:ascii="Arial" w:hAnsi="Arial" w:cs="Arial"/>
          <w:color w:val="000000" w:themeColor="text1"/>
          <w:sz w:val="22"/>
        </w:rPr>
        <w:t xml:space="preserve">). The slides were </w:t>
      </w:r>
      <w:r>
        <w:rPr>
          <w:rFonts w:ascii="Arial" w:eastAsia="맑은 고딕" w:hAnsi="Arial" w:cs="Arial"/>
          <w:color w:val="000000"/>
          <w:sz w:val="22"/>
        </w:rPr>
        <w:t>then incubated for 1 h</w:t>
      </w:r>
      <w:r w:rsidRPr="001014D0">
        <w:rPr>
          <w:rFonts w:ascii="Arial" w:hAnsi="Arial" w:cs="Arial"/>
          <w:color w:val="000000" w:themeColor="text1"/>
          <w:sz w:val="22"/>
        </w:rPr>
        <w:t xml:space="preserve">our with the appropriate fluorescence-labeled secondary antibody (Life Technologies). All images were captured using an LSM700 confocal microscope (Carl Zeiss, Oberkochen, Germany). </w:t>
      </w:r>
    </w:p>
    <w:p w:rsidR="00CB78B8" w:rsidRPr="001014D0" w:rsidRDefault="00CB78B8" w:rsidP="00CB78B8">
      <w:pPr>
        <w:spacing w:line="360" w:lineRule="auto"/>
        <w:rPr>
          <w:rFonts w:ascii="Arial" w:hAnsi="Arial" w:cs="Arial"/>
          <w:color w:val="000000" w:themeColor="text1"/>
          <w:sz w:val="22"/>
        </w:rPr>
      </w:pPr>
    </w:p>
    <w:p w:rsidR="00CB78B8" w:rsidRPr="001014D0" w:rsidRDefault="00CB78B8" w:rsidP="00CB78B8">
      <w:pPr>
        <w:spacing w:line="360" w:lineRule="auto"/>
        <w:rPr>
          <w:rFonts w:ascii="Arial" w:hAnsi="Arial" w:cs="Arial"/>
          <w:b/>
          <w:sz w:val="22"/>
        </w:rPr>
      </w:pPr>
      <w:r w:rsidRPr="001014D0">
        <w:rPr>
          <w:rFonts w:ascii="Arial" w:hAnsi="Arial" w:cs="Arial"/>
          <w:b/>
          <w:sz w:val="22"/>
        </w:rPr>
        <w:t xml:space="preserve">Internalization and decay analysis of MT-KIT </w:t>
      </w:r>
    </w:p>
    <w:p w:rsidR="00CB78B8" w:rsidRDefault="00CB78B8" w:rsidP="00CB78B8">
      <w:pPr>
        <w:spacing w:line="360" w:lineRule="auto"/>
        <w:rPr>
          <w:rFonts w:ascii="Arial" w:hAnsi="Arial" w:cs="Arial"/>
          <w:sz w:val="22"/>
        </w:rPr>
      </w:pPr>
      <w:r w:rsidRPr="001014D0">
        <w:rPr>
          <w:rFonts w:ascii="Arial" w:hAnsi="Arial" w:cs="Arial"/>
          <w:sz w:val="22"/>
        </w:rPr>
        <w:t xml:space="preserve">GIST cells grown on slides were washed </w:t>
      </w:r>
      <w:r>
        <w:rPr>
          <w:rFonts w:ascii="Arial" w:eastAsia="맑은 고딕" w:hAnsi="Arial" w:cs="Arial"/>
          <w:sz w:val="22"/>
        </w:rPr>
        <w:t>three times with ice-cold serum-free medium</w:t>
      </w:r>
      <w:r w:rsidRPr="001014D0">
        <w:rPr>
          <w:rFonts w:ascii="Arial" w:hAnsi="Arial" w:cs="Arial"/>
          <w:sz w:val="22"/>
        </w:rPr>
        <w:t xml:space="preserve"> and incubated with KIT antibody conjugated with a </w:t>
      </w:r>
      <w:r w:rsidRPr="001014D0">
        <w:rPr>
          <w:rFonts w:ascii="Arial" w:hAnsi="Arial" w:cs="Arial"/>
          <w:color w:val="000000" w:themeColor="text1"/>
          <w:sz w:val="22"/>
        </w:rPr>
        <w:t>fluorescent dye (Alexa Fluor 488, Cell Signaling Technology) in ice-cold serum-free medium for 30 min</w:t>
      </w:r>
      <w:r>
        <w:rPr>
          <w:rFonts w:ascii="Arial" w:hAnsi="Arial" w:cs="Arial"/>
          <w:color w:val="000000" w:themeColor="text1"/>
          <w:sz w:val="22"/>
        </w:rPr>
        <w:t>utes</w:t>
      </w:r>
      <w:r w:rsidRPr="001014D0">
        <w:rPr>
          <w:rFonts w:ascii="Arial" w:hAnsi="Arial" w:cs="Arial"/>
          <w:color w:val="000000" w:themeColor="text1"/>
          <w:sz w:val="22"/>
        </w:rPr>
        <w:t xml:space="preserve">. The cells were washed with cold serum-free medium to remove </w:t>
      </w:r>
      <w:r w:rsidRPr="001014D0">
        <w:rPr>
          <w:rFonts w:ascii="Arial" w:hAnsi="Arial" w:cs="Arial"/>
          <w:sz w:val="22"/>
        </w:rPr>
        <w:t>excess antibodies and incubated at 37</w:t>
      </w:r>
      <w:r>
        <w:rPr>
          <w:rFonts w:ascii="Arial" w:hAnsi="Arial" w:cs="Arial"/>
          <w:sz w:val="22"/>
        </w:rPr>
        <w:t xml:space="preserve"> </w:t>
      </w:r>
      <w:r w:rsidRPr="001014D0">
        <w:rPr>
          <w:rFonts w:ascii="Arial" w:hAnsi="Arial" w:cs="Arial"/>
          <w:sz w:val="22"/>
        </w:rPr>
        <w:t>°C for various time</w:t>
      </w:r>
      <w:r>
        <w:rPr>
          <w:rFonts w:ascii="Arial" w:hAnsi="Arial" w:cs="Arial"/>
          <w:sz w:val="22"/>
        </w:rPr>
        <w:t>point</w:t>
      </w:r>
      <w:r w:rsidRPr="001014D0">
        <w:rPr>
          <w:rFonts w:ascii="Arial" w:hAnsi="Arial" w:cs="Arial"/>
          <w:sz w:val="22"/>
        </w:rPr>
        <w:t xml:space="preserve">s. Cells were fixed in 4% paraformaldehyde in PBS and processed for immunofluorescence analysis. Colocalization of MT-KIT with EEA1 (Abcam), LAMP1 (Cell Signaling Technology), and GM130 (Cell Signaling Technology) was examined. </w:t>
      </w:r>
    </w:p>
    <w:p w:rsidR="00CB78B8" w:rsidRDefault="00CB78B8" w:rsidP="00CB78B8">
      <w:pPr>
        <w:spacing w:line="360" w:lineRule="auto"/>
        <w:rPr>
          <w:rFonts w:ascii="Arial" w:hAnsi="Arial" w:cs="Arial"/>
          <w:color w:val="FF0000"/>
          <w:sz w:val="22"/>
        </w:rPr>
      </w:pPr>
    </w:p>
    <w:p w:rsidR="00CB78B8" w:rsidRPr="001014D0" w:rsidRDefault="00CB78B8" w:rsidP="00CB78B8">
      <w:pPr>
        <w:spacing w:line="360" w:lineRule="auto"/>
        <w:rPr>
          <w:rFonts w:ascii="Arial" w:hAnsi="Arial" w:cs="Arial"/>
          <w:b/>
          <w:color w:val="0000FF"/>
          <w:sz w:val="22"/>
        </w:rPr>
      </w:pPr>
      <w:r w:rsidRPr="001014D0">
        <w:rPr>
          <w:rFonts w:ascii="Arial" w:hAnsi="Arial" w:cs="Arial"/>
          <w:b/>
          <w:sz w:val="22"/>
        </w:rPr>
        <w:t xml:space="preserve">Cell viability assay </w:t>
      </w:r>
    </w:p>
    <w:p w:rsidR="00CB78B8" w:rsidRPr="001014D0" w:rsidRDefault="00CB78B8" w:rsidP="00CB78B8">
      <w:pPr>
        <w:spacing w:line="360" w:lineRule="auto"/>
        <w:rPr>
          <w:rFonts w:ascii="Arial" w:hAnsi="Arial" w:cs="Arial"/>
          <w:color w:val="000000" w:themeColor="text1"/>
          <w:sz w:val="22"/>
        </w:rPr>
      </w:pPr>
      <w:r w:rsidRPr="001014D0">
        <w:rPr>
          <w:rFonts w:ascii="Arial" w:hAnsi="Arial" w:cs="Arial"/>
          <w:color w:val="000000" w:themeColor="text1"/>
          <w:sz w:val="22"/>
        </w:rPr>
        <w:t>Cell viability was analyzed using the 3-(4,5-dimethylthiazol-2-yl)-2,5-diphenyl-2H-tetrazolium bromide (MTT) assay. GIST cells were seeded in 96-well plates at a density of 3 × 10</w:t>
      </w:r>
      <w:r w:rsidRPr="001014D0">
        <w:rPr>
          <w:rFonts w:ascii="Arial" w:hAnsi="Arial" w:cs="Arial"/>
          <w:color w:val="000000" w:themeColor="text1"/>
          <w:sz w:val="22"/>
          <w:vertAlign w:val="superscript"/>
        </w:rPr>
        <w:t>4</w:t>
      </w:r>
      <w:r w:rsidRPr="001014D0">
        <w:rPr>
          <w:rFonts w:ascii="Arial" w:hAnsi="Arial" w:cs="Arial"/>
          <w:color w:val="000000" w:themeColor="text1"/>
          <w:sz w:val="22"/>
        </w:rPr>
        <w:t xml:space="preserve"> cells/well and treated with PF429242, Ceapin-A7, or melatonin with or without thapsigargin, borteazomib, 17AAG, or imatinib for 72 hours. MTT (5 mg</w:t>
      </w:r>
      <w:r>
        <w:rPr>
          <w:rFonts w:ascii="Arial" w:hAnsi="Arial" w:cs="Arial"/>
          <w:color w:val="000000" w:themeColor="text1"/>
          <w:sz w:val="22"/>
        </w:rPr>
        <w:t xml:space="preserve"> </w:t>
      </w:r>
      <w:r w:rsidRPr="001014D0">
        <w:rPr>
          <w:rFonts w:ascii="Arial" w:hAnsi="Arial" w:cs="Arial"/>
          <w:color w:val="000000" w:themeColor="text1"/>
          <w:sz w:val="22"/>
        </w:rPr>
        <w:t>ml</w:t>
      </w:r>
      <w:r w:rsidRPr="007F4307">
        <w:rPr>
          <w:rFonts w:ascii="Arial" w:hAnsi="Arial" w:cs="Arial"/>
          <w:color w:val="000000" w:themeColor="text1"/>
          <w:sz w:val="22"/>
          <w:vertAlign w:val="superscript"/>
        </w:rPr>
        <w:t>-1</w:t>
      </w:r>
      <w:r w:rsidRPr="001014D0">
        <w:rPr>
          <w:rFonts w:ascii="Arial" w:hAnsi="Arial" w:cs="Arial"/>
          <w:color w:val="000000" w:themeColor="text1"/>
          <w:sz w:val="22"/>
        </w:rPr>
        <w:t xml:space="preserve">) solution was </w:t>
      </w:r>
      <w:r>
        <w:rPr>
          <w:rFonts w:ascii="Arial" w:eastAsia="맑은 고딕" w:hAnsi="Arial" w:cs="Arial"/>
          <w:color w:val="000000"/>
          <w:sz w:val="22"/>
        </w:rPr>
        <w:t xml:space="preserve">then added to the plates and incubated at 37 °C for 4 </w:t>
      </w:r>
      <w:r w:rsidRPr="001014D0">
        <w:rPr>
          <w:rFonts w:ascii="Arial" w:hAnsi="Arial" w:cs="Arial"/>
          <w:color w:val="000000" w:themeColor="text1"/>
          <w:sz w:val="22"/>
        </w:rPr>
        <w:t xml:space="preserve">hours. After the formazan crystals were dissolved in DMSO, the OD was measured at 570 nm using a microplate reader. This experiment was performed </w:t>
      </w:r>
      <w:r>
        <w:rPr>
          <w:rFonts w:ascii="Arial" w:hAnsi="Arial" w:cs="Arial"/>
          <w:color w:val="000000" w:themeColor="text1"/>
          <w:sz w:val="22"/>
        </w:rPr>
        <w:lastRenderedPageBreak/>
        <w:t>with or without</w:t>
      </w:r>
      <w:r w:rsidRPr="001014D0">
        <w:rPr>
          <w:rFonts w:ascii="Arial" w:hAnsi="Arial" w:cs="Arial"/>
          <w:color w:val="000000" w:themeColor="text1"/>
          <w:sz w:val="22"/>
        </w:rPr>
        <w:t xml:space="preserve"> TG. </w:t>
      </w:r>
    </w:p>
    <w:p w:rsidR="00CB78B8" w:rsidRPr="001014D0" w:rsidRDefault="00CB78B8" w:rsidP="00CB78B8">
      <w:pPr>
        <w:spacing w:line="360" w:lineRule="auto"/>
        <w:rPr>
          <w:rFonts w:ascii="Arial" w:hAnsi="Arial" w:cs="Arial"/>
          <w:sz w:val="22"/>
        </w:rPr>
      </w:pPr>
    </w:p>
    <w:p w:rsidR="00CB78B8" w:rsidRPr="001014D0" w:rsidRDefault="00CB78B8" w:rsidP="00CB78B8">
      <w:pPr>
        <w:spacing w:line="360" w:lineRule="auto"/>
        <w:rPr>
          <w:rFonts w:ascii="Arial" w:hAnsi="Arial" w:cs="Arial"/>
          <w:color w:val="000000" w:themeColor="text1"/>
          <w:sz w:val="22"/>
        </w:rPr>
      </w:pPr>
      <w:r w:rsidRPr="001014D0">
        <w:rPr>
          <w:rFonts w:ascii="Arial" w:hAnsi="Arial" w:cs="Arial"/>
          <w:b/>
          <w:color w:val="000000" w:themeColor="text1"/>
          <w:sz w:val="22"/>
          <w:szCs w:val="20"/>
        </w:rPr>
        <w:t>shRNA for gene silencing</w:t>
      </w:r>
    </w:p>
    <w:p w:rsidR="00CB78B8" w:rsidRDefault="00CB78B8" w:rsidP="00CB78B8">
      <w:pPr>
        <w:spacing w:line="360" w:lineRule="auto"/>
        <w:rPr>
          <w:rFonts w:ascii="Arial" w:eastAsia="맑은 고딕" w:hAnsi="Arial" w:cs="Arial"/>
          <w:color w:val="000000"/>
          <w:sz w:val="22"/>
          <w:szCs w:val="20"/>
        </w:rPr>
      </w:pPr>
      <w:r w:rsidRPr="001014D0">
        <w:rPr>
          <w:rFonts w:ascii="Arial" w:hAnsi="Arial" w:cs="Arial"/>
          <w:color w:val="000000" w:themeColor="text1"/>
          <w:sz w:val="22"/>
          <w:szCs w:val="20"/>
        </w:rPr>
        <w:t xml:space="preserve">Short hairpin RNA (shRNA) against BLZF1 (gene ID: 8548) was purchased from the shRNA library of </w:t>
      </w:r>
      <w:r>
        <w:rPr>
          <w:rFonts w:ascii="Arial" w:eastAsia="맑은 고딕" w:hAnsi="Arial" w:cs="Arial"/>
          <w:color w:val="000000"/>
          <w:sz w:val="22"/>
          <w:szCs w:val="20"/>
        </w:rPr>
        <w:t xml:space="preserve">the RNAi Consortium (TRC) provided by the </w:t>
      </w:r>
      <w:r w:rsidRPr="001014D0">
        <w:rPr>
          <w:rFonts w:ascii="Arial" w:hAnsi="Arial" w:cs="Arial"/>
          <w:color w:val="000000" w:themeColor="text1"/>
          <w:sz w:val="22"/>
          <w:szCs w:val="20"/>
        </w:rPr>
        <w:t xml:space="preserve">Yonsei Genome Center (Seoul, Korea). GIST cells were transfected with </w:t>
      </w:r>
      <w:r>
        <w:rPr>
          <w:rFonts w:ascii="Arial" w:eastAsia="맑은 고딕" w:hAnsi="Arial" w:cs="Arial"/>
          <w:color w:val="000000"/>
          <w:sz w:val="22"/>
          <w:szCs w:val="20"/>
        </w:rPr>
        <w:t xml:space="preserve">the TRC2-pLKO-puro vector containing </w:t>
      </w:r>
      <w:r w:rsidRPr="001014D0">
        <w:rPr>
          <w:rFonts w:ascii="Arial" w:hAnsi="Arial" w:cs="Arial"/>
          <w:color w:val="000000" w:themeColor="text1"/>
          <w:sz w:val="22"/>
          <w:szCs w:val="20"/>
        </w:rPr>
        <w:t>shRNA for BLZF1</w:t>
      </w:r>
      <w:r>
        <w:rPr>
          <w:rFonts w:ascii="Arial" w:eastAsia="맑은 고딕" w:hAnsi="Arial" w:cs="Arial"/>
          <w:color w:val="000000"/>
          <w:sz w:val="22"/>
          <w:szCs w:val="20"/>
        </w:rPr>
        <w:t>, and the MTT assay was performed 72 hours after transfection.</w:t>
      </w:r>
    </w:p>
    <w:p w:rsidR="00CB78B8" w:rsidRPr="00CB78B8" w:rsidRDefault="00CB78B8" w:rsidP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CB78B8" w:rsidRDefault="00CB78B8">
      <w:pPr>
        <w:rPr>
          <w:rFonts w:ascii="Arial" w:hAnsi="Arial" w:cs="Arial"/>
          <w:b/>
          <w:sz w:val="24"/>
        </w:rPr>
      </w:pPr>
    </w:p>
    <w:p w:rsidR="00132700" w:rsidRDefault="00132700">
      <w:pPr>
        <w:rPr>
          <w:rFonts w:ascii="Arial" w:hAnsi="Arial" w:cs="Arial"/>
          <w:b/>
          <w:sz w:val="24"/>
        </w:rPr>
      </w:pPr>
    </w:p>
    <w:p w:rsidR="00132700" w:rsidRDefault="00132700">
      <w:pPr>
        <w:rPr>
          <w:rFonts w:ascii="Arial" w:hAnsi="Arial" w:cs="Arial"/>
          <w:b/>
          <w:sz w:val="24"/>
        </w:rPr>
      </w:pPr>
    </w:p>
    <w:p w:rsidR="00132700" w:rsidRDefault="00132700">
      <w:pPr>
        <w:rPr>
          <w:rFonts w:ascii="Arial" w:hAnsi="Arial" w:cs="Arial"/>
          <w:b/>
          <w:sz w:val="24"/>
        </w:rPr>
      </w:pPr>
    </w:p>
    <w:p w:rsidR="00132700" w:rsidRDefault="00132700">
      <w:pPr>
        <w:rPr>
          <w:rFonts w:ascii="Arial" w:hAnsi="Arial" w:cs="Arial"/>
          <w:b/>
          <w:sz w:val="24"/>
        </w:rPr>
      </w:pPr>
    </w:p>
    <w:p w:rsidR="00132700" w:rsidRDefault="00132700">
      <w:pPr>
        <w:rPr>
          <w:rFonts w:ascii="Arial" w:hAnsi="Arial" w:cs="Arial"/>
          <w:b/>
          <w:sz w:val="24"/>
        </w:rPr>
      </w:pPr>
    </w:p>
    <w:p w:rsidR="00132700" w:rsidRDefault="00132700">
      <w:pPr>
        <w:rPr>
          <w:rFonts w:ascii="Arial" w:hAnsi="Arial" w:cs="Arial"/>
          <w:b/>
          <w:sz w:val="24"/>
        </w:rPr>
      </w:pPr>
    </w:p>
    <w:p w:rsidR="0088233C" w:rsidRPr="0088233C" w:rsidRDefault="0088233C" w:rsidP="00CB78B8">
      <w:pPr>
        <w:rPr>
          <w:rFonts w:ascii="Arial" w:hAnsi="Arial" w:cs="Arial" w:hint="eastAsia"/>
          <w:b/>
          <w:sz w:val="22"/>
          <w:szCs w:val="20"/>
        </w:rPr>
      </w:pPr>
      <w:bookmarkStart w:id="0" w:name="_GoBack"/>
      <w:bookmarkEnd w:id="0"/>
    </w:p>
    <w:sectPr w:rsidR="0088233C" w:rsidRPr="0088233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2670" w:rsidRDefault="00A22670" w:rsidP="00CB78B8">
      <w:pPr>
        <w:spacing w:after="0" w:line="240" w:lineRule="auto"/>
      </w:pPr>
      <w:r>
        <w:separator/>
      </w:r>
    </w:p>
  </w:endnote>
  <w:endnote w:type="continuationSeparator" w:id="0">
    <w:p w:rsidR="00A22670" w:rsidRDefault="00A22670" w:rsidP="00CB7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2670" w:rsidRDefault="00A22670" w:rsidP="00CB78B8">
      <w:pPr>
        <w:spacing w:after="0" w:line="240" w:lineRule="auto"/>
      </w:pPr>
      <w:r>
        <w:separator/>
      </w:r>
    </w:p>
  </w:footnote>
  <w:footnote w:type="continuationSeparator" w:id="0">
    <w:p w:rsidR="00A22670" w:rsidRDefault="00A22670" w:rsidP="00CB78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7D4"/>
    <w:rsid w:val="00012DE4"/>
    <w:rsid w:val="00065CB8"/>
    <w:rsid w:val="00093369"/>
    <w:rsid w:val="00132700"/>
    <w:rsid w:val="002077D4"/>
    <w:rsid w:val="002E59CD"/>
    <w:rsid w:val="0034402D"/>
    <w:rsid w:val="005F10BC"/>
    <w:rsid w:val="006E4B88"/>
    <w:rsid w:val="00725B38"/>
    <w:rsid w:val="0088233C"/>
    <w:rsid w:val="009D144C"/>
    <w:rsid w:val="00A22670"/>
    <w:rsid w:val="00A335C3"/>
    <w:rsid w:val="00AF20B5"/>
    <w:rsid w:val="00BB421E"/>
    <w:rsid w:val="00C33FCF"/>
    <w:rsid w:val="00CB78B8"/>
    <w:rsid w:val="00E8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C07DB3"/>
  <w15:chartTrackingRefBased/>
  <w15:docId w15:val="{747D1BAE-B79F-4709-AD10-8E681C0F9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8B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78B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B78B8"/>
  </w:style>
  <w:style w:type="paragraph" w:styleId="a4">
    <w:name w:val="footer"/>
    <w:basedOn w:val="a"/>
    <w:link w:val="Char0"/>
    <w:uiPriority w:val="99"/>
    <w:unhideWhenUsed/>
    <w:rsid w:val="00CB78B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B78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775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권유진</dc:creator>
  <cp:keywords/>
  <dc:description/>
  <cp:lastModifiedBy>권유진</cp:lastModifiedBy>
  <cp:revision>2</cp:revision>
  <dcterms:created xsi:type="dcterms:W3CDTF">2022-09-19T15:44:00Z</dcterms:created>
  <dcterms:modified xsi:type="dcterms:W3CDTF">2022-09-19T15:44:00Z</dcterms:modified>
</cp:coreProperties>
</file>