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0850" w:rsidRDefault="002077D4">
      <w:pPr>
        <w:rPr>
          <w:rFonts w:ascii="Arial" w:hAnsi="Arial" w:cs="Arial"/>
          <w:b/>
          <w:sz w:val="24"/>
        </w:rPr>
      </w:pPr>
      <w:r w:rsidRPr="00065CB8">
        <w:rPr>
          <w:rFonts w:ascii="Arial" w:hAnsi="Arial" w:cs="Arial"/>
          <w:b/>
          <w:sz w:val="24"/>
        </w:rPr>
        <w:t>Supplementary Figures</w:t>
      </w:r>
    </w:p>
    <w:p w:rsidR="00065CB8" w:rsidRPr="00065CB8" w:rsidRDefault="00065CB8">
      <w:pPr>
        <w:rPr>
          <w:rFonts w:ascii="Arial" w:hAnsi="Arial" w:cs="Arial"/>
          <w:b/>
          <w:sz w:val="24"/>
        </w:rPr>
      </w:pPr>
    </w:p>
    <w:p w:rsidR="002077D4" w:rsidRPr="002077D4" w:rsidRDefault="002077D4">
      <w:pPr>
        <w:rPr>
          <w:rFonts w:ascii="Arial" w:hAnsi="Arial" w:cs="Arial"/>
          <w:b/>
          <w:sz w:val="22"/>
        </w:rPr>
      </w:pPr>
      <w:r>
        <w:rPr>
          <w:noProof/>
        </w:rPr>
        <w:drawing>
          <wp:inline distT="0" distB="0" distL="0" distR="0" wp14:anchorId="37721063" wp14:editId="2DEB7132">
            <wp:extent cx="5731510" cy="258445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2584450"/>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S1. GIST patients frequently show perinuclear mutant KIT (MT-KIT) expression.</w:t>
      </w:r>
      <w:r w:rsidRPr="001014D0">
        <w:rPr>
          <w:rFonts w:ascii="Arial" w:hAnsi="Arial" w:cs="Arial"/>
          <w:color w:val="000000" w:themeColor="text1"/>
          <w:sz w:val="22"/>
        </w:rPr>
        <w:t xml:space="preserve"> Immunohistochemistry analysis of tissues </w:t>
      </w:r>
      <w:r>
        <w:rPr>
          <w:rFonts w:ascii="Arial" w:hAnsi="Arial" w:cs="Arial"/>
          <w:color w:val="000000" w:themeColor="text1"/>
          <w:sz w:val="22"/>
        </w:rPr>
        <w:t xml:space="preserve">from </w:t>
      </w:r>
      <w:r w:rsidRPr="001014D0">
        <w:rPr>
          <w:rFonts w:ascii="Arial" w:hAnsi="Arial" w:cs="Arial"/>
          <w:color w:val="000000" w:themeColor="text1"/>
          <w:sz w:val="22"/>
        </w:rPr>
        <w:t>patient</w:t>
      </w:r>
      <w:r>
        <w:rPr>
          <w:rFonts w:ascii="Arial" w:hAnsi="Arial" w:cs="Arial"/>
          <w:color w:val="000000" w:themeColor="text1"/>
          <w:sz w:val="22"/>
        </w:rPr>
        <w:t>s with</w:t>
      </w:r>
      <w:r w:rsidRPr="001014D0">
        <w:rPr>
          <w:rFonts w:ascii="Arial" w:hAnsi="Arial" w:cs="Arial"/>
          <w:color w:val="000000" w:themeColor="text1"/>
          <w:sz w:val="22"/>
        </w:rPr>
        <w:t xml:space="preserve"> GIST (n = 42) was performed to evaluate the perinuclear expression of MT-KIT. The perinuclear expression status was classified into low, intermediate</w:t>
      </w:r>
      <w:r>
        <w:rPr>
          <w:rFonts w:ascii="Arial" w:hAnsi="Arial" w:cs="Arial"/>
          <w:color w:val="000000" w:themeColor="text1"/>
          <w:sz w:val="22"/>
        </w:rPr>
        <w:t>,</w:t>
      </w:r>
      <w:r w:rsidRPr="001014D0">
        <w:rPr>
          <w:rFonts w:ascii="Arial" w:hAnsi="Arial" w:cs="Arial"/>
          <w:color w:val="000000" w:themeColor="text1"/>
          <w:sz w:val="22"/>
        </w:rPr>
        <w:t xml:space="preserve"> and high categories. </w:t>
      </w:r>
    </w:p>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2077D4"/>
    <w:p w:rsidR="002077D4" w:rsidRDefault="005F10BC" w:rsidP="005F10BC">
      <w:pPr>
        <w:wordWrap/>
        <w:adjustRightInd w:val="0"/>
        <w:spacing w:after="0" w:line="360" w:lineRule="auto"/>
        <w:ind w:firstLineChars="550" w:firstLine="1210"/>
        <w:rPr>
          <w:rFonts w:ascii="Arial" w:hAnsi="Arial" w:cs="Arial"/>
          <w:b/>
          <w:color w:val="000000" w:themeColor="text1"/>
          <w:sz w:val="22"/>
        </w:rPr>
      </w:pPr>
      <w:r>
        <w:rPr>
          <w:rFonts w:ascii="Arial" w:hAnsi="Arial" w:cs="Arial"/>
          <w:b/>
          <w:noProof/>
          <w:color w:val="000000" w:themeColor="text1"/>
          <w:sz w:val="22"/>
        </w:rPr>
        <w:drawing>
          <wp:inline distT="0" distB="0" distL="0" distR="0" wp14:anchorId="22F84F16">
            <wp:extent cx="4102735" cy="299339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02735" cy="2993390"/>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 xml:space="preserve">Supplementary Figure S2. GIST430 cells with heterozygous exon 11 deletion mutation in </w:t>
      </w:r>
      <w:r w:rsidRPr="001014D0">
        <w:rPr>
          <w:rFonts w:ascii="Arial" w:hAnsi="Arial" w:cs="Arial"/>
          <w:b/>
          <w:i/>
          <w:color w:val="000000" w:themeColor="text1"/>
          <w:sz w:val="22"/>
        </w:rPr>
        <w:t>KIT</w:t>
      </w:r>
      <w:r w:rsidRPr="001014D0">
        <w:rPr>
          <w:rFonts w:ascii="Arial" w:hAnsi="Arial" w:cs="Arial"/>
          <w:b/>
          <w:color w:val="000000" w:themeColor="text1"/>
          <w:sz w:val="22"/>
        </w:rPr>
        <w:t xml:space="preserve"> predominantly express mutant KIT mRNAs.</w:t>
      </w:r>
      <w:r w:rsidRPr="001014D0">
        <w:rPr>
          <w:rFonts w:ascii="Arial" w:hAnsi="Arial" w:cs="Arial"/>
        </w:rPr>
        <w:t xml:space="preserve"> </w:t>
      </w:r>
      <w:r w:rsidRPr="001014D0">
        <w:rPr>
          <w:rFonts w:ascii="Arial" w:hAnsi="Arial" w:cs="Arial"/>
          <w:b/>
          <w:color w:val="000000" w:themeColor="text1"/>
          <w:sz w:val="22"/>
        </w:rPr>
        <w:t>A</w:t>
      </w:r>
      <w:r>
        <w:rPr>
          <w:rFonts w:ascii="Arial" w:hAnsi="Arial" w:cs="Arial"/>
          <w:b/>
          <w:color w:val="000000" w:themeColor="text1"/>
          <w:sz w:val="22"/>
        </w:rPr>
        <w:t>.</w:t>
      </w:r>
      <w:r w:rsidRPr="001014D0">
        <w:rPr>
          <w:rFonts w:ascii="Arial" w:hAnsi="Arial" w:cs="Arial"/>
          <w:color w:val="000000" w:themeColor="text1"/>
          <w:sz w:val="22"/>
        </w:rPr>
        <w:t xml:space="preserve"> Schematic representation of </w:t>
      </w:r>
      <w:r w:rsidRPr="001014D0">
        <w:rPr>
          <w:rFonts w:ascii="Arial" w:hAnsi="Arial" w:cs="Arial"/>
          <w:i/>
          <w:color w:val="000000" w:themeColor="text1"/>
          <w:sz w:val="22"/>
        </w:rPr>
        <w:t>KIT</w:t>
      </w:r>
      <w:r w:rsidRPr="001014D0">
        <w:rPr>
          <w:rFonts w:ascii="Arial" w:hAnsi="Arial" w:cs="Arial"/>
          <w:color w:val="000000" w:themeColor="text1"/>
          <w:sz w:val="22"/>
        </w:rPr>
        <w:t xml:space="preserve"> gene showing an exon 11 deletion mutation which GIST430 cells contain. </w:t>
      </w:r>
      <w:r w:rsidRPr="001014D0">
        <w:rPr>
          <w:rFonts w:ascii="Arial" w:hAnsi="Arial" w:cs="Arial"/>
          <w:b/>
          <w:color w:val="000000" w:themeColor="text1"/>
          <w:sz w:val="22"/>
        </w:rPr>
        <w:t>B</w:t>
      </w:r>
      <w:r>
        <w:rPr>
          <w:rFonts w:ascii="Arial" w:hAnsi="Arial" w:cs="Arial"/>
          <w:b/>
          <w:color w:val="000000" w:themeColor="text1"/>
          <w:sz w:val="22"/>
        </w:rPr>
        <w:t>.</w:t>
      </w:r>
      <w:r w:rsidRPr="001014D0">
        <w:rPr>
          <w:rFonts w:ascii="Arial" w:hAnsi="Arial" w:cs="Arial"/>
          <w:color w:val="000000" w:themeColor="text1"/>
          <w:sz w:val="22"/>
        </w:rPr>
        <w:t xml:space="preserve"> Agarose gel electrophoresis analysis of PCR products obtained by performing RT-PCR with cDNA from GIST430 cells. The upper and lower band is the </w:t>
      </w:r>
      <w:r>
        <w:rPr>
          <w:rFonts w:ascii="Arial" w:hAnsi="Arial" w:cs="Arial"/>
          <w:color w:val="000000" w:themeColor="text1"/>
          <w:sz w:val="22"/>
        </w:rPr>
        <w:t>WT-</w:t>
      </w:r>
      <w:r w:rsidRPr="001014D0">
        <w:rPr>
          <w:rFonts w:ascii="Arial" w:hAnsi="Arial" w:cs="Arial"/>
          <w:i/>
          <w:color w:val="000000" w:themeColor="text1"/>
          <w:sz w:val="22"/>
        </w:rPr>
        <w:t>KIT</w:t>
      </w:r>
      <w:r w:rsidRPr="001014D0">
        <w:rPr>
          <w:rFonts w:ascii="Arial" w:hAnsi="Arial" w:cs="Arial"/>
          <w:color w:val="000000" w:themeColor="text1"/>
          <w:sz w:val="22"/>
        </w:rPr>
        <w:t xml:space="preserve"> and </w:t>
      </w:r>
      <w:r>
        <w:rPr>
          <w:rFonts w:ascii="Arial" w:hAnsi="Arial" w:cs="Arial"/>
          <w:color w:val="000000" w:themeColor="text1"/>
          <w:sz w:val="22"/>
        </w:rPr>
        <w:t>MT-</w:t>
      </w:r>
      <w:r w:rsidRPr="001014D0">
        <w:rPr>
          <w:rFonts w:ascii="Arial" w:hAnsi="Arial" w:cs="Arial"/>
          <w:i/>
          <w:color w:val="000000" w:themeColor="text1"/>
          <w:sz w:val="22"/>
        </w:rPr>
        <w:t>KIT</w:t>
      </w:r>
      <w:r w:rsidRPr="001014D0">
        <w:rPr>
          <w:rFonts w:ascii="Arial" w:hAnsi="Arial" w:cs="Arial"/>
          <w:color w:val="000000" w:themeColor="text1"/>
          <w:sz w:val="22"/>
        </w:rPr>
        <w:t xml:space="preserve"> mRNA, respectively. This experiment was performed in triplicate. Band intensity was quantified using ImageJ.</w:t>
      </w: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5F10BC" w:rsidP="002077D4">
      <w:pPr>
        <w:wordWrap/>
        <w:adjustRightInd w:val="0"/>
        <w:spacing w:after="0" w:line="360" w:lineRule="auto"/>
        <w:rPr>
          <w:rFonts w:ascii="Arial" w:hAnsi="Arial" w:cs="Arial"/>
          <w:color w:val="00B050"/>
          <w:sz w:val="22"/>
        </w:rPr>
      </w:pPr>
      <w:r>
        <w:rPr>
          <w:rFonts w:ascii="Arial" w:hAnsi="Arial" w:cs="Arial"/>
          <w:noProof/>
          <w:color w:val="00B050"/>
          <w:sz w:val="22"/>
        </w:rPr>
        <w:drawing>
          <wp:inline distT="0" distB="0" distL="0" distR="0" wp14:anchorId="09935004">
            <wp:extent cx="5723181" cy="4334542"/>
            <wp:effectExtent l="0" t="0" r="0" b="889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1914" cy="4356303"/>
                    </a:xfrm>
                    <a:prstGeom prst="rect">
                      <a:avLst/>
                    </a:prstGeom>
                    <a:noFill/>
                  </pic:spPr>
                </pic:pic>
              </a:graphicData>
            </a:graphic>
          </wp:inline>
        </w:drawing>
      </w:r>
    </w:p>
    <w:p w:rsidR="002077D4"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S3. Membranous MT-KIT is internalized and degraded without retrieval to the Golgi complex.</w:t>
      </w:r>
      <w:r w:rsidRPr="001014D0">
        <w:rPr>
          <w:rFonts w:ascii="Arial" w:hAnsi="Arial" w:cs="Arial"/>
          <w:color w:val="000000" w:themeColor="text1"/>
          <w:sz w:val="22"/>
        </w:rPr>
        <w:t xml:space="preserve"> </w:t>
      </w:r>
      <w:r w:rsidRPr="001014D0">
        <w:rPr>
          <w:rFonts w:ascii="Arial" w:hAnsi="Arial" w:cs="Arial"/>
          <w:b/>
          <w:color w:val="000000" w:themeColor="text1"/>
          <w:sz w:val="22"/>
        </w:rPr>
        <w:t>A-C</w:t>
      </w:r>
      <w:r>
        <w:rPr>
          <w:rFonts w:ascii="Arial" w:hAnsi="Arial" w:cs="Arial"/>
          <w:b/>
          <w:color w:val="000000" w:themeColor="text1"/>
          <w:sz w:val="22"/>
        </w:rPr>
        <w:t>.</w:t>
      </w:r>
      <w:r w:rsidRPr="001014D0">
        <w:rPr>
          <w:rFonts w:ascii="Arial" w:hAnsi="Arial" w:cs="Arial"/>
          <w:color w:val="000000" w:themeColor="text1"/>
          <w:sz w:val="22"/>
        </w:rPr>
        <w:t xml:space="preserve"> Time-course confocal microscopic analysis of KIT, GM130 (a cis-Golgi marker), EEA1 (an early endosome marker), and </w:t>
      </w:r>
      <w:r w:rsidRPr="0064202F">
        <w:rPr>
          <w:rFonts w:ascii="Arial" w:hAnsi="Arial" w:cs="Arial"/>
          <w:color w:val="000000" w:themeColor="text1"/>
          <w:sz w:val="22"/>
        </w:rPr>
        <w:t xml:space="preserve">LAMP1 (a lysosome </w:t>
      </w:r>
      <w:r w:rsidRPr="001014D0">
        <w:rPr>
          <w:rFonts w:ascii="Arial" w:hAnsi="Arial" w:cs="Arial"/>
          <w:color w:val="000000" w:themeColor="text1"/>
          <w:sz w:val="22"/>
        </w:rPr>
        <w:t>marker) in GIST882 cells. GIST cells were labeled with a KIT antibody conjugated with a fluorescent dye, incubated for the indicated times, and analyzed for immunofluorescence.</w:t>
      </w: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E59CD" w:rsidP="002E59CD">
      <w:pPr>
        <w:wordWrap/>
        <w:adjustRightInd w:val="0"/>
        <w:spacing w:after="0" w:line="360" w:lineRule="auto"/>
        <w:ind w:firstLineChars="50" w:firstLine="110"/>
        <w:rPr>
          <w:rFonts w:ascii="Arial" w:hAnsi="Arial" w:cs="Arial"/>
          <w:color w:val="000000" w:themeColor="text1"/>
          <w:sz w:val="22"/>
        </w:rPr>
      </w:pPr>
      <w:r>
        <w:rPr>
          <w:rFonts w:ascii="Arial" w:hAnsi="Arial" w:cs="Arial"/>
          <w:noProof/>
          <w:color w:val="000000" w:themeColor="text1"/>
          <w:sz w:val="22"/>
        </w:rPr>
        <w:drawing>
          <wp:inline distT="0" distB="0" distL="0" distR="0" wp14:anchorId="45A8C617">
            <wp:extent cx="5762732" cy="3204613"/>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94821" cy="3222457"/>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S4. Membranous MT-KIT is rapidly degraded by the plasma-membrane quality-control system. A</w:t>
      </w:r>
      <w:r>
        <w:rPr>
          <w:rFonts w:ascii="Arial" w:hAnsi="Arial" w:cs="Arial"/>
          <w:b/>
          <w:color w:val="000000" w:themeColor="text1"/>
          <w:sz w:val="22"/>
        </w:rPr>
        <w:t>.</w:t>
      </w:r>
      <w:r w:rsidRPr="001014D0">
        <w:rPr>
          <w:rFonts w:ascii="Arial" w:hAnsi="Arial" w:cs="Arial"/>
          <w:color w:val="000000" w:themeColor="text1"/>
          <w:sz w:val="22"/>
        </w:rPr>
        <w:t xml:space="preserve"> The stability of WT-KIT over time was measured by western blotting after treatment of DLD-1 and Colo320DM cells with CHX. </w:t>
      </w:r>
      <w:r w:rsidRPr="001014D0">
        <w:rPr>
          <w:rFonts w:ascii="Arial" w:hAnsi="Arial" w:cs="Arial"/>
          <w:b/>
          <w:color w:val="000000" w:themeColor="text1"/>
          <w:sz w:val="22"/>
        </w:rPr>
        <w:t>B,</w:t>
      </w:r>
      <w:r w:rsidRPr="001014D0">
        <w:rPr>
          <w:rFonts w:ascii="Arial" w:hAnsi="Arial" w:cs="Arial"/>
          <w:color w:val="000000" w:themeColor="text1"/>
          <w:sz w:val="22"/>
        </w:rPr>
        <w:t xml:space="preserve"> The stability of MT-KIT over time was measured by biotin-labeling surface proteins, streptavidin pull-down, and western using GIST882 cells treated with or without a lysosomal inhibitor, Bafilomycin A1 (BafA1). Error bars in A and </w:t>
      </w:r>
      <w:r>
        <w:rPr>
          <w:rFonts w:ascii="Arial" w:hAnsi="Arial" w:cs="Arial" w:hint="eastAsia"/>
          <w:color w:val="000000" w:themeColor="text1"/>
          <w:sz w:val="22"/>
        </w:rPr>
        <w:t>B</w:t>
      </w:r>
      <w:r>
        <w:rPr>
          <w:rFonts w:ascii="Arial" w:hAnsi="Arial" w:cs="Arial"/>
          <w:color w:val="000000" w:themeColor="text1"/>
          <w:sz w:val="22"/>
        </w:rPr>
        <w:t xml:space="preserve"> r</w:t>
      </w:r>
      <w:r w:rsidRPr="001014D0">
        <w:rPr>
          <w:rFonts w:ascii="Arial" w:hAnsi="Arial" w:cs="Arial"/>
          <w:color w:val="000000" w:themeColor="text1"/>
          <w:sz w:val="22"/>
        </w:rPr>
        <w:t>epresent the SD of the mean of three independent experiments.</w:t>
      </w: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E59CD" w:rsidP="002E59CD">
      <w:pPr>
        <w:wordWrap/>
        <w:adjustRightInd w:val="0"/>
        <w:spacing w:after="0" w:line="360" w:lineRule="auto"/>
        <w:ind w:firstLineChars="900" w:firstLine="1980"/>
        <w:rPr>
          <w:rFonts w:ascii="Arial" w:hAnsi="Arial" w:cs="Arial"/>
          <w:color w:val="000000" w:themeColor="text1"/>
          <w:sz w:val="22"/>
        </w:rPr>
      </w:pPr>
      <w:r>
        <w:rPr>
          <w:rFonts w:ascii="Arial" w:hAnsi="Arial" w:cs="Arial"/>
          <w:noProof/>
          <w:color w:val="000000" w:themeColor="text1"/>
          <w:sz w:val="22"/>
        </w:rPr>
        <w:drawing>
          <wp:inline distT="0" distB="0" distL="0" distR="0" wp14:anchorId="359F73EC">
            <wp:extent cx="4151630" cy="3938270"/>
            <wp:effectExtent l="0" t="0" r="0" b="508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51630" cy="3938270"/>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S5. Brefeldin A, which blocks ER to Golgi trafficking, leads to ER retention of MT-KIT and disrupts the Golgi structure.</w:t>
      </w:r>
      <w:r w:rsidRPr="001014D0">
        <w:rPr>
          <w:rFonts w:ascii="Arial" w:hAnsi="Arial" w:cs="Arial"/>
          <w:color w:val="000000" w:themeColor="text1"/>
          <w:sz w:val="22"/>
        </w:rPr>
        <w:t xml:space="preserve"> Confocal microscopic analysis of GIST cells treated with Brefeldin A (BFA). GM130, KIT, and Calnexin (an ER marker) were examined. </w:t>
      </w: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E59CD" w:rsidP="002077D4">
      <w:pPr>
        <w:wordWrap/>
        <w:adjustRightInd w:val="0"/>
        <w:spacing w:after="0" w:line="360" w:lineRule="auto"/>
        <w:rPr>
          <w:rFonts w:ascii="Arial" w:hAnsi="Arial" w:cs="Arial"/>
          <w:color w:val="000000" w:themeColor="text1"/>
          <w:sz w:val="22"/>
        </w:rPr>
      </w:pPr>
      <w:r>
        <w:rPr>
          <w:rFonts w:ascii="Arial" w:hAnsi="Arial" w:cs="Arial"/>
          <w:noProof/>
          <w:color w:val="000000" w:themeColor="text1"/>
          <w:sz w:val="22"/>
        </w:rPr>
        <w:drawing>
          <wp:inline distT="0" distB="0" distL="0" distR="0" wp14:anchorId="451E333D">
            <wp:extent cx="5789429" cy="2942570"/>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64563" cy="2980758"/>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S6. 30N12, an inhibitor of trans-Golgi-to-plasma-membrane trafficking, causes retention of WT-KIT in the Golgi complex and perturbs SCF-activated KIT downstream signaling.</w:t>
      </w:r>
      <w:r w:rsidRPr="001014D0">
        <w:rPr>
          <w:rFonts w:ascii="Arial" w:hAnsi="Arial" w:cs="Arial"/>
          <w:color w:val="000000" w:themeColor="text1"/>
          <w:sz w:val="22"/>
        </w:rPr>
        <w:t xml:space="preserve"> </w:t>
      </w:r>
      <w:r w:rsidRPr="001014D0">
        <w:rPr>
          <w:rFonts w:ascii="Arial" w:hAnsi="Arial" w:cs="Arial"/>
          <w:b/>
          <w:color w:val="000000" w:themeColor="text1"/>
          <w:sz w:val="22"/>
        </w:rPr>
        <w:t>A</w:t>
      </w:r>
      <w:r>
        <w:rPr>
          <w:rFonts w:ascii="Arial" w:hAnsi="Arial" w:cs="Arial"/>
          <w:b/>
          <w:color w:val="000000" w:themeColor="text1"/>
          <w:sz w:val="22"/>
        </w:rPr>
        <w:t>.</w:t>
      </w:r>
      <w:r w:rsidRPr="001014D0">
        <w:rPr>
          <w:rFonts w:ascii="Arial" w:hAnsi="Arial" w:cs="Arial"/>
          <w:color w:val="000000" w:themeColor="text1"/>
          <w:sz w:val="22"/>
        </w:rPr>
        <w:t xml:space="preserve"> DLD-1 and Colo320DM cells were treated with of 1 µM or 10 µM 30N12 for 18 h. KIT and GM130 were examined using confocal microscopy. </w:t>
      </w:r>
      <w:r w:rsidRPr="001014D0">
        <w:rPr>
          <w:rFonts w:ascii="Arial" w:hAnsi="Arial" w:cs="Arial"/>
          <w:b/>
          <w:color w:val="000000" w:themeColor="text1"/>
          <w:sz w:val="22"/>
        </w:rPr>
        <w:t>B</w:t>
      </w:r>
      <w:r>
        <w:rPr>
          <w:rFonts w:ascii="Arial" w:hAnsi="Arial" w:cs="Arial"/>
          <w:b/>
          <w:color w:val="000000" w:themeColor="text1"/>
          <w:sz w:val="22"/>
        </w:rPr>
        <w:t>.</w:t>
      </w:r>
      <w:r w:rsidRPr="001014D0">
        <w:rPr>
          <w:rFonts w:ascii="Arial" w:hAnsi="Arial" w:cs="Arial"/>
          <w:color w:val="000000" w:themeColor="text1"/>
          <w:sz w:val="22"/>
        </w:rPr>
        <w:t xml:space="preserve"> Western blotting of KIT downstream effector molecules in SCF-activated DLD-1 and Colo320DMa cells with or without pre-treatment with 1 µM or 10 µM 30N12.</w:t>
      </w: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E59CD" w:rsidP="002077D4">
      <w:pPr>
        <w:wordWrap/>
        <w:adjustRightInd w:val="0"/>
        <w:spacing w:after="0" w:line="360" w:lineRule="auto"/>
        <w:rPr>
          <w:rFonts w:ascii="Arial" w:hAnsi="Arial" w:cs="Arial"/>
          <w:color w:val="00B050"/>
          <w:sz w:val="22"/>
        </w:rPr>
      </w:pPr>
      <w:r>
        <w:rPr>
          <w:rFonts w:ascii="Arial" w:hAnsi="Arial" w:cs="Arial"/>
          <w:noProof/>
          <w:color w:val="00B050"/>
          <w:sz w:val="22"/>
        </w:rPr>
        <w:drawing>
          <wp:inline distT="0" distB="0" distL="0" distR="0" wp14:anchorId="18B9858F">
            <wp:extent cx="6518226" cy="2453926"/>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64200" cy="2471234"/>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S7. WT-KIT activates downstream signaling pathways at the plasma membrane by recruiting P85 and GRB2 to the plasma membrane.</w:t>
      </w:r>
      <w:r w:rsidRPr="001014D0">
        <w:rPr>
          <w:rFonts w:ascii="Arial" w:hAnsi="Arial" w:cs="Arial"/>
          <w:color w:val="000000" w:themeColor="text1"/>
          <w:sz w:val="22"/>
        </w:rPr>
        <w:t xml:space="preserve"> </w:t>
      </w:r>
      <w:r w:rsidRPr="001014D0">
        <w:rPr>
          <w:rFonts w:ascii="Arial" w:hAnsi="Arial" w:cs="Arial"/>
          <w:b/>
          <w:color w:val="000000" w:themeColor="text1"/>
          <w:sz w:val="22"/>
        </w:rPr>
        <w:t xml:space="preserve">A </w:t>
      </w:r>
      <w:r w:rsidRPr="00700132">
        <w:rPr>
          <w:rFonts w:ascii="Arial" w:hAnsi="Arial" w:cs="Arial"/>
          <w:bCs/>
          <w:color w:val="000000" w:themeColor="text1"/>
          <w:sz w:val="22"/>
        </w:rPr>
        <w:t>and</w:t>
      </w:r>
      <w:r w:rsidRPr="001014D0">
        <w:rPr>
          <w:rFonts w:ascii="Arial" w:hAnsi="Arial" w:cs="Arial"/>
          <w:b/>
          <w:color w:val="000000" w:themeColor="text1"/>
          <w:sz w:val="22"/>
        </w:rPr>
        <w:t xml:space="preserve"> B</w:t>
      </w:r>
      <w:r>
        <w:rPr>
          <w:rFonts w:ascii="Arial" w:hAnsi="Arial" w:cs="Arial"/>
          <w:b/>
          <w:color w:val="000000" w:themeColor="text1"/>
          <w:sz w:val="22"/>
        </w:rPr>
        <w:t>.</w:t>
      </w:r>
      <w:r w:rsidRPr="001014D0">
        <w:rPr>
          <w:rFonts w:ascii="Arial" w:hAnsi="Arial" w:cs="Arial"/>
          <w:color w:val="000000" w:themeColor="text1"/>
          <w:sz w:val="22"/>
        </w:rPr>
        <w:t xml:space="preserve"> After SCF treatment, confocal microscopic analysis was performed on DLD-1 and Colo320DM cells transfected with a HA-GRB2 or HA-P85 expression vector. GRB2 is the most upstream molecule of the MAPK/ERK pathway, and P85 is that of the PI3K/AKT pathway.</w:t>
      </w: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077D4" w:rsidP="002077D4">
      <w:pPr>
        <w:wordWrap/>
        <w:adjustRightInd w:val="0"/>
        <w:spacing w:after="0" w:line="360" w:lineRule="auto"/>
        <w:rPr>
          <w:rFonts w:ascii="Arial" w:hAnsi="Arial" w:cs="Arial"/>
          <w:color w:val="000000" w:themeColor="text1"/>
          <w:sz w:val="22"/>
        </w:rPr>
      </w:pPr>
    </w:p>
    <w:p w:rsidR="002077D4" w:rsidRDefault="002E59CD" w:rsidP="00725B38">
      <w:pPr>
        <w:wordWrap/>
        <w:adjustRightInd w:val="0"/>
        <w:spacing w:after="0" w:line="360" w:lineRule="auto"/>
        <w:rPr>
          <w:rFonts w:ascii="Arial" w:hAnsi="Arial" w:cs="Arial"/>
          <w:color w:val="000000" w:themeColor="text1"/>
          <w:sz w:val="22"/>
        </w:rPr>
      </w:pPr>
      <w:r>
        <w:rPr>
          <w:rFonts w:ascii="Arial" w:hAnsi="Arial" w:cs="Arial"/>
          <w:noProof/>
          <w:color w:val="000000" w:themeColor="text1"/>
          <w:sz w:val="22"/>
        </w:rPr>
        <w:drawing>
          <wp:inline distT="0" distB="0" distL="0" distR="0" wp14:anchorId="0B216A4E">
            <wp:extent cx="5846445" cy="4389755"/>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46445" cy="4389755"/>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S8. Colocalization of KIT with BLZF1 is not observed in</w:t>
      </w:r>
      <w:r>
        <w:rPr>
          <w:rFonts w:ascii="Arial" w:hAnsi="Arial" w:cs="Arial"/>
          <w:b/>
          <w:color w:val="000000" w:themeColor="text1"/>
          <w:sz w:val="22"/>
        </w:rPr>
        <w:t xml:space="preserve"> CC </w:t>
      </w:r>
      <w:r w:rsidRPr="001014D0">
        <w:rPr>
          <w:rFonts w:ascii="Arial" w:hAnsi="Arial" w:cs="Arial"/>
          <w:b/>
          <w:color w:val="000000" w:themeColor="text1"/>
          <w:sz w:val="22"/>
        </w:rPr>
        <w:t>(Colo320DM) and leukemia (HMC-1) cells expressing WT-KIT and MT-KIT, respectively.</w:t>
      </w:r>
      <w:r w:rsidRPr="001014D0">
        <w:rPr>
          <w:rFonts w:ascii="Arial" w:hAnsi="Arial" w:cs="Arial"/>
          <w:color w:val="000000" w:themeColor="text1"/>
          <w:sz w:val="22"/>
        </w:rPr>
        <w:t xml:space="preserve"> Confocal microscopic analysis of KIT, GM130, and BLZF1 was performed in Colo320DM and HMC-1 cells. </w:t>
      </w: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725B38" w:rsidP="00725B38">
      <w:pPr>
        <w:wordWrap/>
        <w:adjustRightInd w:val="0"/>
        <w:spacing w:after="0" w:line="360" w:lineRule="auto"/>
        <w:ind w:firstLineChars="600" w:firstLine="1320"/>
        <w:rPr>
          <w:rFonts w:ascii="Arial" w:hAnsi="Arial" w:cs="Arial"/>
          <w:b/>
          <w:color w:val="000000" w:themeColor="text1"/>
          <w:sz w:val="22"/>
        </w:rPr>
      </w:pPr>
      <w:r>
        <w:rPr>
          <w:rFonts w:ascii="Arial" w:hAnsi="Arial" w:cs="Arial"/>
          <w:b/>
          <w:noProof/>
          <w:color w:val="000000" w:themeColor="text1"/>
          <w:sz w:val="22"/>
        </w:rPr>
        <w:drawing>
          <wp:inline distT="0" distB="0" distL="0" distR="0" wp14:anchorId="22E9D1D2">
            <wp:extent cx="3944620" cy="1926590"/>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44620" cy="1926590"/>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S9. BLZF1 knock-down strongly suppresses KIT expression and growth of imatinib-resistant GIST cells. A</w:t>
      </w:r>
      <w:r>
        <w:rPr>
          <w:rFonts w:ascii="Arial" w:hAnsi="Arial" w:cs="Arial"/>
          <w:b/>
          <w:color w:val="000000" w:themeColor="text1"/>
          <w:sz w:val="22"/>
        </w:rPr>
        <w:t>.</w:t>
      </w:r>
      <w:r w:rsidRPr="001014D0">
        <w:rPr>
          <w:rFonts w:ascii="Arial" w:hAnsi="Arial" w:cs="Arial"/>
          <w:color w:val="000000" w:themeColor="text1"/>
          <w:sz w:val="22"/>
        </w:rPr>
        <w:t xml:space="preserve"> Expression of KIT and BLZF1 were measured by western blotting in imatinib-resistant GIST cell lines (GIST48 and GIST430-V654A) treated with BLZF1 shRNA. </w:t>
      </w:r>
      <w:r w:rsidRPr="001014D0">
        <w:rPr>
          <w:rFonts w:ascii="Arial" w:hAnsi="Arial" w:cs="Arial"/>
          <w:b/>
          <w:color w:val="000000" w:themeColor="text1"/>
          <w:sz w:val="22"/>
        </w:rPr>
        <w:t>B,</w:t>
      </w:r>
      <w:r w:rsidRPr="001014D0">
        <w:rPr>
          <w:rFonts w:ascii="Arial" w:hAnsi="Arial" w:cs="Arial"/>
          <w:color w:val="000000" w:themeColor="text1"/>
          <w:sz w:val="22"/>
        </w:rPr>
        <w:t xml:space="preserve"> Proliferation of GIST48 and GIST430-V654A cells was measured by MTT assay after 72 h</w:t>
      </w:r>
      <w:r>
        <w:rPr>
          <w:rFonts w:ascii="Arial" w:hAnsi="Arial" w:cs="Arial"/>
          <w:color w:val="000000" w:themeColor="text1"/>
          <w:sz w:val="22"/>
        </w:rPr>
        <w:t xml:space="preserve"> of</w:t>
      </w:r>
      <w:r w:rsidRPr="001014D0">
        <w:rPr>
          <w:rFonts w:ascii="Arial" w:hAnsi="Arial" w:cs="Arial"/>
          <w:color w:val="000000" w:themeColor="text1"/>
          <w:sz w:val="22"/>
        </w:rPr>
        <w:t xml:space="preserve"> treatment </w:t>
      </w:r>
      <w:r>
        <w:rPr>
          <w:rFonts w:ascii="Arial" w:hAnsi="Arial" w:cs="Arial"/>
          <w:color w:val="000000" w:themeColor="text1"/>
          <w:sz w:val="22"/>
        </w:rPr>
        <w:t>with</w:t>
      </w:r>
      <w:r w:rsidRPr="001014D0">
        <w:rPr>
          <w:rFonts w:ascii="Arial" w:hAnsi="Arial" w:cs="Arial"/>
          <w:color w:val="000000" w:themeColor="text1"/>
          <w:sz w:val="22"/>
        </w:rPr>
        <w:t xml:space="preserve"> BLZF1 shRNA. Error bars in B represent the SD of the mean of three independent experiments. </w:t>
      </w:r>
      <w:r>
        <w:rPr>
          <w:rFonts w:ascii="Arial" w:hAnsi="Arial" w:cs="Arial"/>
          <w:color w:val="000000" w:themeColor="text1"/>
          <w:sz w:val="22"/>
        </w:rPr>
        <w:t>O</w:t>
      </w:r>
      <w:r w:rsidRPr="001014D0">
        <w:rPr>
          <w:rFonts w:ascii="Arial" w:hAnsi="Arial" w:cs="Arial"/>
          <w:color w:val="000000" w:themeColor="text1"/>
          <w:sz w:val="22"/>
        </w:rPr>
        <w:t xml:space="preserve">ne-way ANOVA with a post-hoc test was performed to compare multiple means (*p &lt; 0.05, **p &lt; 0.01, ***p &lt; 0.001). </w:t>
      </w: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Default="002077D4" w:rsidP="002077D4">
      <w:pPr>
        <w:wordWrap/>
        <w:adjustRightInd w:val="0"/>
        <w:spacing w:after="0" w:line="360" w:lineRule="auto"/>
        <w:rPr>
          <w:rFonts w:ascii="Arial" w:hAnsi="Arial" w:cs="Arial"/>
          <w:b/>
          <w:color w:val="000000" w:themeColor="text1"/>
          <w:sz w:val="22"/>
        </w:rPr>
      </w:pPr>
    </w:p>
    <w:p w:rsidR="002077D4" w:rsidRPr="001014D0" w:rsidRDefault="00725B38" w:rsidP="00725B38">
      <w:pPr>
        <w:wordWrap/>
        <w:adjustRightInd w:val="0"/>
        <w:spacing w:after="0" w:line="360" w:lineRule="auto"/>
        <w:ind w:firstLineChars="400" w:firstLine="880"/>
        <w:rPr>
          <w:rFonts w:ascii="Arial" w:hAnsi="Arial" w:cs="Arial"/>
          <w:b/>
          <w:color w:val="000000" w:themeColor="text1"/>
          <w:sz w:val="22"/>
        </w:rPr>
      </w:pPr>
      <w:r>
        <w:rPr>
          <w:rFonts w:ascii="Arial" w:hAnsi="Arial" w:cs="Arial"/>
          <w:b/>
          <w:noProof/>
          <w:color w:val="000000" w:themeColor="text1"/>
          <w:sz w:val="22"/>
        </w:rPr>
        <w:drawing>
          <wp:inline distT="0" distB="0" distL="0" distR="0" wp14:anchorId="2DB7422C">
            <wp:extent cx="5035550" cy="2426335"/>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35550" cy="2426335"/>
                    </a:xfrm>
                    <a:prstGeom prst="rect">
                      <a:avLst/>
                    </a:prstGeom>
                    <a:noFill/>
                  </pic:spPr>
                </pic:pic>
              </a:graphicData>
            </a:graphic>
          </wp:inline>
        </w:drawing>
      </w:r>
    </w:p>
    <w:p w:rsidR="002077D4" w:rsidRPr="001014D0" w:rsidRDefault="002077D4" w:rsidP="002077D4">
      <w:pPr>
        <w:wordWrap/>
        <w:adjustRightInd w:val="0"/>
        <w:spacing w:after="0" w:line="360" w:lineRule="auto"/>
        <w:rPr>
          <w:rFonts w:ascii="Arial" w:hAnsi="Arial" w:cs="Arial"/>
          <w:color w:val="000000" w:themeColor="text1"/>
          <w:sz w:val="22"/>
        </w:rPr>
      </w:pPr>
      <w:r w:rsidRPr="001014D0">
        <w:rPr>
          <w:rFonts w:ascii="Arial" w:hAnsi="Arial" w:cs="Arial"/>
          <w:b/>
          <w:color w:val="000000" w:themeColor="text1"/>
          <w:sz w:val="22"/>
        </w:rPr>
        <w:t>Supplementary Figure S10. ATF6 inhibition delays the expression of chaperones in response to mild ER stress and subsequent ER-stress-mediated cell death.</w:t>
      </w:r>
      <w:r w:rsidRPr="001014D0">
        <w:rPr>
          <w:rFonts w:ascii="Arial" w:hAnsi="Arial" w:cs="Arial"/>
          <w:color w:val="000000" w:themeColor="text1"/>
          <w:sz w:val="22"/>
        </w:rPr>
        <w:t xml:space="preserve"> GIST cells were resensitized to mild ER stress (0.1 µM thapsigargin, TG) when the ATF6 pathway was inhibited by PF429242 (PF). The expression of chaperones (BIP, HSP70, HSP90, and GRP94) and a cell-death marker (CHOP) over time was measured by western blotting follow</w:t>
      </w:r>
      <w:r>
        <w:rPr>
          <w:rFonts w:ascii="Arial" w:hAnsi="Arial" w:cs="Arial"/>
          <w:color w:val="000000" w:themeColor="text1"/>
          <w:sz w:val="22"/>
        </w:rPr>
        <w:t>ing</w:t>
      </w:r>
      <w:r w:rsidRPr="001014D0">
        <w:rPr>
          <w:rFonts w:ascii="Arial" w:hAnsi="Arial" w:cs="Arial"/>
          <w:color w:val="000000" w:themeColor="text1"/>
          <w:sz w:val="22"/>
        </w:rPr>
        <w:t xml:space="preserve"> 0.1 µM TG treatment with or without PF. </w:t>
      </w: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Default="002077D4" w:rsidP="002077D4">
      <w:pPr>
        <w:wordWrap/>
        <w:adjustRightInd w:val="0"/>
        <w:spacing w:after="0" w:line="360" w:lineRule="auto"/>
        <w:rPr>
          <w:rFonts w:ascii="Arial" w:hAnsi="Arial" w:cs="Arial"/>
          <w:color w:val="00B050"/>
          <w:sz w:val="22"/>
        </w:rPr>
      </w:pPr>
    </w:p>
    <w:p w:rsidR="002077D4" w:rsidRPr="00725B38" w:rsidRDefault="00725B38" w:rsidP="00725B38">
      <w:pPr>
        <w:wordWrap/>
        <w:adjustRightInd w:val="0"/>
        <w:spacing w:after="0" w:line="360" w:lineRule="auto"/>
        <w:rPr>
          <w:rFonts w:ascii="Arial" w:hAnsi="Arial" w:cs="Arial"/>
          <w:color w:val="00B050"/>
          <w:sz w:val="22"/>
        </w:rPr>
      </w:pPr>
      <w:r>
        <w:rPr>
          <w:rFonts w:ascii="Arial" w:hAnsi="Arial" w:cs="Arial"/>
          <w:noProof/>
          <w:color w:val="00B050"/>
          <w:sz w:val="22"/>
        </w:rPr>
        <w:drawing>
          <wp:inline distT="0" distB="0" distL="0" distR="0" wp14:anchorId="1C955C54">
            <wp:extent cx="6029325" cy="5355771"/>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6">
                      <a:extLst>
                        <a:ext uri="{28A0092B-C50C-407E-A947-70E740481C1C}">
                          <a14:useLocalDpi xmlns:a14="http://schemas.microsoft.com/office/drawing/2010/main" val="0"/>
                        </a:ext>
                      </a:extLst>
                    </a:blip>
                    <a:srcRect b="8699"/>
                    <a:stretch/>
                  </pic:blipFill>
                  <pic:spPr bwMode="auto">
                    <a:xfrm>
                      <a:off x="0" y="0"/>
                      <a:ext cx="6053158" cy="5376942"/>
                    </a:xfrm>
                    <a:prstGeom prst="rect">
                      <a:avLst/>
                    </a:prstGeom>
                    <a:noFill/>
                    <a:ln>
                      <a:noFill/>
                    </a:ln>
                    <a:extLst>
                      <a:ext uri="{53640926-AAD7-44D8-BBD7-CCE9431645EC}">
                        <a14:shadowObscured xmlns:a14="http://schemas.microsoft.com/office/drawing/2010/main"/>
                      </a:ext>
                    </a:extLst>
                  </pic:spPr>
                </pic:pic>
              </a:graphicData>
            </a:graphic>
          </wp:inline>
        </w:drawing>
      </w:r>
      <w:r w:rsidR="002077D4" w:rsidRPr="003240D0">
        <w:rPr>
          <w:rFonts w:ascii="Arial" w:hAnsi="Arial" w:cs="Arial"/>
          <w:b/>
          <w:color w:val="000000" w:themeColor="text1"/>
          <w:sz w:val="22"/>
        </w:rPr>
        <w:t>Supplementary Figure S11. ATF6 inhibition efficiently suppresses GIST cell growth, irrespective of imatinib resistance and synergistic anti-tumor effect was observed when combined with ER stress-inducing drugs.</w:t>
      </w:r>
      <w:r w:rsidR="002077D4" w:rsidRPr="003240D0">
        <w:rPr>
          <w:rFonts w:ascii="Arial" w:hAnsi="Arial" w:cs="Arial"/>
          <w:color w:val="000000" w:themeColor="text1"/>
          <w:sz w:val="22"/>
        </w:rPr>
        <w:t xml:space="preserve"> Cell viability was measured by MTT assay in imatinib-sensitive GIST430 and GIST882 cells, and imatinib-resistant GIST48 and GIST430-V654A cells. GIST cells were treated with an ATF6 inhibitor alone (15 µM or 30 µM Ceapin-A7 and 0.5 mM or 1 mM melatonin) or </w:t>
      </w:r>
      <w:r w:rsidR="002077D4">
        <w:rPr>
          <w:rFonts w:ascii="Arial" w:hAnsi="Arial" w:cs="Arial"/>
          <w:color w:val="000000" w:themeColor="text1"/>
          <w:sz w:val="22"/>
        </w:rPr>
        <w:t xml:space="preserve">with </w:t>
      </w:r>
      <w:r w:rsidR="002077D4" w:rsidRPr="003240D0">
        <w:rPr>
          <w:rFonts w:ascii="Arial" w:hAnsi="Arial" w:cs="Arial"/>
          <w:color w:val="000000" w:themeColor="text1"/>
          <w:sz w:val="22"/>
        </w:rPr>
        <w:t xml:space="preserve">an ATF6 inhibitor and ER stress inducing drugs (0.5 µM 17AAG and 1 nM borteazomib) for 72 h. Imatinib (0.1 µM) was used as a positive control drug and synergistic effect with ATF6 inhibitors was analyzed. </w:t>
      </w:r>
    </w:p>
    <w:p w:rsidR="002077D4" w:rsidRDefault="002077D4" w:rsidP="002077D4">
      <w:pPr>
        <w:spacing w:line="360" w:lineRule="auto"/>
        <w:rPr>
          <w:rFonts w:ascii="Arial" w:hAnsi="Arial" w:cs="Arial"/>
        </w:rPr>
      </w:pPr>
    </w:p>
    <w:p w:rsidR="002077D4" w:rsidRDefault="002077D4" w:rsidP="002077D4">
      <w:pPr>
        <w:spacing w:line="360" w:lineRule="auto"/>
        <w:rPr>
          <w:rFonts w:ascii="Arial" w:hAnsi="Arial" w:cs="Arial"/>
        </w:rPr>
      </w:pPr>
    </w:p>
    <w:p w:rsidR="002077D4" w:rsidRDefault="002077D4" w:rsidP="002077D4">
      <w:pPr>
        <w:spacing w:line="360" w:lineRule="auto"/>
        <w:rPr>
          <w:rFonts w:ascii="Arial" w:hAnsi="Arial" w:cs="Arial"/>
        </w:rPr>
      </w:pPr>
    </w:p>
    <w:p w:rsidR="002077D4" w:rsidRDefault="00C33FCF" w:rsidP="002077D4">
      <w:pPr>
        <w:spacing w:line="360" w:lineRule="auto"/>
        <w:rPr>
          <w:rFonts w:ascii="Arial" w:hAnsi="Arial" w:cs="Arial"/>
        </w:rPr>
      </w:pPr>
      <w:r>
        <w:rPr>
          <w:rFonts w:ascii="Arial" w:hAnsi="Arial" w:cs="Arial"/>
          <w:noProof/>
        </w:rPr>
        <w:lastRenderedPageBreak/>
        <w:drawing>
          <wp:inline distT="0" distB="0" distL="0" distR="0" wp14:anchorId="5B41EDB9">
            <wp:extent cx="6071870" cy="1097280"/>
            <wp:effectExtent l="0" t="0" r="0" b="762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71870" cy="1097280"/>
                    </a:xfrm>
                    <a:prstGeom prst="rect">
                      <a:avLst/>
                    </a:prstGeom>
                    <a:noFill/>
                  </pic:spPr>
                </pic:pic>
              </a:graphicData>
            </a:graphic>
          </wp:inline>
        </w:drawing>
      </w:r>
    </w:p>
    <w:p w:rsidR="002077D4" w:rsidRPr="001014D0" w:rsidRDefault="002077D4" w:rsidP="002077D4">
      <w:pPr>
        <w:spacing w:line="360" w:lineRule="auto"/>
        <w:rPr>
          <w:rFonts w:ascii="Arial" w:hAnsi="Arial" w:cs="Arial"/>
          <w:b/>
          <w:color w:val="FF0000"/>
          <w:sz w:val="22"/>
        </w:rPr>
      </w:pPr>
      <w:r w:rsidRPr="001014D0">
        <w:rPr>
          <w:rFonts w:ascii="Arial" w:hAnsi="Arial" w:cs="Arial"/>
          <w:b/>
          <w:sz w:val="22"/>
        </w:rPr>
        <w:t xml:space="preserve">Supplementary Figure S12. Ceapin-A7 and melatonin strongly downregulate ATF6 activation and KIT expression. </w:t>
      </w:r>
      <w:r w:rsidRPr="001014D0">
        <w:rPr>
          <w:rFonts w:ascii="Arial" w:hAnsi="Arial" w:cs="Arial"/>
          <w:sz w:val="22"/>
        </w:rPr>
        <w:t xml:space="preserve">Western blotting </w:t>
      </w:r>
      <w:r w:rsidRPr="001014D0">
        <w:rPr>
          <w:rFonts w:ascii="Arial" w:hAnsi="Arial" w:cs="Arial"/>
          <w:color w:val="000000" w:themeColor="text1"/>
          <w:sz w:val="22"/>
        </w:rPr>
        <w:t>against to ATF6 and KIT was performed in GIST cells treated with 30 µM Ceapin-A7 and 1 mM melatonin for 24 h.</w:t>
      </w:r>
      <w:r w:rsidRPr="001014D0">
        <w:rPr>
          <w:rFonts w:ascii="Arial" w:hAnsi="Arial" w:cs="Arial"/>
          <w:b/>
          <w:color w:val="000000" w:themeColor="text1"/>
          <w:sz w:val="22"/>
        </w:rPr>
        <w:t xml:space="preserve"> </w:t>
      </w: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2077D4" w:rsidP="002077D4">
      <w:pPr>
        <w:spacing w:line="360" w:lineRule="auto"/>
        <w:rPr>
          <w:rFonts w:ascii="Arial" w:hAnsi="Arial" w:cs="Arial"/>
          <w:b/>
          <w:color w:val="00B050"/>
          <w:sz w:val="22"/>
        </w:rPr>
      </w:pPr>
    </w:p>
    <w:p w:rsidR="002077D4" w:rsidRDefault="00093369" w:rsidP="002077D4">
      <w:pPr>
        <w:spacing w:line="360" w:lineRule="auto"/>
        <w:rPr>
          <w:rFonts w:ascii="Arial" w:hAnsi="Arial" w:cs="Arial"/>
          <w:b/>
          <w:color w:val="00B050"/>
          <w:sz w:val="22"/>
        </w:rPr>
      </w:pPr>
      <w:r>
        <w:rPr>
          <w:rFonts w:ascii="Arial" w:hAnsi="Arial" w:cs="Arial"/>
          <w:b/>
          <w:noProof/>
          <w:color w:val="00B050"/>
          <w:sz w:val="22"/>
        </w:rPr>
        <w:lastRenderedPageBreak/>
        <w:drawing>
          <wp:inline distT="0" distB="0" distL="0" distR="0" wp14:anchorId="75E58AB0">
            <wp:extent cx="5925787" cy="8189481"/>
            <wp:effectExtent l="0" t="0" r="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1560" cy="8211279"/>
                    </a:xfrm>
                    <a:prstGeom prst="rect">
                      <a:avLst/>
                    </a:prstGeom>
                    <a:noFill/>
                  </pic:spPr>
                </pic:pic>
              </a:graphicData>
            </a:graphic>
          </wp:inline>
        </w:drawing>
      </w:r>
    </w:p>
    <w:p w:rsidR="002077D4" w:rsidRDefault="002077D4" w:rsidP="002077D4">
      <w:pPr>
        <w:spacing w:line="360" w:lineRule="auto"/>
        <w:rPr>
          <w:rFonts w:ascii="Arial" w:hAnsi="Arial" w:cs="Arial"/>
          <w:b/>
          <w:color w:val="00B050"/>
          <w:sz w:val="22"/>
        </w:rPr>
      </w:pPr>
    </w:p>
    <w:p w:rsidR="002077D4" w:rsidRPr="003240D0" w:rsidRDefault="002077D4" w:rsidP="002077D4">
      <w:pPr>
        <w:spacing w:line="360" w:lineRule="auto"/>
        <w:rPr>
          <w:rFonts w:ascii="Arial" w:hAnsi="Arial" w:cs="Arial"/>
          <w:color w:val="000000" w:themeColor="text1"/>
          <w:sz w:val="22"/>
        </w:rPr>
      </w:pPr>
      <w:r w:rsidRPr="003240D0">
        <w:rPr>
          <w:rFonts w:ascii="Arial" w:hAnsi="Arial" w:cs="Arial"/>
          <w:b/>
          <w:color w:val="000000" w:themeColor="text1"/>
          <w:sz w:val="22"/>
        </w:rPr>
        <w:lastRenderedPageBreak/>
        <w:t xml:space="preserve">Supplementary Figure S13. Anti-tumor effects of ATF6 inhibition and ATF6 with ER stress-inducing drugs </w:t>
      </w:r>
      <w:r>
        <w:rPr>
          <w:rFonts w:ascii="Arial" w:hAnsi="Arial" w:cs="Arial"/>
          <w:b/>
          <w:color w:val="000000" w:themeColor="text1"/>
          <w:sz w:val="22"/>
        </w:rPr>
        <w:t xml:space="preserve">is </w:t>
      </w:r>
      <w:r w:rsidRPr="003240D0">
        <w:rPr>
          <w:rFonts w:ascii="Arial" w:hAnsi="Arial" w:cs="Arial"/>
          <w:b/>
          <w:color w:val="000000" w:themeColor="text1"/>
          <w:sz w:val="22"/>
        </w:rPr>
        <w:t>augmented under thapsigargin treatment. A and B,</w:t>
      </w:r>
      <w:r w:rsidRPr="003240D0">
        <w:rPr>
          <w:rFonts w:ascii="Arial" w:hAnsi="Arial" w:cs="Arial"/>
          <w:color w:val="000000" w:themeColor="text1"/>
          <w:sz w:val="22"/>
        </w:rPr>
        <w:t xml:space="preserve"> Cell viability was measured by MTT assay in imatinib-sensitive GIST430 and GIST882 cells, and imatinib-resistant GIST48 and GIST430-V654A cells. GIST cells were treated with an ATF6 inhibitor alone </w:t>
      </w:r>
      <w:r w:rsidRPr="00BC0ED7">
        <w:rPr>
          <w:rFonts w:ascii="Arial" w:hAnsi="Arial" w:cs="Arial"/>
          <w:color w:val="000000" w:themeColor="text1"/>
          <w:sz w:val="22"/>
        </w:rPr>
        <w:t xml:space="preserve">(30 µM or 50 µM PF429242, 15 µM or 30 µM Ceapin-A7, and 0.5 mM or 1 mM melatonin) or an ATF6 inhibitor and ER stress inducing drugs (0.5 </w:t>
      </w:r>
      <w:r w:rsidRPr="003240D0">
        <w:rPr>
          <w:rFonts w:ascii="Arial" w:hAnsi="Arial" w:cs="Arial"/>
          <w:color w:val="000000" w:themeColor="text1"/>
          <w:sz w:val="22"/>
        </w:rPr>
        <w:t>µM 17AAG and 1 nM borteazomib) for 72 h. Imatinib (0.1 µM) was used as a positive control drug and synergistic effect with ATF6 inhibitors was analyzed. This experiment was performed under a mild ER stress condition (0</w:t>
      </w:r>
      <w:r>
        <w:rPr>
          <w:rFonts w:ascii="Arial" w:hAnsi="Arial" w:cs="Arial"/>
          <w:color w:val="000000" w:themeColor="text1"/>
          <w:sz w:val="22"/>
        </w:rPr>
        <w:t>.1 µM thapsigargin</w:t>
      </w:r>
      <w:r w:rsidRPr="003240D0">
        <w:rPr>
          <w:rFonts w:ascii="Arial" w:hAnsi="Arial" w:cs="Arial"/>
          <w:color w:val="000000" w:themeColor="text1"/>
          <w:sz w:val="22"/>
        </w:rPr>
        <w:t xml:space="preserve">) to mimic </w:t>
      </w:r>
      <w:r>
        <w:rPr>
          <w:rFonts w:ascii="Arial" w:hAnsi="Arial" w:cs="Arial"/>
          <w:color w:val="000000" w:themeColor="text1"/>
          <w:sz w:val="22"/>
        </w:rPr>
        <w:t xml:space="preserve">the </w:t>
      </w:r>
      <w:r w:rsidRPr="003240D0">
        <w:rPr>
          <w:rFonts w:ascii="Arial" w:hAnsi="Arial" w:cs="Arial"/>
          <w:color w:val="000000" w:themeColor="text1"/>
          <w:sz w:val="22"/>
        </w:rPr>
        <w:t xml:space="preserve">in vivo tumor microenvironment. </w:t>
      </w: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Default="002077D4" w:rsidP="002077D4">
      <w:pPr>
        <w:spacing w:line="360" w:lineRule="auto"/>
        <w:rPr>
          <w:rFonts w:ascii="Arial" w:hAnsi="Arial" w:cs="Arial"/>
          <w:color w:val="00B050"/>
          <w:sz w:val="22"/>
        </w:rPr>
      </w:pPr>
    </w:p>
    <w:p w:rsidR="002077D4" w:rsidRPr="001014D0" w:rsidRDefault="002077D4" w:rsidP="002077D4">
      <w:pPr>
        <w:spacing w:line="360" w:lineRule="auto"/>
        <w:rPr>
          <w:rFonts w:ascii="Arial" w:hAnsi="Arial" w:cs="Arial"/>
          <w:color w:val="00B050"/>
          <w:sz w:val="22"/>
        </w:rPr>
      </w:pPr>
    </w:p>
    <w:p w:rsidR="00093369" w:rsidRDefault="00093369" w:rsidP="002077D4">
      <w:pPr>
        <w:spacing w:line="360" w:lineRule="auto"/>
        <w:rPr>
          <w:rFonts w:ascii="Arial" w:hAnsi="Arial" w:cs="Arial"/>
          <w:b/>
          <w:color w:val="000000" w:themeColor="text1"/>
          <w:sz w:val="22"/>
        </w:rPr>
      </w:pPr>
      <w:r>
        <w:rPr>
          <w:rFonts w:ascii="Arial" w:hAnsi="Arial" w:cs="Arial"/>
          <w:b/>
          <w:noProof/>
          <w:color w:val="000000" w:themeColor="text1"/>
          <w:sz w:val="22"/>
        </w:rPr>
        <w:lastRenderedPageBreak/>
        <w:drawing>
          <wp:inline distT="0" distB="0" distL="0" distR="0" wp14:anchorId="12E83BA4">
            <wp:extent cx="5882879" cy="2357677"/>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10542" cy="2368764"/>
                    </a:xfrm>
                    <a:prstGeom prst="rect">
                      <a:avLst/>
                    </a:prstGeom>
                    <a:noFill/>
                  </pic:spPr>
                </pic:pic>
              </a:graphicData>
            </a:graphic>
          </wp:inline>
        </w:drawing>
      </w:r>
    </w:p>
    <w:p w:rsidR="002077D4" w:rsidRPr="0098781D" w:rsidRDefault="002077D4" w:rsidP="002077D4">
      <w:pPr>
        <w:spacing w:line="360" w:lineRule="auto"/>
        <w:rPr>
          <w:rFonts w:ascii="Arial" w:hAnsi="Arial" w:cs="Arial"/>
          <w:color w:val="000000" w:themeColor="text1"/>
          <w:sz w:val="22"/>
        </w:rPr>
      </w:pPr>
      <w:r w:rsidRPr="001014D0">
        <w:rPr>
          <w:rFonts w:ascii="Arial" w:hAnsi="Arial" w:cs="Arial"/>
          <w:b/>
          <w:color w:val="000000" w:themeColor="text1"/>
          <w:sz w:val="22"/>
        </w:rPr>
        <w:t xml:space="preserve">Supplementary Figure S14. Constitutive activation and nuclear expression of ATF6 is frequently detected in patients </w:t>
      </w:r>
      <w:r>
        <w:rPr>
          <w:rFonts w:ascii="Arial" w:hAnsi="Arial" w:cs="Arial"/>
          <w:b/>
          <w:color w:val="000000" w:themeColor="text1"/>
          <w:sz w:val="22"/>
        </w:rPr>
        <w:t xml:space="preserve">with </w:t>
      </w:r>
      <w:r w:rsidRPr="001014D0">
        <w:rPr>
          <w:rFonts w:ascii="Arial" w:hAnsi="Arial" w:cs="Arial"/>
          <w:b/>
          <w:color w:val="000000" w:themeColor="text1"/>
          <w:sz w:val="22"/>
        </w:rPr>
        <w:t>GIST.</w:t>
      </w:r>
      <w:r w:rsidRPr="001014D0">
        <w:rPr>
          <w:rFonts w:ascii="Arial" w:hAnsi="Arial" w:cs="Arial"/>
          <w:color w:val="000000" w:themeColor="text1"/>
          <w:sz w:val="22"/>
        </w:rPr>
        <w:t xml:space="preserve"> Immunohistochemistry analysis of ATF6 was performed in 42 patients </w:t>
      </w:r>
      <w:r>
        <w:rPr>
          <w:rFonts w:ascii="Arial" w:hAnsi="Arial" w:cs="Arial"/>
          <w:color w:val="000000" w:themeColor="text1"/>
          <w:sz w:val="22"/>
        </w:rPr>
        <w:t xml:space="preserve">with </w:t>
      </w:r>
      <w:r w:rsidRPr="001014D0">
        <w:rPr>
          <w:rFonts w:ascii="Arial" w:hAnsi="Arial" w:cs="Arial"/>
          <w:color w:val="000000" w:themeColor="text1"/>
          <w:sz w:val="22"/>
        </w:rPr>
        <w:t xml:space="preserve">GIST. The nuclear expression status of ATF6 </w:t>
      </w:r>
      <w:r w:rsidRPr="0098781D">
        <w:rPr>
          <w:rFonts w:ascii="Arial" w:hAnsi="Arial" w:cs="Arial"/>
          <w:color w:val="000000" w:themeColor="text1"/>
          <w:sz w:val="22"/>
        </w:rPr>
        <w:t xml:space="preserve">was classified into low, moderate, and high categories. </w:t>
      </w: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2077D4" w:rsidP="002077D4">
      <w:pPr>
        <w:spacing w:line="360" w:lineRule="auto"/>
        <w:rPr>
          <w:rFonts w:ascii="Arial" w:hAnsi="Arial" w:cs="Arial"/>
          <w:color w:val="000000" w:themeColor="text1"/>
          <w:sz w:val="22"/>
        </w:rPr>
      </w:pPr>
    </w:p>
    <w:p w:rsidR="002077D4" w:rsidRDefault="00093369" w:rsidP="002077D4">
      <w:pPr>
        <w:spacing w:line="360" w:lineRule="auto"/>
        <w:rPr>
          <w:rFonts w:ascii="Arial" w:hAnsi="Arial" w:cs="Arial"/>
          <w:color w:val="000000" w:themeColor="text1"/>
          <w:sz w:val="22"/>
        </w:rPr>
      </w:pPr>
      <w:r>
        <w:rPr>
          <w:rFonts w:ascii="Arial" w:hAnsi="Arial" w:cs="Arial"/>
          <w:noProof/>
          <w:color w:val="000000" w:themeColor="text1"/>
          <w:sz w:val="22"/>
        </w:rPr>
        <w:lastRenderedPageBreak/>
        <w:drawing>
          <wp:inline distT="0" distB="0" distL="0" distR="0" wp14:anchorId="4F59F08A">
            <wp:extent cx="5757776" cy="2092394"/>
            <wp:effectExtent l="0" t="0" r="0" b="3175"/>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11081" cy="2111765"/>
                    </a:xfrm>
                    <a:prstGeom prst="rect">
                      <a:avLst/>
                    </a:prstGeom>
                    <a:noFill/>
                  </pic:spPr>
                </pic:pic>
              </a:graphicData>
            </a:graphic>
          </wp:inline>
        </w:drawing>
      </w:r>
    </w:p>
    <w:p w:rsidR="002077D4" w:rsidRPr="00445947" w:rsidRDefault="002077D4" w:rsidP="002077D4">
      <w:pPr>
        <w:wordWrap/>
        <w:adjustRightInd w:val="0"/>
        <w:spacing w:after="0" w:line="360" w:lineRule="auto"/>
        <w:rPr>
          <w:rFonts w:ascii="Arial" w:hAnsi="Arial" w:cs="Arial"/>
          <w:sz w:val="22"/>
        </w:rPr>
      </w:pPr>
      <w:r w:rsidRPr="001014D0">
        <w:rPr>
          <w:rFonts w:ascii="Arial" w:hAnsi="Arial" w:cs="Arial"/>
          <w:b/>
          <w:color w:val="000000" w:themeColor="text1"/>
          <w:sz w:val="22"/>
        </w:rPr>
        <w:t xml:space="preserve">Supplementary Figure S15. Overall and relapse-free survival of 42 patients </w:t>
      </w:r>
      <w:r>
        <w:rPr>
          <w:rFonts w:ascii="Arial" w:hAnsi="Arial" w:cs="Arial"/>
          <w:b/>
          <w:color w:val="000000" w:themeColor="text1"/>
          <w:sz w:val="22"/>
        </w:rPr>
        <w:t xml:space="preserve">with </w:t>
      </w:r>
      <w:r w:rsidRPr="001014D0">
        <w:rPr>
          <w:rFonts w:ascii="Arial" w:hAnsi="Arial" w:cs="Arial"/>
          <w:b/>
          <w:color w:val="000000" w:themeColor="text1"/>
          <w:sz w:val="22"/>
        </w:rPr>
        <w:t>GIST according to nuclear expression of ATF6.</w:t>
      </w:r>
    </w:p>
    <w:p w:rsidR="002077D4" w:rsidRDefault="002077D4"/>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CB78B8" w:rsidRDefault="00CB78B8"/>
    <w:p w:rsidR="0088233C" w:rsidRPr="0088233C" w:rsidRDefault="0088233C" w:rsidP="00CB78B8">
      <w:pPr>
        <w:rPr>
          <w:rFonts w:ascii="Arial" w:hAnsi="Arial" w:cs="Arial" w:hint="eastAsia"/>
          <w:b/>
          <w:sz w:val="22"/>
          <w:szCs w:val="20"/>
        </w:rPr>
      </w:pPr>
      <w:bookmarkStart w:id="0" w:name="_GoBack"/>
      <w:bookmarkEnd w:id="0"/>
    </w:p>
    <w:sectPr w:rsidR="0088233C" w:rsidRPr="0088233C">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2D76" w:rsidRDefault="006D2D76" w:rsidP="00CB78B8">
      <w:pPr>
        <w:spacing w:after="0" w:line="240" w:lineRule="auto"/>
      </w:pPr>
      <w:r>
        <w:separator/>
      </w:r>
    </w:p>
  </w:endnote>
  <w:endnote w:type="continuationSeparator" w:id="0">
    <w:p w:rsidR="006D2D76" w:rsidRDefault="006D2D76" w:rsidP="00CB78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2D76" w:rsidRDefault="006D2D76" w:rsidP="00CB78B8">
      <w:pPr>
        <w:spacing w:after="0" w:line="240" w:lineRule="auto"/>
      </w:pPr>
      <w:r>
        <w:separator/>
      </w:r>
    </w:p>
  </w:footnote>
  <w:footnote w:type="continuationSeparator" w:id="0">
    <w:p w:rsidR="006D2D76" w:rsidRDefault="006D2D76" w:rsidP="00CB78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7D4"/>
    <w:rsid w:val="00012DE4"/>
    <w:rsid w:val="00065CB8"/>
    <w:rsid w:val="00093369"/>
    <w:rsid w:val="00132700"/>
    <w:rsid w:val="002077D4"/>
    <w:rsid w:val="002E59CD"/>
    <w:rsid w:val="0034402D"/>
    <w:rsid w:val="00516E09"/>
    <w:rsid w:val="005F10BC"/>
    <w:rsid w:val="006D2D76"/>
    <w:rsid w:val="006E4B88"/>
    <w:rsid w:val="00725B38"/>
    <w:rsid w:val="0088233C"/>
    <w:rsid w:val="009D144C"/>
    <w:rsid w:val="00A335C3"/>
    <w:rsid w:val="00AF20B5"/>
    <w:rsid w:val="00C33FCF"/>
    <w:rsid w:val="00CB78B8"/>
    <w:rsid w:val="00E8793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E522A5"/>
  <w15:chartTrackingRefBased/>
  <w15:docId w15:val="{747D1BAE-B79F-4709-AD10-8E681C0F9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8B8"/>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B78B8"/>
    <w:pPr>
      <w:tabs>
        <w:tab w:val="center" w:pos="4513"/>
        <w:tab w:val="right" w:pos="9026"/>
      </w:tabs>
      <w:snapToGrid w:val="0"/>
    </w:pPr>
  </w:style>
  <w:style w:type="character" w:customStyle="1" w:styleId="Char">
    <w:name w:val="머리글 Char"/>
    <w:basedOn w:val="a0"/>
    <w:link w:val="a3"/>
    <w:uiPriority w:val="99"/>
    <w:rsid w:val="00CB78B8"/>
  </w:style>
  <w:style w:type="paragraph" w:styleId="a4">
    <w:name w:val="footer"/>
    <w:basedOn w:val="a"/>
    <w:link w:val="Char0"/>
    <w:uiPriority w:val="99"/>
    <w:unhideWhenUsed/>
    <w:rsid w:val="00CB78B8"/>
    <w:pPr>
      <w:tabs>
        <w:tab w:val="center" w:pos="4513"/>
        <w:tab w:val="right" w:pos="9026"/>
      </w:tabs>
      <w:snapToGrid w:val="0"/>
    </w:pPr>
  </w:style>
  <w:style w:type="character" w:customStyle="1" w:styleId="Char0">
    <w:name w:val="바닥글 Char"/>
    <w:basedOn w:val="a0"/>
    <w:link w:val="a4"/>
    <w:uiPriority w:val="99"/>
    <w:rsid w:val="00CB78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999</Words>
  <Characters>5697</Characters>
  <Application>Microsoft Office Word</Application>
  <DocSecurity>0</DocSecurity>
  <Lines>47</Lines>
  <Paragraphs>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권유진</dc:creator>
  <cp:keywords/>
  <dc:description/>
  <cp:lastModifiedBy>권유진</cp:lastModifiedBy>
  <cp:revision>2</cp:revision>
  <dcterms:created xsi:type="dcterms:W3CDTF">2022-09-19T15:44:00Z</dcterms:created>
  <dcterms:modified xsi:type="dcterms:W3CDTF">2022-09-19T15:44:00Z</dcterms:modified>
</cp:coreProperties>
</file>