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E75" w:rsidRDefault="00427E75" w:rsidP="00427E75">
      <w:pPr>
        <w:spacing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Supplementary data</w:t>
      </w:r>
    </w:p>
    <w:p w:rsidR="00427E75" w:rsidRDefault="00427E75" w:rsidP="00427E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773B72E3" wp14:editId="3EB36753">
            <wp:extent cx="2638480" cy="1762442"/>
            <wp:effectExtent l="0" t="0" r="0" b="0"/>
            <wp:docPr id="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8480" cy="17624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038FB48C" wp14:editId="3B0E06B9">
            <wp:extent cx="2581592" cy="1723865"/>
            <wp:effectExtent l="0" t="0" r="0" b="0"/>
            <wp:docPr id="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1592" cy="17238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27E75" w:rsidRDefault="00427E75" w:rsidP="00427E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Figure 1. Schema of patients' treatment pathway in center 1 and center 2.</w:t>
      </w:r>
    </w:p>
    <w:p w:rsidR="00427E75" w:rsidRDefault="00427E75" w:rsidP="00427E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2424B2F6" wp14:editId="2EF25359">
            <wp:extent cx="5731200" cy="2247900"/>
            <wp:effectExtent l="0" t="0" r="0" 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247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27E75" w:rsidRDefault="00427E75" w:rsidP="00427E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Figure 2. Validation of Deep Miettinen model for localized, untreated GIST in center 2.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Kaplan–Meier plots shown for RFS for  localized untreated patients within different categories. From left to right: risk groups defined by Deep Miettinen; risk groups defined by Miettinen(cutoff for high risk was re-estimated so that the number of high risk patients is comparable to the number defined by Miettinen evaluation system high risk patients);  risk groups defined by deep Miettinen for intermediate risk patients defined by Miettinen; risk groups defined by deep Miettinen for high risk patients defined by Miettinen. </w:t>
      </w:r>
    </w:p>
    <w:p w:rsidR="00427E75" w:rsidRDefault="00427E75" w:rsidP="00427E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27E75" w:rsidRDefault="00427E75" w:rsidP="00427E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217437DA" wp14:editId="028F7AB8">
            <wp:extent cx="5731200" cy="133350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333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27E75" w:rsidRDefault="00427E75" w:rsidP="00427E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Figure 3. Comparison of performance in mutation classification between DL with H&amp;E slides and tumor cell types. a.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Barplot with AUC values for mutation classification at gene level. Shown for all samples (left) and samples from stomach tumors only(right). Each bar corresponds to the average AUC from 4-fold cross validation. AUCs from left-out fold during training are shown in blue and AUCs from independent validation are shown in green. Error bars indicate the CI estimated using cvAUC.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b. </w:t>
      </w:r>
      <w:r>
        <w:rPr>
          <w:rFonts w:ascii="Times New Roman" w:eastAsia="Times New Roman" w:hAnsi="Times New Roman" w:cs="Times New Roman"/>
          <w:sz w:val="24"/>
          <w:szCs w:val="24"/>
        </w:rPr>
        <w:t>Barplot with AUC values for mutation classification at exon level.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c. </w:t>
      </w:r>
      <w:r>
        <w:rPr>
          <w:rFonts w:ascii="Times New Roman" w:eastAsia="Times New Roman" w:hAnsi="Times New Roman" w:cs="Times New Roman"/>
          <w:sz w:val="24"/>
          <w:szCs w:val="24"/>
        </w:rPr>
        <w:t>Barplot with AUC values for mutation classification at codon level.</w:t>
      </w:r>
    </w:p>
    <w:p w:rsidR="00427E75" w:rsidRDefault="00427E75" w:rsidP="00427E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27E75" w:rsidRDefault="00427E75" w:rsidP="00427E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5563941F" wp14:editId="68365AB4">
            <wp:extent cx="5553393" cy="1624712"/>
            <wp:effectExtent l="0" t="0" r="0" b="0"/>
            <wp:docPr id="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53393" cy="16247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27E75" w:rsidRDefault="00427E75" w:rsidP="00427E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Figure 4. Reproducibility of mitotic count in GIST. </w:t>
      </w:r>
    </w:p>
    <w:p w:rsidR="00427E75" w:rsidRDefault="00427E75" w:rsidP="00427E75">
      <w:pPr>
        <w:spacing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E210C" w:rsidRDefault="005E210C">
      <w:bookmarkStart w:id="0" w:name="_GoBack"/>
      <w:bookmarkEnd w:id="0"/>
    </w:p>
    <w:sectPr w:rsidR="005E210C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E75"/>
    <w:rsid w:val="00427E75"/>
    <w:rsid w:val="005E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43E51D-FD07-429A-9D10-A563DD04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27E75"/>
    <w:pPr>
      <w:spacing w:after="0" w:line="276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219</Words>
  <Characters>1249</Characters>
  <Application>Microsoft Office Word</Application>
  <DocSecurity>0</DocSecurity>
  <Lines>10</Lines>
  <Paragraphs>2</Paragraphs>
  <ScaleCrop>false</ScaleCrop>
  <Company>Springer Nature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2022-09-27T04:29:00Z</dcterms:created>
  <dcterms:modified xsi:type="dcterms:W3CDTF">2022-09-27T04:29:00Z</dcterms:modified>
</cp:coreProperties>
</file>