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969" w:rsidRDefault="002C1969" w:rsidP="002C1969">
      <w:pPr>
        <w:widowControl/>
        <w:spacing w:line="300" w:lineRule="auto"/>
        <w:ind w:left="480" w:hangingChars="200" w:hanging="480"/>
        <w:jc w:val="left"/>
        <w:rPr>
          <w:rFonts w:asciiTheme="majorBidi" w:hAnsiTheme="majorBidi"/>
          <w:color w:val="000000" w:themeColor="text1"/>
          <w:kern w:val="0"/>
          <w:sz w:val="24"/>
        </w:rPr>
      </w:pPr>
      <w:r>
        <w:rPr>
          <w:rFonts w:asciiTheme="majorBidi" w:hAnsiTheme="majorBidi"/>
          <w:color w:val="000000" w:themeColor="text1"/>
          <w:kern w:val="0"/>
          <w:sz w:val="24"/>
        </w:rPr>
        <w:t>Fig 1 Growth of strain in different concentrations of cane molasses</w:t>
      </w:r>
    </w:p>
    <w:p w:rsidR="002C1969" w:rsidRDefault="002C1969" w:rsidP="002C1969">
      <w:pPr>
        <w:widowControl/>
        <w:spacing w:line="300" w:lineRule="auto"/>
        <w:ind w:left="480" w:hangingChars="200" w:hanging="480"/>
        <w:jc w:val="left"/>
        <w:rPr>
          <w:rFonts w:asciiTheme="majorBidi" w:hAnsiTheme="majorBidi"/>
          <w:color w:val="000000" w:themeColor="text1"/>
          <w:kern w:val="0"/>
          <w:sz w:val="24"/>
        </w:rPr>
      </w:pPr>
      <w:r>
        <w:rPr>
          <w:rFonts w:asciiTheme="majorBidi" w:hAnsiTheme="majorBidi"/>
          <w:color w:val="000000" w:themeColor="text1"/>
          <w:kern w:val="0"/>
          <w:sz w:val="24"/>
        </w:rPr>
        <w:t xml:space="preserve">Fig 2 </w:t>
      </w:r>
      <w:r>
        <w:rPr>
          <w:rFonts w:asciiTheme="majorBidi" w:hAnsiTheme="majorBidi"/>
          <w:bCs/>
          <w:color w:val="000000" w:themeColor="text1"/>
          <w:kern w:val="0"/>
          <w:sz w:val="24"/>
        </w:rPr>
        <w:t xml:space="preserve">Carbohydrate </w:t>
      </w:r>
      <w:r>
        <w:rPr>
          <w:rFonts w:asciiTheme="majorBidi" w:hAnsiTheme="majorBidi"/>
          <w:color w:val="000000" w:themeColor="text1"/>
          <w:kern w:val="0"/>
          <w:sz w:val="24"/>
        </w:rPr>
        <w:t xml:space="preserve">utilization in different concentrations of cane molasses. </w:t>
      </w:r>
      <w:r>
        <w:rPr>
          <w:rFonts w:asciiTheme="majorBidi" w:hAnsiTheme="majorBidi"/>
          <w:bCs/>
          <w:color w:val="000000" w:themeColor="text1"/>
          <w:kern w:val="0"/>
          <w:sz w:val="24"/>
        </w:rPr>
        <w:t>Carbohydrate</w:t>
      </w:r>
      <w:r>
        <w:rPr>
          <w:rFonts w:asciiTheme="majorBidi" w:hAnsiTheme="majorBidi"/>
          <w:color w:val="000000" w:themeColor="text1"/>
          <w:kern w:val="0"/>
          <w:sz w:val="24"/>
        </w:rPr>
        <w:t>s tested: Sucrose(</w:t>
      </w:r>
      <w:r>
        <w:rPr>
          <w:rFonts w:ascii="Times New Roman" w:eastAsia="STZhongsong" w:hAnsi="Times New Roman" w:cs="Times New Roman"/>
          <w:noProof/>
          <w:kern w:val="0"/>
          <w:sz w:val="24"/>
          <w:szCs w:val="24"/>
          <w:lang w:eastAsia="en-US"/>
        </w:rPr>
        <w:drawing>
          <wp:inline distT="0" distB="0" distL="0" distR="0">
            <wp:extent cx="285750" cy="114300"/>
            <wp:effectExtent l="0" t="0" r="0" b="0"/>
            <wp:docPr id="19" name="Picture 19" descr="160767699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3" descr="1607676999(1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/>
          <w:color w:val="000000" w:themeColor="text1"/>
          <w:kern w:val="0"/>
          <w:sz w:val="24"/>
        </w:rPr>
        <w:t>), Glucose(</w:t>
      </w:r>
      <w:r>
        <w:rPr>
          <w:rFonts w:asciiTheme="majorBidi" w:hAnsiTheme="majorBidi"/>
          <w:noProof/>
          <w:color w:val="000000" w:themeColor="text1"/>
          <w:kern w:val="0"/>
          <w:sz w:val="24"/>
          <w:lang w:eastAsia="en-US"/>
        </w:rPr>
        <w:drawing>
          <wp:inline distT="0" distB="0" distL="0" distR="0">
            <wp:extent cx="257175" cy="104775"/>
            <wp:effectExtent l="0" t="0" r="9525" b="9525"/>
            <wp:docPr id="18" name="Picture 18" descr="160768626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8" descr="1607686269(1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/>
          <w:color w:val="000000" w:themeColor="text1"/>
          <w:kern w:val="0"/>
          <w:sz w:val="24"/>
        </w:rPr>
        <w:t>), Fructose(</w:t>
      </w:r>
      <w:r>
        <w:rPr>
          <w:rFonts w:ascii="Times New Roman" w:eastAsia="STZhongsong" w:hAnsi="Times New Roman" w:cs="Times New Roman"/>
          <w:noProof/>
          <w:kern w:val="0"/>
          <w:sz w:val="24"/>
          <w:szCs w:val="24"/>
          <w:lang w:eastAsia="en-US"/>
        </w:rPr>
        <w:drawing>
          <wp:inline distT="0" distB="0" distL="0" distR="0">
            <wp:extent cx="285750" cy="104775"/>
            <wp:effectExtent l="0" t="0" r="0" b="9525"/>
            <wp:docPr id="17" name="Picture 17" descr="160767695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7" descr="1607676958(1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/>
          <w:color w:val="000000" w:themeColor="text1"/>
          <w:kern w:val="0"/>
          <w:sz w:val="24"/>
        </w:rPr>
        <w:t>). (a) 5°BX; (b) 7.5°BX; (c) 10°BX; (d) 20°BX</w:t>
      </w:r>
    </w:p>
    <w:p w:rsidR="002C1969" w:rsidRDefault="002C1969" w:rsidP="002C1969">
      <w:pPr>
        <w:widowControl/>
        <w:spacing w:line="300" w:lineRule="auto"/>
        <w:ind w:left="480" w:hangingChars="200" w:hanging="480"/>
        <w:jc w:val="left"/>
        <w:rPr>
          <w:rFonts w:asciiTheme="majorBidi" w:hAnsiTheme="majorBidi"/>
          <w:color w:val="000000" w:themeColor="text1"/>
          <w:kern w:val="0"/>
          <w:sz w:val="24"/>
        </w:rPr>
      </w:pPr>
      <w:r>
        <w:rPr>
          <w:rFonts w:asciiTheme="majorBidi" w:hAnsiTheme="majorBidi"/>
          <w:color w:val="000000" w:themeColor="text1"/>
          <w:kern w:val="0"/>
          <w:sz w:val="24"/>
        </w:rPr>
        <w:t>Fig 3 Products in different concentrations of cane molasses. Products tested: Lactate(</w:t>
      </w:r>
      <w:r>
        <w:rPr>
          <w:rFonts w:asciiTheme="majorBidi" w:hAnsiTheme="majorBidi"/>
          <w:noProof/>
          <w:color w:val="000000" w:themeColor="text1"/>
          <w:kern w:val="0"/>
          <w:sz w:val="24"/>
          <w:lang w:eastAsia="en-US"/>
        </w:rPr>
        <w:drawing>
          <wp:inline distT="0" distB="0" distL="0" distR="0">
            <wp:extent cx="285750" cy="133350"/>
            <wp:effectExtent l="0" t="0" r="0" b="0"/>
            <wp:docPr id="16" name="Picture 16" descr="160767792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1607677923(1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/>
          <w:color w:val="000000" w:themeColor="text1"/>
          <w:kern w:val="0"/>
          <w:sz w:val="24"/>
        </w:rPr>
        <w:t>), Acetate(</w:t>
      </w:r>
      <w:r>
        <w:rPr>
          <w:rFonts w:asciiTheme="majorBidi" w:hAnsiTheme="majorBidi"/>
          <w:noProof/>
          <w:color w:val="000000" w:themeColor="text1"/>
          <w:kern w:val="0"/>
          <w:sz w:val="24"/>
          <w:lang w:eastAsia="en-US"/>
        </w:rPr>
        <w:drawing>
          <wp:inline distT="0" distB="0" distL="0" distR="0">
            <wp:extent cx="285750" cy="104775"/>
            <wp:effectExtent l="0" t="0" r="0" b="9525"/>
            <wp:docPr id="15" name="Picture 15" descr="160767789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 descr="1607677899(1)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/>
          <w:color w:val="000000" w:themeColor="text1"/>
          <w:kern w:val="0"/>
          <w:sz w:val="24"/>
        </w:rPr>
        <w:t>), Ethanol(</w:t>
      </w:r>
      <w:r>
        <w:rPr>
          <w:rFonts w:asciiTheme="majorBidi" w:hAnsiTheme="majorBidi"/>
          <w:noProof/>
          <w:color w:val="000000" w:themeColor="text1"/>
          <w:kern w:val="0"/>
          <w:sz w:val="24"/>
          <w:lang w:eastAsia="en-US"/>
        </w:rPr>
        <w:drawing>
          <wp:inline distT="0" distB="0" distL="0" distR="0">
            <wp:extent cx="285750" cy="95250"/>
            <wp:effectExtent l="0" t="0" r="0" b="0"/>
            <wp:docPr id="14" name="Picture 14" descr="160767783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 descr="1607677834(1)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/>
          <w:color w:val="000000" w:themeColor="text1"/>
          <w:kern w:val="0"/>
          <w:sz w:val="24"/>
        </w:rPr>
        <w:t>). (a) 5°BX; (b) 7.5°BX; (c) 10°BX; (d) 20°BX</w:t>
      </w:r>
    </w:p>
    <w:p w:rsidR="002C1969" w:rsidRDefault="002C1969" w:rsidP="002C1969">
      <w:pPr>
        <w:widowControl/>
        <w:spacing w:line="300" w:lineRule="auto"/>
        <w:ind w:left="480" w:hangingChars="200" w:hanging="480"/>
        <w:jc w:val="left"/>
        <w:rPr>
          <w:rFonts w:asciiTheme="majorBidi" w:hAnsiTheme="majorBidi"/>
          <w:color w:val="000000" w:themeColor="text1"/>
          <w:kern w:val="0"/>
          <w:sz w:val="24"/>
        </w:rPr>
      </w:pPr>
      <w:r>
        <w:rPr>
          <w:rFonts w:asciiTheme="majorBidi" w:hAnsiTheme="majorBidi"/>
          <w:color w:val="000000" w:themeColor="text1"/>
          <w:kern w:val="0"/>
          <w:sz w:val="24"/>
        </w:rPr>
        <w:t>Fig 4 The products in aerobic (a) and anaerobic (b) fermentation. Products tested: Lactate(</w:t>
      </w:r>
      <w:r>
        <w:rPr>
          <w:rFonts w:asciiTheme="majorBidi" w:hAnsiTheme="majorBidi"/>
          <w:noProof/>
          <w:color w:val="000000" w:themeColor="text1"/>
          <w:kern w:val="0"/>
          <w:sz w:val="24"/>
          <w:lang w:eastAsia="en-US"/>
        </w:rPr>
        <w:drawing>
          <wp:inline distT="0" distB="0" distL="0" distR="0">
            <wp:extent cx="285750" cy="133350"/>
            <wp:effectExtent l="0" t="0" r="0" b="0"/>
            <wp:docPr id="13" name="Picture 13" descr="160767792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8" descr="1607677923(1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/>
          <w:color w:val="000000" w:themeColor="text1"/>
          <w:kern w:val="0"/>
          <w:sz w:val="24"/>
        </w:rPr>
        <w:t>), Acetate(</w:t>
      </w:r>
      <w:r>
        <w:rPr>
          <w:rFonts w:asciiTheme="majorBidi" w:hAnsiTheme="majorBidi"/>
          <w:noProof/>
          <w:color w:val="000000" w:themeColor="text1"/>
          <w:kern w:val="0"/>
          <w:sz w:val="24"/>
          <w:lang w:eastAsia="en-US"/>
        </w:rPr>
        <w:drawing>
          <wp:inline distT="0" distB="0" distL="0" distR="0">
            <wp:extent cx="285750" cy="104775"/>
            <wp:effectExtent l="0" t="0" r="0" b="9525"/>
            <wp:docPr id="12" name="Picture 12" descr="160767789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7" descr="1607677899(1)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/>
          <w:color w:val="000000" w:themeColor="text1"/>
          <w:kern w:val="0"/>
          <w:sz w:val="24"/>
        </w:rPr>
        <w:t>), Ethanol(</w:t>
      </w:r>
      <w:r>
        <w:rPr>
          <w:rFonts w:asciiTheme="majorBidi" w:hAnsiTheme="majorBidi"/>
          <w:noProof/>
          <w:color w:val="000000" w:themeColor="text1"/>
          <w:kern w:val="0"/>
          <w:sz w:val="24"/>
          <w:lang w:eastAsia="en-US"/>
        </w:rPr>
        <w:drawing>
          <wp:inline distT="0" distB="0" distL="0" distR="0">
            <wp:extent cx="285750" cy="95250"/>
            <wp:effectExtent l="0" t="0" r="0" b="0"/>
            <wp:docPr id="11" name="Picture 11" descr="160767783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5" descr="1607677834(1)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/>
          <w:color w:val="000000" w:themeColor="text1"/>
          <w:kern w:val="0"/>
          <w:sz w:val="24"/>
        </w:rPr>
        <w:t>)</w:t>
      </w:r>
    </w:p>
    <w:p w:rsidR="002C1969" w:rsidRDefault="002C1969" w:rsidP="002C1969">
      <w:pPr>
        <w:widowControl/>
        <w:spacing w:line="300" w:lineRule="auto"/>
        <w:ind w:left="480" w:hangingChars="200" w:hanging="480"/>
        <w:jc w:val="left"/>
        <w:rPr>
          <w:rFonts w:asciiTheme="majorBidi" w:hAnsiTheme="majorBidi"/>
          <w:color w:val="000000" w:themeColor="text1"/>
          <w:kern w:val="0"/>
          <w:sz w:val="24"/>
        </w:rPr>
      </w:pPr>
      <w:r>
        <w:rPr>
          <w:rFonts w:asciiTheme="majorBidi" w:hAnsiTheme="majorBidi"/>
          <w:color w:val="000000" w:themeColor="text1"/>
          <w:kern w:val="0"/>
          <w:sz w:val="24"/>
        </w:rPr>
        <w:t>Fig 5 Effect of pH control(</w:t>
      </w:r>
      <w:r>
        <w:rPr>
          <w:rFonts w:ascii="Times New Roman" w:eastAsia="STZhongsong" w:hAnsi="Times New Roman" w:cs="Times New Roman"/>
          <w:noProof/>
          <w:kern w:val="0"/>
          <w:sz w:val="24"/>
          <w:szCs w:val="24"/>
          <w:lang w:eastAsia="en-US"/>
        </w:rPr>
        <w:drawing>
          <wp:inline distT="0" distB="0" distL="0" distR="0">
            <wp:extent cx="285750" cy="114300"/>
            <wp:effectExtent l="0" t="0" r="0" b="0"/>
            <wp:docPr id="10" name="Picture 10" descr="160767699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0" descr="1607676999(1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/>
          <w:color w:val="000000" w:themeColor="text1"/>
          <w:kern w:val="0"/>
          <w:sz w:val="24"/>
        </w:rPr>
        <w:t>) and non-pH control(</w:t>
      </w:r>
      <w:r>
        <w:rPr>
          <w:rFonts w:asciiTheme="majorBidi" w:hAnsiTheme="majorBidi"/>
          <w:noProof/>
          <w:color w:val="000000" w:themeColor="text1"/>
          <w:kern w:val="0"/>
          <w:sz w:val="24"/>
          <w:lang w:eastAsia="en-US"/>
        </w:rPr>
        <w:drawing>
          <wp:inline distT="0" distB="0" distL="0" distR="0">
            <wp:extent cx="285750" cy="95250"/>
            <wp:effectExtent l="0" t="0" r="0" b="0"/>
            <wp:docPr id="9" name="Picture 9" descr="160767774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3" descr="1607677741(1)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/>
          <w:color w:val="000000" w:themeColor="text1"/>
          <w:kern w:val="0"/>
          <w:sz w:val="24"/>
        </w:rPr>
        <w:t>) on</w:t>
      </w:r>
      <w:r>
        <w:rPr>
          <w:rFonts w:asciiTheme="majorBidi" w:hAnsiTheme="majorBidi"/>
          <w:bCs/>
          <w:color w:val="000000" w:themeColor="text1"/>
          <w:kern w:val="0"/>
          <w:sz w:val="24"/>
        </w:rPr>
        <w:t xml:space="preserve"> the</w:t>
      </w:r>
      <w:r>
        <w:rPr>
          <w:rFonts w:asciiTheme="majorBidi" w:hAnsiTheme="majorBidi"/>
          <w:color w:val="000000" w:themeColor="text1"/>
          <w:kern w:val="0"/>
          <w:sz w:val="24"/>
        </w:rPr>
        <w:t xml:space="preserve"> growth of strain. pH Changes (</w:t>
      </w:r>
      <w:r>
        <w:rPr>
          <w:rFonts w:ascii="Times New Roman" w:eastAsia="STZhongsong" w:hAnsi="Times New Roman" w:cs="Times New Roman"/>
          <w:noProof/>
          <w:kern w:val="0"/>
          <w:sz w:val="24"/>
          <w:szCs w:val="24"/>
          <w:lang w:eastAsia="en-US"/>
        </w:rPr>
        <w:drawing>
          <wp:inline distT="0" distB="0" distL="0" distR="0">
            <wp:extent cx="285750" cy="104775"/>
            <wp:effectExtent l="0" t="0" r="0" b="9525"/>
            <wp:docPr id="8" name="Picture 8" descr="160767695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2" descr="1607676958(1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/>
          <w:color w:val="000000" w:themeColor="text1"/>
          <w:kern w:val="0"/>
          <w:sz w:val="24"/>
        </w:rPr>
        <w:t>) under non-pH control</w:t>
      </w:r>
    </w:p>
    <w:p w:rsidR="002C1969" w:rsidRDefault="002C1969" w:rsidP="002C1969">
      <w:pPr>
        <w:widowControl/>
        <w:spacing w:line="300" w:lineRule="auto"/>
        <w:ind w:left="480" w:hangingChars="200" w:hanging="480"/>
        <w:jc w:val="left"/>
        <w:rPr>
          <w:rFonts w:ascii="Times New Roman" w:eastAsia="STZhongsong" w:hAnsi="Times New Roman" w:cs="Times New Roman"/>
          <w:kern w:val="0"/>
          <w:sz w:val="24"/>
          <w:szCs w:val="24"/>
        </w:rPr>
      </w:pPr>
      <w:r>
        <w:rPr>
          <w:rFonts w:ascii="Times New Roman" w:eastAsia="STZhongsong" w:hAnsi="Times New Roman" w:cs="Times New Roman"/>
          <w:kern w:val="0"/>
          <w:sz w:val="24"/>
          <w:szCs w:val="24"/>
        </w:rPr>
        <w:t>Fig 6 Effect of pH control (a) and non-pH control (b) on carbohydrate utilization.</w:t>
      </w:r>
    </w:p>
    <w:p w:rsidR="002C1969" w:rsidRDefault="002C1969" w:rsidP="002C1969">
      <w:pPr>
        <w:widowControl/>
        <w:spacing w:line="300" w:lineRule="auto"/>
        <w:ind w:left="480" w:hangingChars="200" w:hanging="480"/>
        <w:jc w:val="left"/>
        <w:rPr>
          <w:rFonts w:ascii="Times New Roman" w:eastAsia="STZhongsong" w:hAnsi="Times New Roman" w:cs="Times New Roman"/>
          <w:kern w:val="0"/>
          <w:sz w:val="24"/>
          <w:szCs w:val="24"/>
        </w:rPr>
      </w:pPr>
      <w:r>
        <w:rPr>
          <w:rFonts w:ascii="Times New Roman" w:eastAsia="STZhongsong" w:hAnsi="Times New Roman" w:cs="Times New Roman"/>
          <w:bCs/>
          <w:kern w:val="0"/>
          <w:sz w:val="24"/>
          <w:szCs w:val="24"/>
        </w:rPr>
        <w:t>Carbohydrate</w:t>
      </w:r>
      <w:r>
        <w:rPr>
          <w:rFonts w:ascii="Times New Roman" w:eastAsia="STZhongsong" w:hAnsi="Times New Roman" w:cs="Times New Roman"/>
          <w:kern w:val="0"/>
          <w:sz w:val="24"/>
          <w:szCs w:val="24"/>
        </w:rPr>
        <w:t>s tested: Sucrose(</w:t>
      </w:r>
      <w:r>
        <w:rPr>
          <w:rFonts w:ascii="Times New Roman" w:eastAsia="STZhongsong" w:hAnsi="Times New Roman" w:cs="Times New Roman"/>
          <w:noProof/>
          <w:kern w:val="0"/>
          <w:sz w:val="24"/>
          <w:szCs w:val="24"/>
          <w:lang w:eastAsia="en-US"/>
        </w:rPr>
        <w:drawing>
          <wp:inline distT="0" distB="0" distL="0" distR="0">
            <wp:extent cx="285750" cy="114300"/>
            <wp:effectExtent l="0" t="0" r="0" b="0"/>
            <wp:docPr id="7" name="Picture 7" descr="160767699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7" descr="1607676999(1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STZhongsong" w:hAnsi="Times New Roman" w:cs="Times New Roman"/>
          <w:kern w:val="0"/>
          <w:sz w:val="24"/>
          <w:szCs w:val="24"/>
        </w:rPr>
        <w:t>), Glucose(</w:t>
      </w:r>
      <w:r>
        <w:rPr>
          <w:rFonts w:ascii="Times New Roman" w:eastAsia="STZhongsong" w:hAnsi="Times New Roman" w:cs="Times New Roman"/>
          <w:noProof/>
          <w:kern w:val="0"/>
          <w:sz w:val="24"/>
          <w:szCs w:val="24"/>
          <w:lang w:eastAsia="en-US"/>
        </w:rPr>
        <w:drawing>
          <wp:inline distT="0" distB="0" distL="0" distR="0">
            <wp:extent cx="266700" cy="104775"/>
            <wp:effectExtent l="0" t="0" r="0" b="9525"/>
            <wp:docPr id="6" name="Picture 6" descr="160767688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5" descr="1607676889(1)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STZhongsong" w:hAnsi="Times New Roman" w:cs="Times New Roman"/>
          <w:kern w:val="0"/>
          <w:sz w:val="24"/>
          <w:szCs w:val="24"/>
        </w:rPr>
        <w:t>), Fructose(</w:t>
      </w:r>
      <w:r>
        <w:rPr>
          <w:rFonts w:ascii="Times New Roman" w:eastAsia="STZhongsong" w:hAnsi="Times New Roman" w:cs="Times New Roman"/>
          <w:noProof/>
          <w:kern w:val="0"/>
          <w:sz w:val="24"/>
          <w:szCs w:val="24"/>
          <w:lang w:eastAsia="en-US"/>
        </w:rPr>
        <w:drawing>
          <wp:inline distT="0" distB="0" distL="0" distR="0">
            <wp:extent cx="285750" cy="104775"/>
            <wp:effectExtent l="0" t="0" r="0" b="9525"/>
            <wp:docPr id="5" name="Picture 5" descr="160767695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6" descr="1607676958(1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STZhongsong" w:hAnsi="Times New Roman" w:cs="Times New Roman"/>
          <w:kern w:val="0"/>
          <w:sz w:val="24"/>
          <w:szCs w:val="24"/>
        </w:rPr>
        <w:t>)</w:t>
      </w:r>
    </w:p>
    <w:p w:rsidR="002C1969" w:rsidRDefault="002C1969" w:rsidP="002C1969">
      <w:pPr>
        <w:widowControl/>
        <w:spacing w:line="360" w:lineRule="auto"/>
        <w:ind w:left="480" w:hangingChars="200" w:hanging="480"/>
        <w:jc w:val="left"/>
        <w:rPr>
          <w:rFonts w:ascii="Times New Roman" w:eastAsia="STZhongsong" w:hAnsi="Times New Roman" w:cs="Times New Roman"/>
          <w:sz w:val="24"/>
          <w:szCs w:val="21"/>
        </w:rPr>
      </w:pPr>
      <w:r>
        <w:rPr>
          <w:rFonts w:ascii="Times New Roman" w:eastAsia="STZhongsong" w:hAnsi="Times New Roman" w:cs="Times New Roman"/>
          <w:sz w:val="24"/>
          <w:szCs w:val="21"/>
        </w:rPr>
        <w:t>Fig 7 Effect of pH control(</w:t>
      </w:r>
      <w:r>
        <w:rPr>
          <w:rFonts w:ascii="Times New Roman" w:eastAsia="STZhongsong" w:hAnsi="Times New Roman" w:cs="Times New Roman"/>
          <w:noProof/>
          <w:kern w:val="0"/>
          <w:sz w:val="24"/>
          <w:szCs w:val="24"/>
          <w:lang w:eastAsia="en-US"/>
        </w:rPr>
        <w:drawing>
          <wp:inline distT="0" distB="0" distL="0" distR="0">
            <wp:extent cx="285750" cy="114300"/>
            <wp:effectExtent l="0" t="0" r="0" b="0"/>
            <wp:docPr id="4" name="Picture 4" descr="160767699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9" descr="1607676999(1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STZhongsong" w:hAnsi="Times New Roman" w:cs="Times New Roman"/>
          <w:sz w:val="24"/>
          <w:szCs w:val="21"/>
        </w:rPr>
        <w:t>) and non-pH control(</w:t>
      </w:r>
      <w:r>
        <w:rPr>
          <w:rFonts w:ascii="Times New Roman" w:eastAsia="STZhongsong" w:hAnsi="Times New Roman" w:cs="Times New Roman"/>
          <w:noProof/>
          <w:kern w:val="0"/>
          <w:sz w:val="24"/>
          <w:szCs w:val="24"/>
          <w:lang w:eastAsia="en-US"/>
        </w:rPr>
        <w:drawing>
          <wp:inline distT="0" distB="0" distL="0" distR="0">
            <wp:extent cx="285750" cy="104775"/>
            <wp:effectExtent l="0" t="0" r="0" b="9525"/>
            <wp:docPr id="3" name="Picture 3" descr="160767695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 descr="1607676958(1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STZhongsong" w:hAnsi="Times New Roman" w:cs="Times New Roman"/>
          <w:sz w:val="24"/>
          <w:szCs w:val="21"/>
        </w:rPr>
        <w:t>) on</w:t>
      </w:r>
      <w:r>
        <w:rPr>
          <w:rFonts w:ascii="Times New Roman" w:eastAsia="SimSun" w:hAnsi="Times New Roman" w:cs="Times New Roman"/>
          <w:color w:val="434343"/>
          <w:sz w:val="24"/>
          <w:szCs w:val="21"/>
        </w:rPr>
        <w:t xml:space="preserve"> </w:t>
      </w:r>
      <w:r>
        <w:rPr>
          <w:rFonts w:ascii="Times New Roman" w:eastAsia="STZhongsong" w:hAnsi="Times New Roman" w:cs="Times New Roman"/>
          <w:sz w:val="24"/>
          <w:szCs w:val="21"/>
        </w:rPr>
        <w:t xml:space="preserve">key enzyme gene expression of carbon source metabolism. (a) GK, </w:t>
      </w:r>
      <w:proofErr w:type="spellStart"/>
      <w:r>
        <w:rPr>
          <w:rFonts w:ascii="Times New Roman" w:eastAsia="STZhongsong" w:hAnsi="Times New Roman" w:cs="Times New Roman"/>
          <w:sz w:val="24"/>
          <w:szCs w:val="21"/>
        </w:rPr>
        <w:t>glucokinase</w:t>
      </w:r>
      <w:proofErr w:type="spellEnd"/>
      <w:r>
        <w:rPr>
          <w:rFonts w:ascii="Times New Roman" w:eastAsia="STZhongsong" w:hAnsi="Times New Roman" w:cs="Times New Roman"/>
          <w:sz w:val="24"/>
          <w:szCs w:val="21"/>
        </w:rPr>
        <w:t xml:space="preserve">; (b) INV, </w:t>
      </w:r>
      <w:proofErr w:type="spellStart"/>
      <w:r>
        <w:rPr>
          <w:rFonts w:ascii="Times New Roman" w:eastAsia="STZhongsong" w:hAnsi="Times New Roman" w:cs="Times New Roman"/>
          <w:sz w:val="24"/>
          <w:szCs w:val="21"/>
        </w:rPr>
        <w:t>invertase</w:t>
      </w:r>
      <w:proofErr w:type="spellEnd"/>
      <w:r>
        <w:rPr>
          <w:rFonts w:ascii="Times New Roman" w:eastAsia="STZhongsong" w:hAnsi="Times New Roman" w:cs="Times New Roman"/>
          <w:sz w:val="24"/>
          <w:szCs w:val="21"/>
        </w:rPr>
        <w:t>; (c) PFK, phosphofructokinase</w:t>
      </w:r>
    </w:p>
    <w:p w:rsidR="002C1969" w:rsidRDefault="002C1969" w:rsidP="002C1969">
      <w:pPr>
        <w:widowControl/>
        <w:spacing w:line="360" w:lineRule="auto"/>
        <w:ind w:left="480" w:hangingChars="200" w:hanging="480"/>
        <w:jc w:val="left"/>
        <w:rPr>
          <w:rFonts w:ascii="Times New Roman" w:eastAsia="STZhongsong" w:hAnsi="Times New Roman" w:cs="Times New Roman"/>
          <w:sz w:val="24"/>
          <w:szCs w:val="21"/>
        </w:rPr>
      </w:pPr>
      <w:r>
        <w:rPr>
          <w:rFonts w:ascii="Times New Roman" w:eastAsia="STZhongsong" w:hAnsi="Times New Roman" w:cs="Times New Roman"/>
          <w:sz w:val="24"/>
          <w:szCs w:val="21"/>
        </w:rPr>
        <w:t>Fig 8 RT-qPCR analysis of key enzyme gene expression under pH control(</w:t>
      </w:r>
      <w:r>
        <w:rPr>
          <w:noProof/>
          <w:lang w:eastAsia="en-US"/>
        </w:rPr>
        <w:drawing>
          <wp:inline distT="0" distB="0" distL="0" distR="0">
            <wp:extent cx="133350" cy="1333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STZhongsong" w:hAnsi="Times New Roman" w:cs="Times New Roman"/>
          <w:sz w:val="24"/>
          <w:szCs w:val="21"/>
        </w:rPr>
        <w:t>) and non-pH control(</w:t>
      </w:r>
      <w:r>
        <w:rPr>
          <w:rFonts w:ascii="Times New Roman" w:eastAsia="STZhongsong" w:hAnsi="Times New Roman" w:cs="Times New Roman"/>
          <w:noProof/>
          <w:sz w:val="24"/>
          <w:szCs w:val="21"/>
          <w:lang w:eastAsia="en-US"/>
        </w:rPr>
        <w:drawing>
          <wp:inline distT="0" distB="0" distL="0" distR="0">
            <wp:extent cx="161925" cy="152400"/>
            <wp:effectExtent l="0" t="0" r="9525" b="0"/>
            <wp:docPr id="1" name="Picture 1" descr="160768772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1" descr="1607687724(1)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STZhongsong" w:hAnsi="Times New Roman" w:cs="Times New Roman"/>
          <w:sz w:val="24"/>
          <w:szCs w:val="21"/>
        </w:rPr>
        <w:t xml:space="preserve">). INV, </w:t>
      </w:r>
      <w:proofErr w:type="spellStart"/>
      <w:r>
        <w:rPr>
          <w:rFonts w:ascii="Times New Roman" w:eastAsia="STZhongsong" w:hAnsi="Times New Roman" w:cs="Times New Roman"/>
          <w:sz w:val="24"/>
          <w:szCs w:val="21"/>
        </w:rPr>
        <w:t>invertase</w:t>
      </w:r>
      <w:proofErr w:type="spellEnd"/>
      <w:r>
        <w:rPr>
          <w:rFonts w:ascii="Times New Roman" w:eastAsia="STZhongsong" w:hAnsi="Times New Roman" w:cs="Times New Roman"/>
          <w:sz w:val="24"/>
          <w:szCs w:val="21"/>
        </w:rPr>
        <w:t xml:space="preserve">; GK, </w:t>
      </w:r>
      <w:proofErr w:type="spellStart"/>
      <w:r>
        <w:rPr>
          <w:rFonts w:ascii="Times New Roman" w:eastAsia="STZhongsong" w:hAnsi="Times New Roman" w:cs="Times New Roman"/>
          <w:sz w:val="24"/>
          <w:szCs w:val="21"/>
        </w:rPr>
        <w:t>glucokinase</w:t>
      </w:r>
      <w:proofErr w:type="spellEnd"/>
      <w:r>
        <w:rPr>
          <w:rFonts w:ascii="Times New Roman" w:eastAsia="STZhongsong" w:hAnsi="Times New Roman" w:cs="Times New Roman"/>
          <w:sz w:val="24"/>
          <w:szCs w:val="21"/>
        </w:rPr>
        <w:t>; PFK, phosphofructokinase. (a) 4 h; (b) 8 h; (c) 12 h; (d) 16 h; (e) 24 h</w:t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Zhongsong">
    <w:altName w:val="Microsoft YaHei"/>
    <w:charset w:val="86"/>
    <w:family w:val="auto"/>
    <w:pitch w:val="default"/>
    <w:sig w:usb0="00000000" w:usb1="080F0000" w:usb2="00000000" w:usb3="00000000" w:csb0="0004009F" w:csb1="DFD7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969"/>
    <w:rsid w:val="002C1969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1E9BD1-9BE5-47F5-B3D0-96BD93EEB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196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41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2021-02-18T07:18:00Z</dcterms:created>
  <dcterms:modified xsi:type="dcterms:W3CDTF">2021-02-18T07:18:00Z</dcterms:modified>
</cp:coreProperties>
</file>