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 Regular" w:hAnsi="Times New Roman Regular" w:cs="Times New Roman Regular"/>
          <w:sz w:val="21"/>
          <w:szCs w:val="21"/>
        </w:rPr>
      </w:pPr>
      <w:r>
        <w:rPr>
          <w:rFonts w:hint="default" w:ascii="Times New Roman Regular" w:hAnsi="Times New Roman Regular" w:cs="Times New Roman Regular"/>
          <w:b/>
          <w:bCs/>
          <w:sz w:val="21"/>
          <w:szCs w:val="21"/>
        </w:rPr>
        <w:t>K</w:t>
      </w:r>
      <w:r>
        <w:rPr>
          <w:rFonts w:hint="eastAsia" w:ascii="Times New Roman Regular" w:hAnsi="Times New Roman Regular" w:cs="Times New Roman Regular"/>
          <w:b/>
          <w:bCs/>
          <w:sz w:val="21"/>
          <w:szCs w:val="21"/>
          <w:lang w:val="en-US" w:eastAsia="zh-Hans"/>
        </w:rPr>
        <w:t>ey</w:t>
      </w:r>
      <w:bookmarkStart w:id="0" w:name="_GoBack"/>
      <w:bookmarkEnd w:id="0"/>
      <w:r>
        <w:rPr>
          <w:rFonts w:hint="default" w:ascii="Times New Roman Regular" w:hAnsi="Times New Roman Regular" w:cs="Times New Roman Regular"/>
          <w:b/>
          <w:bCs/>
          <w:sz w:val="21"/>
          <w:szCs w:val="21"/>
        </w:rPr>
        <w:t xml:space="preserve"> Points</w:t>
      </w:r>
      <w:r>
        <w:rPr>
          <w:rFonts w:hint="default" w:ascii="Times New Roman Regular" w:hAnsi="Times New Roman Regular" w:cs="Times New Roman Regular"/>
          <w:sz w:val="21"/>
          <w:szCs w:val="21"/>
        </w:rPr>
        <w:t xml:space="preserve"> </w:t>
      </w:r>
    </w:p>
    <w:p>
      <w:pPr>
        <w:spacing w:line="360" w:lineRule="auto"/>
        <w:rPr>
          <w:rFonts w:hint="default" w:ascii="Times New Roman Regular" w:hAnsi="Times New Roman Regular" w:cs="Times New Roman Regular"/>
          <w:sz w:val="21"/>
          <w:szCs w:val="21"/>
        </w:rPr>
      </w:pPr>
    </w:p>
    <w:p>
      <w:pPr>
        <w:spacing w:line="360" w:lineRule="auto"/>
        <w:rPr>
          <w:rFonts w:hint="default" w:ascii="Times New Roman Bold" w:hAnsi="Times New Roman Bold" w:cs="Times New Roman Bold"/>
          <w:b/>
          <w:bCs/>
          <w:sz w:val="21"/>
          <w:szCs w:val="21"/>
        </w:rPr>
      </w:pPr>
      <w:r>
        <w:rPr>
          <w:rFonts w:hint="default" w:ascii="Times New Roman Bold" w:hAnsi="Times New Roman Bold" w:cs="Times New Roman Bold"/>
          <w:b/>
          <w:bCs/>
          <w:sz w:val="21"/>
          <w:szCs w:val="21"/>
        </w:rPr>
        <w:t xml:space="preserve">• What is already known about this subject? </w:t>
      </w:r>
    </w:p>
    <w:p>
      <w:pPr>
        <w:spacing w:line="360" w:lineRule="auto"/>
        <w:rPr>
          <w:rFonts w:hint="default" w:ascii="Times New Roman Regular" w:hAnsi="Times New Roman Regular" w:cs="Times New Roman Regular"/>
          <w:sz w:val="21"/>
          <w:szCs w:val="21"/>
        </w:rPr>
      </w:pPr>
      <w:r>
        <w:rPr>
          <w:rFonts w:hint="default" w:ascii="Times New Roman Regular" w:hAnsi="Times New Roman Regular" w:cs="Times New Roman Regular"/>
          <w:sz w:val="21"/>
          <w:szCs w:val="21"/>
        </w:rPr>
        <w:t>Pembrolizumab is superior to chemotherapy as a first-line treatment for patients with dMMR/MSI-H mCRC, with a significantly long-term survival benefit trend by KYENOTE-177. Nevertheless, relative higher cost without national medical insurance of pembrolizumab makes the value of this treatment relative to its benefit remains uncertain.</w:t>
      </w:r>
    </w:p>
    <w:p>
      <w:pPr>
        <w:spacing w:line="360" w:lineRule="auto"/>
        <w:rPr>
          <w:rFonts w:hint="default" w:ascii="Times New Roman Regular" w:hAnsi="Times New Roman Regular" w:cs="Times New Roman Regular"/>
          <w:sz w:val="21"/>
          <w:szCs w:val="21"/>
        </w:rPr>
      </w:pPr>
    </w:p>
    <w:p>
      <w:pPr>
        <w:spacing w:line="360" w:lineRule="auto"/>
        <w:rPr>
          <w:rFonts w:hint="default" w:ascii="Times New Roman Regular" w:hAnsi="Times New Roman Regular" w:cs="Times New Roman Regular"/>
          <w:sz w:val="21"/>
          <w:szCs w:val="21"/>
        </w:rPr>
      </w:pPr>
      <w:r>
        <w:rPr>
          <w:rFonts w:hint="default" w:ascii="Times New Roman Bold" w:hAnsi="Times New Roman Bold" w:cs="Times New Roman Bold"/>
          <w:b/>
          <w:bCs/>
          <w:sz w:val="21"/>
          <w:szCs w:val="21"/>
        </w:rPr>
        <w:t xml:space="preserve">• What are the new findings? </w:t>
      </w:r>
    </w:p>
    <w:p>
      <w:pPr>
        <w:spacing w:line="360" w:lineRule="auto"/>
        <w:rPr>
          <w:rFonts w:hint="default" w:ascii="Times New Roman Regular" w:hAnsi="Times New Roman Regular" w:cs="Times New Roman Regular"/>
          <w:sz w:val="21"/>
          <w:szCs w:val="21"/>
        </w:rPr>
      </w:pPr>
      <w:r>
        <w:rPr>
          <w:rFonts w:hint="default" w:ascii="Times New Roman Regular" w:hAnsi="Times New Roman Regular" w:cs="Times New Roman Regular"/>
          <w:sz w:val="21"/>
          <w:szCs w:val="21"/>
        </w:rPr>
        <w:t>Pembrolizumab provided an additional 2.58 QALYs (</w:t>
      </w:r>
      <w:r>
        <w:rPr>
          <w:rFonts w:hint="default" w:ascii="Times New Roman Regular" w:hAnsi="Times New Roman Regular" w:cs="Times New Roman Regular"/>
          <w:sz w:val="21"/>
          <w:szCs w:val="21"/>
        </w:rPr>
        <w:t>3.00</w:t>
      </w:r>
      <w:r>
        <w:rPr>
          <w:rFonts w:hint="default" w:ascii="Times New Roman Regular" w:hAnsi="Times New Roman Regular" w:cs="Times New Roman Regular"/>
          <w:sz w:val="21"/>
          <w:szCs w:val="21"/>
        </w:rPr>
        <w:t xml:space="preserve"> life-years) at an incremental cost of $78,286.04, resulting in an ICER of $30,330.15 per QALY (WTP,$33,600). When patient assistance program (PAP) was considered, the ICER became $1,730.67 per QALY, manifesting absolute cost-effectiveness. So pembrolizumab is a cost-effective first-line treatment for dMMR/MSI-H mCRC patients in China, especially considering PAP.</w:t>
      </w:r>
    </w:p>
    <w:p>
      <w:pPr>
        <w:spacing w:line="360" w:lineRule="auto"/>
        <w:rPr>
          <w:rFonts w:hint="default" w:ascii="Times New Roman Regular" w:hAnsi="Times New Roman Regular" w:cs="Times New Roman Regular"/>
          <w:sz w:val="21"/>
          <w:szCs w:val="21"/>
        </w:rPr>
      </w:pPr>
    </w:p>
    <w:p>
      <w:pPr>
        <w:spacing w:line="360" w:lineRule="auto"/>
        <w:rPr>
          <w:rFonts w:hint="default" w:ascii="Times New Roman Bold" w:hAnsi="Times New Roman Bold" w:cs="Times New Roman Bold"/>
          <w:b/>
          <w:bCs/>
          <w:sz w:val="21"/>
          <w:szCs w:val="21"/>
        </w:rPr>
      </w:pPr>
      <w:r>
        <w:rPr>
          <w:rFonts w:hint="default" w:ascii="Times New Roman Bold" w:hAnsi="Times New Roman Bold" w:cs="Times New Roman Bold"/>
          <w:b/>
          <w:bCs/>
          <w:sz w:val="21"/>
          <w:szCs w:val="21"/>
        </w:rPr>
        <w:t>• How might it impact on clinical practice in the foreseeable future?</w:t>
      </w:r>
    </w:p>
    <w:p>
      <w:pPr>
        <w:spacing w:line="360" w:lineRule="auto"/>
        <w:rPr>
          <w:rFonts w:hint="default" w:ascii="Times New Roman Regular" w:hAnsi="Times New Roman Regular" w:cs="Times New Roman Regular"/>
          <w:sz w:val="21"/>
          <w:szCs w:val="21"/>
        </w:rPr>
      </w:pPr>
      <w:r>
        <w:rPr>
          <w:rFonts w:hint="default" w:ascii="Times New Roman Regular" w:hAnsi="Times New Roman Regular" w:cs="Times New Roman Regular"/>
          <w:sz w:val="21"/>
          <w:szCs w:val="21"/>
        </w:rPr>
        <w:t>Under such circumstance, we fully recommend the dMMR/MSI-H mCRC patients to use pembrolizumab monotherapy as the first-line regime.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Times New Roman Bold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D6EB1"/>
    <w:rsid w:val="773C34B0"/>
    <w:rsid w:val="7FDD6EB1"/>
    <w:rsid w:val="BCF94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Office_4.4.0.7319_F1E327BC-269C-435d-A152-05C5408002CA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2021-09-07T23:28:00Z</dcterms:created>
  <dc:creator>zhuchen</dc:creator>
  <cp:lastModifiedBy>zhuchen</cp:lastModifiedBy>
  <dcterms:modified xsi:type="dcterms:W3CDTF">2022-08-30T15:46:28Z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2052-4.4.0.7319</vt:lpwstr>
  </property>
  <property fmtid="{D5CDD505-2E9C-101B-9397-08002B2CF9AE}" pid="3" name="ICV">
    <vt:lpwstr>BBC1E922A77C1FD934C00D63506EB905</vt:lpwstr>
  </property>
</Properties>
</file>