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FA" w:rsidRPr="00DD0D3C" w:rsidRDefault="007070FA" w:rsidP="00DD0D3C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D3C">
        <w:rPr>
          <w:rFonts w:ascii="Times New Roman" w:hAnsi="Times New Roman" w:cs="Times New Roman"/>
          <w:b/>
          <w:sz w:val="28"/>
          <w:szCs w:val="28"/>
        </w:rPr>
        <w:t>Supplementary Information</w:t>
      </w:r>
    </w:p>
    <w:p w:rsidR="007070FA" w:rsidRPr="00DD0D3C" w:rsidRDefault="007070FA" w:rsidP="00DD0D3C">
      <w:pPr>
        <w:pStyle w:val="a3"/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7070FA" w:rsidRPr="00DD0D3C" w:rsidRDefault="007070FA" w:rsidP="00DD0D3C">
      <w:pPr>
        <w:pStyle w:val="a3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D0D3C">
        <w:rPr>
          <w:rFonts w:ascii="Times New Roman" w:hAnsi="Times New Roman" w:cs="Times New Roman"/>
          <w:b/>
          <w:sz w:val="24"/>
          <w:szCs w:val="24"/>
        </w:rPr>
        <w:t>Interaction effect of serum serotonin level and age on the 12-week pharmacotherapeutic response in patients with depressive disorders</w:t>
      </w:r>
    </w:p>
    <w:p w:rsidR="007070FA" w:rsidRPr="00DD0D3C" w:rsidRDefault="007070FA" w:rsidP="00DD0D3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D3C" w:rsidRPr="00DD0D3C" w:rsidRDefault="00DD0D3C" w:rsidP="00DD0D3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Wonsuk Choi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a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Ju-Wan Kim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b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Hee-Ju Kang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b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Hee Kyung Kim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a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Ho-Cheol Kang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a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Ju-Yeon Lee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b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Sung-Wan Kim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b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Robert Stewart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c,d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, and Jae-Min Kim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fr-FR"/>
        </w:rPr>
        <w:t>b</w:t>
      </w:r>
    </w:p>
    <w:p w:rsidR="00DD0D3C" w:rsidRPr="00DD0D3C" w:rsidRDefault="00DD0D3C" w:rsidP="00DD0D3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D0D3C" w:rsidRPr="00DD0D3C" w:rsidRDefault="00DD0D3C" w:rsidP="00DD0D3C">
      <w:pPr>
        <w:pStyle w:val="a3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proofErr w:type="spellEnd"/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Internal Medicine, Chonnam National University </w:t>
      </w:r>
      <w:proofErr w:type="spellStart"/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>Hwasun</w:t>
      </w:r>
      <w:proofErr w:type="spellEnd"/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Hospital, Chonnam National University Medical School, </w:t>
      </w:r>
      <w:proofErr w:type="spellStart"/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>Hwasun</w:t>
      </w:r>
      <w:proofErr w:type="spellEnd"/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Korea, </w:t>
      </w:r>
      <w:proofErr w:type="spellStart"/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proofErr w:type="spellEnd"/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Psychiatry, Chonnam National University Medical School, Gwangju, Korea, 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c 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King’s College London, Institute of Psychiatry, Psychology and Neuroscience, London, UK, 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d </w:t>
      </w:r>
      <w:r w:rsidRPr="00DD0D3C">
        <w:rPr>
          <w:rFonts w:ascii="Times New Roman" w:hAnsi="Times New Roman" w:cs="Times New Roman"/>
          <w:color w:val="000000" w:themeColor="text1"/>
          <w:sz w:val="24"/>
          <w:szCs w:val="24"/>
        </w:rPr>
        <w:t>South London and Maudsley NHS Foundation Trust, London, UK</w:t>
      </w:r>
    </w:p>
    <w:p w:rsidR="007070FA" w:rsidRPr="00DD0D3C" w:rsidRDefault="007070FA" w:rsidP="00DD0D3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70FA" w:rsidRPr="00DD0D3C" w:rsidRDefault="007070FA" w:rsidP="00DD0D3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70FA" w:rsidRPr="00DD0D3C" w:rsidRDefault="007070FA" w:rsidP="00DD0D3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70FA" w:rsidRPr="00DD0D3C" w:rsidRDefault="007070FA" w:rsidP="00DD0D3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70FA" w:rsidRDefault="007070FA"/>
    <w:p w:rsidR="007070FA" w:rsidRDefault="007070FA">
      <w:bookmarkStart w:id="0" w:name="_GoBack"/>
      <w:bookmarkEnd w:id="0"/>
    </w:p>
    <w:tbl>
      <w:tblPr>
        <w:tblStyle w:val="a4"/>
        <w:tblW w:w="13701" w:type="dxa"/>
        <w:tblLook w:val="04A0" w:firstRow="1" w:lastRow="0" w:firstColumn="1" w:lastColumn="0" w:noHBand="0" w:noVBand="1"/>
      </w:tblPr>
      <w:tblGrid>
        <w:gridCol w:w="4248"/>
        <w:gridCol w:w="92"/>
        <w:gridCol w:w="222"/>
        <w:gridCol w:w="14"/>
        <w:gridCol w:w="2267"/>
        <w:gridCol w:w="2281"/>
        <w:gridCol w:w="2281"/>
        <w:gridCol w:w="2282"/>
        <w:gridCol w:w="14"/>
      </w:tblGrid>
      <w:tr w:rsidR="007070FA" w:rsidRPr="00C6342B" w:rsidTr="00F84481">
        <w:trPr>
          <w:gridAfter w:val="1"/>
          <w:wAfter w:w="14" w:type="dxa"/>
        </w:trPr>
        <w:tc>
          <w:tcPr>
            <w:tcW w:w="136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34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Supplementary Table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7070FA" w:rsidRPr="00C6342B" w:rsidRDefault="007070FA" w:rsidP="00F84481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Baseline characteristics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ased on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age in patients with depressive disorders</w:t>
            </w:r>
          </w:p>
        </w:tc>
      </w:tr>
      <w:tr w:rsidR="007070FA" w:rsidRPr="00C6342B" w:rsidTr="00F84481">
        <w:tc>
          <w:tcPr>
            <w:tcW w:w="4340" w:type="dxa"/>
            <w:gridSpan w:val="2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25" w:type="dxa"/>
            <w:gridSpan w:val="5"/>
            <w:tcBorders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Up to 12-week treatment (N = 1086)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&lt;60 years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(N = 567)</w:t>
            </w:r>
          </w:p>
        </w:tc>
        <w:tc>
          <w:tcPr>
            <w:tcW w:w="2281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 years (N = 519)</w:t>
            </w:r>
          </w:p>
        </w:tc>
        <w:tc>
          <w:tcPr>
            <w:tcW w:w="2281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Statistical </w:t>
            </w:r>
            <w:proofErr w:type="spellStart"/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coefficients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282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P-value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Gender, N (%) female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 (67.9)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 (69.4)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0.269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 = 0.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604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Education, mean (SD) years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11.5 (3.7)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6.5 (4.5)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19.548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Marital status, N (%) unmarried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 (31.6)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 (28.3)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1.359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0.244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alone,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 (10.8)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 (20.4)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19.454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Religious observance,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287 (50.6)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 (61.7)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13.396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Unemployed status,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 (30.2)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 (28.1)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0.614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0.433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Monthly income, N (%) &lt;2,000 USD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 (41.1)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415 (80.0)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170.104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Body mass index, mean (SD) kg/m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 (3.4)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23.4 (3.0)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-1.643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Major depressive disorder,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481 (84.8)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444 (85.5)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0.110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0.740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Melancholic feature,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 (12.5)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 (17.5)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5.362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0.021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Atypical feature,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(9.9)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 (2.5)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24.748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 at onset, mean (SD) years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41.6 (13.0)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63.1 (12.5)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-27.804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 of illness, mean (SD) years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4.3 (7.1)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5.9 (10.7)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-2.815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0.005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Recurrent depression,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 (56.1)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252 (48.6)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6.161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0.013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Number of depressive episodes, mean (SD)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 (1.6)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 (1.3)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3.053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0.002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 of present episode, mean (SD) months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7.4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(10.2)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7.4 (10.6)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-0.133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0.894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Family history of depression,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 (17.6)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 (11.2)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9.100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0.003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 of suicide attempt,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 (13.4)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 (3.7)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32.233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Number of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physical disorders, mean (SD)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 (1.2)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 (1.3)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-11.302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 &lt; 0.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Hamilton Depression Rating Scale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20.8 (4.2)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20.7 (4.1)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0.201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0.841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Hospital Anxiety &amp; Depression Scale-anxiety subscale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12.4 (4.2)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11.2 (3.8)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4.767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EuroQol-5D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8.9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-1.431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0.153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 and Occupational Functional Assessment Scale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55.5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7.3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6.4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7.6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-1.892</w:t>
            </w: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0.059</w:t>
            </w:r>
          </w:p>
        </w:tc>
      </w:tr>
    </w:tbl>
    <w:p w:rsidR="007070FA" w:rsidRPr="00C6342B" w:rsidRDefault="007070FA" w:rsidP="007070FA">
      <w:pPr>
        <w:rPr>
          <w:color w:val="000000" w:themeColor="text1"/>
        </w:rPr>
      </w:pPr>
      <w:proofErr w:type="spellStart"/>
      <w:r w:rsidRPr="00C6342B">
        <w:rPr>
          <w:rFonts w:ascii="Times New Roman" w:hAnsi="Times New Roman" w:cs="Times New Roman"/>
          <w:color w:val="000000" w:themeColor="text1"/>
          <w:szCs w:val="20"/>
          <w:vertAlign w:val="superscript"/>
        </w:rPr>
        <w:t>a</w:t>
      </w:r>
      <w:r w:rsidRPr="00C6342B">
        <w:rPr>
          <w:rFonts w:ascii="Times New Roman" w:hAnsi="Times New Roman" w:cs="Times New Roman"/>
          <w:color w:val="000000" w:themeColor="text1"/>
          <w:szCs w:val="20"/>
        </w:rPr>
        <w:t>Independent</w:t>
      </w:r>
      <w:proofErr w:type="spellEnd"/>
      <w:r w:rsidRPr="00C6342B">
        <w:rPr>
          <w:rFonts w:ascii="Times New Roman" w:hAnsi="Times New Roman" w:cs="Times New Roman"/>
          <w:color w:val="000000" w:themeColor="text1"/>
          <w:szCs w:val="20"/>
        </w:rPr>
        <w:t xml:space="preserve"> two sample </w:t>
      </w:r>
      <w:r w:rsidRPr="00C6342B">
        <w:rPr>
          <w:rFonts w:ascii="Times New Roman" w:hAnsi="Times New Roman" w:cs="Times New Roman"/>
          <w:i/>
          <w:color w:val="000000" w:themeColor="text1"/>
          <w:szCs w:val="20"/>
        </w:rPr>
        <w:t>t</w:t>
      </w:r>
      <w:r w:rsidRPr="00C6342B">
        <w:rPr>
          <w:rFonts w:ascii="Times New Roman" w:hAnsi="Times New Roman" w:cs="Times New Roman"/>
          <w:color w:val="000000" w:themeColor="text1"/>
          <w:szCs w:val="20"/>
        </w:rPr>
        <w:t xml:space="preserve">-test or </w:t>
      </w:r>
      <w:r w:rsidRPr="00C6342B">
        <w:rPr>
          <w:rFonts w:ascii="Times New Roman" w:hAnsi="Times New Roman" w:cs="Times New Roman"/>
          <w:color w:val="000000" w:themeColor="text1"/>
          <w:szCs w:val="20"/>
          <w:lang w:val="en-GB"/>
        </w:rPr>
        <w:t>χ</w:t>
      </w:r>
      <w:r w:rsidRPr="00C6342B">
        <w:rPr>
          <w:rFonts w:ascii="Times New Roman" w:hAnsi="Times New Roman" w:cs="Times New Roman"/>
          <w:color w:val="000000" w:themeColor="text1"/>
          <w:szCs w:val="20"/>
          <w:vertAlign w:val="superscript"/>
          <w:lang w:val="en-GB"/>
        </w:rPr>
        <w:t>2</w:t>
      </w:r>
      <w:r w:rsidRPr="00C6342B">
        <w:rPr>
          <w:rFonts w:ascii="Times New Roman" w:hAnsi="Times New Roman" w:cs="Times New Roman"/>
          <w:color w:val="000000" w:themeColor="text1"/>
          <w:szCs w:val="20"/>
          <w:lang w:val="en-GB"/>
        </w:rPr>
        <w:t xml:space="preserve"> test, as appropriate.</w:t>
      </w:r>
    </w:p>
    <w:p w:rsidR="007070FA" w:rsidRDefault="007070FA" w:rsidP="007070FA">
      <w:pPr>
        <w:rPr>
          <w:color w:val="000000" w:themeColor="text1"/>
        </w:rPr>
      </w:pPr>
    </w:p>
    <w:p w:rsidR="007070FA" w:rsidRPr="00C6342B" w:rsidRDefault="007070FA" w:rsidP="007070FA">
      <w:pPr>
        <w:rPr>
          <w:color w:val="000000" w:themeColor="text1"/>
        </w:rPr>
      </w:pPr>
    </w:p>
    <w:p w:rsidR="007070FA" w:rsidRPr="00C6342B" w:rsidRDefault="007070FA" w:rsidP="007070FA">
      <w:pPr>
        <w:rPr>
          <w:color w:val="000000" w:themeColor="text1"/>
        </w:rPr>
      </w:pPr>
    </w:p>
    <w:tbl>
      <w:tblPr>
        <w:tblStyle w:val="a4"/>
        <w:tblW w:w="13701" w:type="dxa"/>
        <w:tblLook w:val="04A0" w:firstRow="1" w:lastRow="0" w:firstColumn="1" w:lastColumn="0" w:noHBand="0" w:noVBand="1"/>
      </w:tblPr>
      <w:tblGrid>
        <w:gridCol w:w="4248"/>
        <w:gridCol w:w="92"/>
        <w:gridCol w:w="222"/>
        <w:gridCol w:w="14"/>
        <w:gridCol w:w="2267"/>
        <w:gridCol w:w="2281"/>
        <w:gridCol w:w="2281"/>
        <w:gridCol w:w="2282"/>
        <w:gridCol w:w="14"/>
      </w:tblGrid>
      <w:tr w:rsidR="007070FA" w:rsidRPr="00C6342B" w:rsidTr="00F84481">
        <w:trPr>
          <w:gridAfter w:val="1"/>
          <w:wAfter w:w="14" w:type="dxa"/>
        </w:trPr>
        <w:tc>
          <w:tcPr>
            <w:tcW w:w="136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34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Supplementary Table 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7070FA" w:rsidRPr="00C6342B" w:rsidRDefault="007070FA" w:rsidP="00F84481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Baseline characteristics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ased on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initial antidepressant type in patients with depressive disorders</w:t>
            </w:r>
          </w:p>
        </w:tc>
      </w:tr>
      <w:tr w:rsidR="007070FA" w:rsidRPr="00C6342B" w:rsidTr="00F84481">
        <w:tc>
          <w:tcPr>
            <w:tcW w:w="4340" w:type="dxa"/>
            <w:gridSpan w:val="2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25" w:type="dxa"/>
            <w:gridSpan w:val="5"/>
            <w:tcBorders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Up to 12-week treatment (N = 1086)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SSRIs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(N = 672)</w:t>
            </w:r>
          </w:p>
        </w:tc>
        <w:tc>
          <w:tcPr>
            <w:tcW w:w="2281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Non-SSRIs (N = 414)</w:t>
            </w:r>
          </w:p>
        </w:tc>
        <w:tc>
          <w:tcPr>
            <w:tcW w:w="2281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Statistical </w:t>
            </w:r>
            <w:proofErr w:type="spellStart"/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coefficients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282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P-value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Age, mean (SD) years</w:t>
            </w:r>
          </w:p>
        </w:tc>
        <w:tc>
          <w:tcPr>
            <w:tcW w:w="314" w:type="dxa"/>
            <w:gridSpan w:val="2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56.1 (15.4)</w:t>
            </w:r>
          </w:p>
        </w:tc>
        <w:tc>
          <w:tcPr>
            <w:tcW w:w="2281" w:type="dxa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58.3 (14.0)</w:t>
            </w:r>
          </w:p>
        </w:tc>
        <w:tc>
          <w:tcPr>
            <w:tcW w:w="2281" w:type="dxa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-2.386</w:t>
            </w:r>
          </w:p>
        </w:tc>
        <w:tc>
          <w:tcPr>
            <w:tcW w:w="2282" w:type="dxa"/>
            <w:tcBorders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0.017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Gender, N (%) female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450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(67.0)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 (71.3)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2.191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 = 0.139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Education, mean (SD) years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4.8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1.232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0.218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Marital status, N (%) unmarried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 (31.3)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 (28.0)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1.273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0.259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Living alone,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 (14.9)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 (16.2)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0.334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0.563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Religious observance,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 (55.1)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237 (57.2)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0.497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0.481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Unemployed status,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187 (27.8)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 (31.2)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1.379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0.240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Monthly income, N (%) &lt;2,000 USD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392 (58.3)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256 (61.8)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1.306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0.253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Body mass index, mean (SD) kg/m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23.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23.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(3.4)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-0.427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0.669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Major depressive disorder,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564 (83.9)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361 (87.2)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2.169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0.141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Melancholic feature,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 (14.3)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 (15.9)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0.554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0.457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Atypical feature,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 (6.5)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(6.0)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0.112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0.738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 at onset, mean (SD) years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1.5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(0.5)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0.036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0.971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 of illness, mean (SD) years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4.8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8.9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5.6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9.2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-1.435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0.152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Recurrent depression,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345 (51.3)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225 (54.3)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0.930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0.335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Number of depressive episodes, mean (SD)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1.0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-1.600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0.110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 of present episode, mean (SD) months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7.0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(9.8)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11.4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-1.433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0.152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Family history of depression,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 (14.6)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 (14.5)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0.002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0.967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 of suicide attempt, N (%)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 (9.7)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(7.2)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χ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 xml:space="preserve">2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1.889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0.169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Number of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physical disorders, mean (SD)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 (0.5)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1.5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 -0.083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P = 0.933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Hamilton Depression Rating Scale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20.4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21.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-3.512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Hospital Anxiety &amp; Depression Scale-anxiety subscale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3.8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1.602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0.110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EuroQol-5D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8.9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1.5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-1.994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= 0.046</w:t>
            </w:r>
          </w:p>
        </w:tc>
      </w:tr>
      <w:tr w:rsidR="007070FA" w:rsidRPr="00C6342B" w:rsidTr="00F84481">
        <w:trPr>
          <w:gridAfter w:val="1"/>
          <w:wAfter w:w="14" w:type="dxa"/>
        </w:trPr>
        <w:tc>
          <w:tcPr>
            <w:tcW w:w="4248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 and Occupational Functional Assessment Scale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56.7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.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(</w:t>
            </w: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7.8</w:t>
            </w:r>
            <w:r w:rsidRPr="00C634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 = 4.465</w:t>
            </w: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</w:tcPr>
          <w:p w:rsidR="007070FA" w:rsidRPr="00C6342B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63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 &lt; 0.001</w:t>
            </w:r>
          </w:p>
        </w:tc>
      </w:tr>
    </w:tbl>
    <w:p w:rsidR="007070FA" w:rsidRPr="00C6342B" w:rsidRDefault="007070FA" w:rsidP="007070F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Cs w:val="20"/>
          <w:lang w:val="en-GB"/>
        </w:rPr>
      </w:pPr>
      <w:proofErr w:type="spellStart"/>
      <w:r w:rsidRPr="00C6342B">
        <w:rPr>
          <w:rFonts w:ascii="Times New Roman" w:hAnsi="Times New Roman" w:cs="Times New Roman"/>
          <w:color w:val="000000" w:themeColor="text1"/>
          <w:szCs w:val="20"/>
          <w:vertAlign w:val="superscript"/>
        </w:rPr>
        <w:t>a</w:t>
      </w:r>
      <w:r w:rsidRPr="00C6342B">
        <w:rPr>
          <w:rFonts w:ascii="Times New Roman" w:hAnsi="Times New Roman" w:cs="Times New Roman"/>
          <w:color w:val="000000" w:themeColor="text1"/>
          <w:szCs w:val="20"/>
        </w:rPr>
        <w:t>Independent</w:t>
      </w:r>
      <w:proofErr w:type="spellEnd"/>
      <w:r w:rsidRPr="00C6342B">
        <w:rPr>
          <w:rFonts w:ascii="Times New Roman" w:hAnsi="Times New Roman" w:cs="Times New Roman"/>
          <w:color w:val="000000" w:themeColor="text1"/>
          <w:szCs w:val="20"/>
        </w:rPr>
        <w:t xml:space="preserve"> two sample </w:t>
      </w:r>
      <w:r w:rsidRPr="00C6342B">
        <w:rPr>
          <w:rFonts w:ascii="Times New Roman" w:hAnsi="Times New Roman" w:cs="Times New Roman"/>
          <w:i/>
          <w:color w:val="000000" w:themeColor="text1"/>
          <w:szCs w:val="20"/>
        </w:rPr>
        <w:t>t</w:t>
      </w:r>
      <w:r w:rsidRPr="00C6342B">
        <w:rPr>
          <w:rFonts w:ascii="Times New Roman" w:hAnsi="Times New Roman" w:cs="Times New Roman"/>
          <w:color w:val="000000" w:themeColor="text1"/>
          <w:szCs w:val="20"/>
        </w:rPr>
        <w:t xml:space="preserve">-test or </w:t>
      </w:r>
      <w:r w:rsidRPr="00C6342B">
        <w:rPr>
          <w:rFonts w:ascii="Times New Roman" w:hAnsi="Times New Roman" w:cs="Times New Roman"/>
          <w:color w:val="000000" w:themeColor="text1"/>
          <w:szCs w:val="20"/>
          <w:lang w:val="en-GB"/>
        </w:rPr>
        <w:t>χ</w:t>
      </w:r>
      <w:r w:rsidRPr="00C6342B">
        <w:rPr>
          <w:rFonts w:ascii="Times New Roman" w:hAnsi="Times New Roman" w:cs="Times New Roman"/>
          <w:color w:val="000000" w:themeColor="text1"/>
          <w:szCs w:val="20"/>
          <w:vertAlign w:val="superscript"/>
          <w:lang w:val="en-GB"/>
        </w:rPr>
        <w:t>2</w:t>
      </w:r>
      <w:r w:rsidRPr="00C6342B">
        <w:rPr>
          <w:rFonts w:ascii="Times New Roman" w:hAnsi="Times New Roman" w:cs="Times New Roman"/>
          <w:color w:val="000000" w:themeColor="text1"/>
          <w:szCs w:val="20"/>
          <w:lang w:val="en-GB"/>
        </w:rPr>
        <w:t xml:space="preserve"> test, as appropriate.</w:t>
      </w:r>
    </w:p>
    <w:p w:rsidR="007070FA" w:rsidRPr="00C6342B" w:rsidRDefault="007070FA" w:rsidP="007070FA">
      <w:pPr>
        <w:rPr>
          <w:color w:val="000000" w:themeColor="text1"/>
          <w:lang w:val="en-GB"/>
        </w:rPr>
      </w:pPr>
    </w:p>
    <w:p w:rsidR="007070FA" w:rsidRDefault="007070FA" w:rsidP="007070FA">
      <w:pPr>
        <w:rPr>
          <w:lang w:val="en-GB"/>
        </w:rPr>
      </w:pPr>
    </w:p>
    <w:p w:rsidR="007070FA" w:rsidRDefault="007070FA" w:rsidP="007070FA">
      <w:pPr>
        <w:rPr>
          <w:lang w:val="en-GB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512"/>
        <w:gridCol w:w="1984"/>
        <w:gridCol w:w="1979"/>
        <w:gridCol w:w="1565"/>
        <w:gridCol w:w="1985"/>
        <w:gridCol w:w="1926"/>
      </w:tblGrid>
      <w:tr w:rsidR="007070FA" w:rsidRPr="00B14EF8" w:rsidTr="00F84481">
        <w:tc>
          <w:tcPr>
            <w:tcW w:w="136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Supplementary Table 3</w:t>
            </w:r>
          </w:p>
          <w:p w:rsidR="007070FA" w:rsidRPr="004E593D" w:rsidRDefault="007070FA" w:rsidP="00F84481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4E5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Individual effects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E5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baseline serum 5-HT level and age on 12-week remission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based on type of</w:t>
            </w:r>
            <w:r w:rsidRPr="004E59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initial antidepressant</w:t>
            </w:r>
          </w:p>
        </w:tc>
      </w:tr>
      <w:tr w:rsidR="007070FA" w:rsidRPr="00B14EF8" w:rsidTr="00F84481"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Exposure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Group</w:t>
            </w:r>
          </w:p>
        </w:tc>
        <w:tc>
          <w:tcPr>
            <w:tcW w:w="1095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12-week remission</w:t>
            </w:r>
          </w:p>
        </w:tc>
      </w:tr>
      <w:tr w:rsidR="007070FA" w:rsidRPr="00B14EF8" w:rsidTr="00F8448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SSRIs (N = 672)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Non-SSRIs (N = 414)</w:t>
            </w:r>
          </w:p>
        </w:tc>
      </w:tr>
      <w:tr w:rsidR="007070FA" w:rsidRPr="00B14EF8" w:rsidTr="00F8448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No. (%) presence</w:t>
            </w:r>
          </w:p>
        </w:tc>
        <w:tc>
          <w:tcPr>
            <w:tcW w:w="39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OR (95% CI)</w:t>
            </w: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No. (%) presence</w:t>
            </w:r>
          </w:p>
        </w:tc>
        <w:tc>
          <w:tcPr>
            <w:tcW w:w="39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OR (95% CI)</w:t>
            </w:r>
          </w:p>
        </w:tc>
      </w:tr>
      <w:tr w:rsidR="007070FA" w:rsidRPr="00B14EF8" w:rsidTr="00F84481"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Unadjusted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  <w:r w:rsidRPr="004E593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Unadjusted</w:t>
            </w:r>
          </w:p>
        </w:tc>
        <w:tc>
          <w:tcPr>
            <w:tcW w:w="1926" w:type="dxa"/>
            <w:tcBorders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  <w:r w:rsidRPr="004E593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7070FA" w:rsidRPr="00B14EF8" w:rsidTr="00F84481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Serum 5-HT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Lower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149 (45.4)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85 (39.5)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7070FA" w:rsidRPr="00B14EF8" w:rsidTr="00F8448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Higher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166 (48.3)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 (0.83-1.52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 (0.83-1.58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90 (45.2)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 xml:space="preserve"> (0.85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-1.87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1.15 (0.76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-1.74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070FA" w:rsidRPr="00B14EF8" w:rsidTr="00F8448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Age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&lt;60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162 (44.8)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80 (39.0)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7070FA" w:rsidRPr="00B14EF8" w:rsidTr="00F84481"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≥</w:t>
            </w:r>
            <w:r w:rsidRPr="004E59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153 (49.4)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 (0.89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-1.63)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 (0.60-1.66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95 (45.5)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 xml:space="preserve"> (0.88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-1.93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0FA" w:rsidRPr="004E593D" w:rsidRDefault="007070FA" w:rsidP="00F8448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.86</w:t>
            </w:r>
            <w:r w:rsidRPr="004E593D">
              <w:rPr>
                <w:rFonts w:ascii="Times New Roman" w:hAnsi="Times New Roman" w:cs="Times New Roman"/>
                <w:sz w:val="18"/>
                <w:szCs w:val="18"/>
              </w:rPr>
              <w:t xml:space="preserve"> (0.43-1.70)</w:t>
            </w:r>
          </w:p>
        </w:tc>
      </w:tr>
    </w:tbl>
    <w:p w:rsidR="007070FA" w:rsidRPr="00EC6E28" w:rsidRDefault="007070FA" w:rsidP="007070FA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55728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Pr="00EC6E28">
        <w:rPr>
          <w:rFonts w:ascii="Times New Roman" w:hAnsi="Times New Roman" w:cs="Times New Roman"/>
          <w:color w:val="000000" w:themeColor="text1"/>
          <w:sz w:val="18"/>
          <w:szCs w:val="18"/>
        </w:rPr>
        <w:t>djusted for education,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living alone, religious observance,</w:t>
      </w:r>
      <w:r w:rsidRPr="00EC6E2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monthly income, melancholic feature, atypical feature, age at onset,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duration of illness, recurrent depression, number of depressive episodes, family history of depression, history of suicide attempt, number of physical disorders, HADS-A,</w:t>
      </w:r>
      <w:r w:rsidRPr="00EC6E2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SOFAS.</w:t>
      </w:r>
    </w:p>
    <w:p w:rsidR="007070FA" w:rsidRPr="00582B49" w:rsidRDefault="007070FA" w:rsidP="007070FA">
      <w:pPr>
        <w:rPr>
          <w:rFonts w:ascii="Times New Roman" w:hAnsi="Times New Roman" w:cs="Times New Roman"/>
        </w:rPr>
      </w:pPr>
    </w:p>
    <w:p w:rsidR="007070FA" w:rsidRDefault="007070FA" w:rsidP="007070FA"/>
    <w:p w:rsidR="007070FA" w:rsidRDefault="007070FA" w:rsidP="007070FA"/>
    <w:p w:rsidR="007070FA" w:rsidRDefault="007070FA" w:rsidP="007070FA"/>
    <w:p w:rsidR="007070FA" w:rsidRDefault="007070FA" w:rsidP="007070FA"/>
    <w:p w:rsidR="007070FA" w:rsidRDefault="007070FA" w:rsidP="007070FA"/>
    <w:p w:rsidR="007070FA" w:rsidRDefault="007070FA" w:rsidP="007070FA"/>
    <w:p w:rsidR="007070FA" w:rsidRDefault="007070FA" w:rsidP="007070FA"/>
    <w:p w:rsidR="007070FA" w:rsidRDefault="007070FA" w:rsidP="007070FA"/>
    <w:p w:rsidR="007070FA" w:rsidRDefault="007070FA" w:rsidP="007070FA"/>
    <w:p w:rsidR="007070FA" w:rsidRDefault="007070FA" w:rsidP="007070FA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034655" cy="33591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65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0FA" w:rsidRDefault="007070FA" w:rsidP="007070FA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Figure 1. </w:t>
      </w:r>
    </w:p>
    <w:p w:rsidR="007070FA" w:rsidRPr="007070FA" w:rsidRDefault="007070FA" w:rsidP="007070FA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7B6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12-week </w:t>
      </w:r>
      <w:r w:rsidRPr="007B6AE9">
        <w:rPr>
          <w:rFonts w:ascii="Times New Roman" w:hAnsi="Times New Roman" w:cs="Times New Roman"/>
          <w:sz w:val="24"/>
          <w:szCs w:val="24"/>
        </w:rPr>
        <w:t>remission</w:t>
      </w:r>
      <w:r>
        <w:rPr>
          <w:rFonts w:ascii="Times New Roman" w:hAnsi="Times New Roman" w:cs="Times New Roman"/>
          <w:sz w:val="24"/>
          <w:szCs w:val="24"/>
        </w:rPr>
        <w:t xml:space="preserve"> rates</w:t>
      </w:r>
      <w:r w:rsidRPr="007B6AE9">
        <w:rPr>
          <w:rFonts w:ascii="Times New Roman" w:hAnsi="Times New Roman" w:cs="Times New Roman"/>
          <w:sz w:val="24"/>
          <w:szCs w:val="24"/>
        </w:rPr>
        <w:t xml:space="preserve"> ac</w:t>
      </w:r>
      <w:r>
        <w:rPr>
          <w:rFonts w:ascii="Times New Roman" w:hAnsi="Times New Roman" w:cs="Times New Roman"/>
          <w:sz w:val="24"/>
          <w:szCs w:val="24"/>
        </w:rPr>
        <w:t>cording to baseline serum 5-HT</w:t>
      </w:r>
      <w:r w:rsidRPr="007B6AE9">
        <w:rPr>
          <w:rFonts w:ascii="Times New Roman" w:hAnsi="Times New Roman" w:cs="Times New Roman"/>
          <w:sz w:val="24"/>
          <w:szCs w:val="24"/>
        </w:rPr>
        <w:t xml:space="preserve"> level and </w:t>
      </w:r>
      <w:r>
        <w:rPr>
          <w:rFonts w:ascii="Times New Roman" w:hAnsi="Times New Roman" w:cs="Times New Roman"/>
          <w:sz w:val="24"/>
          <w:szCs w:val="24"/>
        </w:rPr>
        <w:t xml:space="preserve">age based on initial antidepressant type. </w:t>
      </w:r>
      <w:r w:rsidRPr="00E7610A">
        <w:rPr>
          <w:rFonts w:ascii="Times New Roman" w:hAnsi="Times New Roman"/>
          <w:sz w:val="24"/>
        </w:rPr>
        <w:t xml:space="preserve">Data are </w:t>
      </w:r>
      <w:r>
        <w:rPr>
          <w:rFonts w:ascii="Times New Roman" w:hAnsi="Times New Roman" w:cs="Times New Roman"/>
          <w:sz w:val="24"/>
          <w:szCs w:val="24"/>
        </w:rPr>
        <w:t xml:space="preserve">presented as </w:t>
      </w:r>
      <w:r w:rsidRPr="00E7610A">
        <w:rPr>
          <w:rFonts w:ascii="Times New Roman" w:hAnsi="Times New Roman"/>
          <w:sz w:val="24"/>
        </w:rPr>
        <w:t xml:space="preserve">odds ratios (95% confidence intervals) </w:t>
      </w:r>
      <w:r w:rsidRPr="0048294E">
        <w:rPr>
          <w:rFonts w:ascii="Times New Roman" w:hAnsi="Times New Roman"/>
          <w:sz w:val="24"/>
          <w:szCs w:val="24"/>
        </w:rPr>
        <w:t xml:space="preserve">adjusted </w:t>
      </w:r>
      <w:r w:rsidRPr="0048294E">
        <w:rPr>
          <w:rFonts w:ascii="Times New Roman" w:hAnsi="Times New Roman" w:cs="Times New Roman"/>
          <w:color w:val="000000" w:themeColor="text1"/>
          <w:sz w:val="24"/>
          <w:szCs w:val="24"/>
        </w:rPr>
        <w:t>for educational level, living alone, religious observance, monthly income, melancholic feature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8294E">
        <w:rPr>
          <w:rFonts w:ascii="Times New Roman" w:hAnsi="Times New Roman" w:cs="Times New Roman"/>
          <w:color w:val="000000" w:themeColor="text1"/>
          <w:sz w:val="24"/>
          <w:szCs w:val="24"/>
        </w:rPr>
        <w:t>, atypical feature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8294E">
        <w:rPr>
          <w:rFonts w:ascii="Times New Roman" w:hAnsi="Times New Roman" w:cs="Times New Roman"/>
          <w:color w:val="000000" w:themeColor="text1"/>
          <w:sz w:val="24"/>
          <w:szCs w:val="24"/>
        </w:rPr>
        <w:t>, age at onset, duration of illness, recurrent depression, number of depressive episodes, family history of depression, history of suicide attempt, number of physical disorders, HADS-A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score</w:t>
      </w:r>
      <w:r w:rsidRPr="00482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SOFAS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score </w:t>
      </w:r>
      <w:r w:rsidRPr="0048294E">
        <w:rPr>
          <w:rFonts w:ascii="Times New Roman" w:hAnsi="Times New Roman" w:cs="Times New Roman"/>
          <w:color w:val="000000" w:themeColor="text1"/>
          <w:sz w:val="24"/>
          <w:szCs w:val="24"/>
        </w:rPr>
        <w:t>evaluated at baseline.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610A">
        <w:rPr>
          <w:rFonts w:ascii="Times New Roman" w:hAnsi="Times New Roman"/>
          <w:sz w:val="24"/>
        </w:rPr>
        <w:t>*P</w:t>
      </w:r>
      <w:r w:rsidRPr="0048294E">
        <w:rPr>
          <w:rFonts w:ascii="Times New Roman" w:hAnsi="Times New Roman"/>
          <w:sz w:val="24"/>
          <w:szCs w:val="24"/>
        </w:rPr>
        <w:t xml:space="preserve"> &lt; </w:t>
      </w:r>
      <w:r w:rsidRPr="00E7610A">
        <w:rPr>
          <w:rFonts w:ascii="Times New Roman" w:hAnsi="Times New Roman"/>
          <w:sz w:val="24"/>
        </w:rPr>
        <w:t xml:space="preserve">0.05; </w:t>
      </w:r>
      <w:r w:rsidRPr="00E7610A">
        <w:rPr>
          <w:rFonts w:ascii="Times New Roman" w:hAnsi="Times New Roman"/>
          <w:b/>
          <w:sz w:val="24"/>
        </w:rPr>
        <w:t>**</w:t>
      </w:r>
      <w:r w:rsidRPr="00E7610A">
        <w:rPr>
          <w:rFonts w:ascii="Times New Roman" w:hAnsi="Times New Roman"/>
          <w:sz w:val="24"/>
        </w:rPr>
        <w:t>P</w:t>
      </w:r>
      <w:r w:rsidRPr="0048294E">
        <w:rPr>
          <w:rFonts w:ascii="Times New Roman" w:hAnsi="Times New Roman"/>
          <w:sz w:val="24"/>
          <w:szCs w:val="24"/>
        </w:rPr>
        <w:t xml:space="preserve"> &lt; </w:t>
      </w:r>
      <w:r w:rsidRPr="00E7610A">
        <w:rPr>
          <w:rFonts w:ascii="Times New Roman" w:hAnsi="Times New Roman"/>
          <w:sz w:val="24"/>
        </w:rPr>
        <w:t>0.01</w:t>
      </w:r>
      <w:r>
        <w:rPr>
          <w:rFonts w:ascii="Times New Roman" w:hAnsi="Times New Roman"/>
          <w:sz w:val="24"/>
        </w:rPr>
        <w:t>.</w:t>
      </w:r>
    </w:p>
    <w:p w:rsidR="00794C0A" w:rsidRPr="007070FA" w:rsidRDefault="00794C0A" w:rsidP="007070FA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94C0A" w:rsidRPr="007070FA" w:rsidSect="006E00B1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FA"/>
    <w:rsid w:val="007070FA"/>
    <w:rsid w:val="00794C0A"/>
    <w:rsid w:val="00D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0B36"/>
  <w15:chartTrackingRefBased/>
  <w15:docId w15:val="{69782ADB-8256-42C4-B751-FC17FFD1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0FA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7070F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Char">
    <w:name w:val="간격 없음 Char"/>
    <w:basedOn w:val="a0"/>
    <w:link w:val="a3"/>
    <w:uiPriority w:val="1"/>
    <w:rsid w:val="007070FA"/>
  </w:style>
  <w:style w:type="table" w:styleId="a4">
    <w:name w:val="Table Grid"/>
    <w:basedOn w:val="a1"/>
    <w:uiPriority w:val="39"/>
    <w:rsid w:val="0070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Wonsuk Choi</dc:creator>
  <cp:keywords/>
  <dc:description/>
  <cp:lastModifiedBy>Wonsuk Choi</cp:lastModifiedBy>
  <cp:revision>2</cp:revision>
  <dcterms:created xsi:type="dcterms:W3CDTF">2021-02-12T12:22:00Z</dcterms:created>
  <dcterms:modified xsi:type="dcterms:W3CDTF">2021-02-12T12:22:00Z</dcterms:modified>
</cp:coreProperties>
</file>