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BDF" w:rsidRDefault="00AF3BDF" w:rsidP="00AF3BDF">
      <w:pPr>
        <w:jc w:val="left"/>
        <w:rPr>
          <w:rFonts w:ascii="Times New Roman" w:hAnsi="Times New Roman"/>
          <w:szCs w:val="21"/>
        </w:rPr>
      </w:pPr>
    </w:p>
    <w:p w:rsidR="00AF3BDF" w:rsidRDefault="00AF3BDF" w:rsidP="00AF3BDF">
      <w:pPr>
        <w:jc w:val="left"/>
        <w:rPr>
          <w:rFonts w:ascii="Times New Roman" w:hAnsi="Times New Roman"/>
          <w:szCs w:val="21"/>
        </w:rPr>
      </w:pPr>
    </w:p>
    <w:p w:rsidR="00AF3BDF" w:rsidRDefault="00AF3BDF" w:rsidP="00AF3BDF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 xml:space="preserve">Table </w:t>
      </w:r>
      <w:r>
        <w:rPr>
          <w:rFonts w:ascii="Times New Roman" w:hAnsi="Times New Roman" w:hint="eastAsia"/>
          <w:b/>
          <w:szCs w:val="21"/>
        </w:rPr>
        <w:t>S1</w:t>
      </w:r>
      <w:r>
        <w:rPr>
          <w:rFonts w:ascii="Times New Roman" w:hAnsi="Times New Roman"/>
          <w:szCs w:val="21"/>
        </w:rPr>
        <w:t xml:space="preserve"> Summary of DEGs involved in glutathione metabolism and photosynthesis under NK and LK</w:t>
      </w:r>
    </w:p>
    <w:tbl>
      <w:tblPr>
        <w:tblW w:w="11096" w:type="dxa"/>
        <w:jc w:val="center"/>
        <w:tblLook w:val="04A0" w:firstRow="1" w:lastRow="0" w:firstColumn="1" w:lastColumn="0" w:noHBand="0" w:noVBand="1"/>
      </w:tblPr>
      <w:tblGrid>
        <w:gridCol w:w="956"/>
        <w:gridCol w:w="1344"/>
        <w:gridCol w:w="960"/>
        <w:gridCol w:w="1116"/>
        <w:gridCol w:w="960"/>
        <w:gridCol w:w="960"/>
        <w:gridCol w:w="960"/>
        <w:gridCol w:w="960"/>
        <w:gridCol w:w="960"/>
        <w:gridCol w:w="960"/>
        <w:gridCol w:w="960"/>
      </w:tblGrid>
      <w:tr w:rsidR="00AF3BDF" w:rsidTr="0022677E">
        <w:trPr>
          <w:trHeight w:val="264"/>
          <w:jc w:val="center"/>
        </w:trPr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Clean bases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GC Content 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Q30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Mapped Reads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Unique Mapped Reads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Multiple Map Reads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Reads Map to '+'  (%)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Reads Map to '-' (%)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NK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20137910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5988220758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44.28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21727248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6470593282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43.54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22233526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6630241950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44.45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20254201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6028685102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44.1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21010810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6289946962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43.98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20044671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5951182910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43.95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LK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21188822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6330995180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44.47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20417390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6086322934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44.51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Youyan57_3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21440833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6415038268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44.02</w:t>
            </w:r>
          </w:p>
        </w:tc>
      </w:tr>
      <w:tr w:rsidR="00AF3BDF" w:rsidTr="0022677E">
        <w:trPr>
          <w:trHeight w:val="264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21160857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6328591690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43.62</w:t>
            </w:r>
          </w:p>
        </w:tc>
      </w:tr>
      <w:tr w:rsidR="00AF3BDF" w:rsidTr="0022677E">
        <w:trPr>
          <w:trHeight w:val="288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21075091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6296414968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43.39</w:t>
            </w:r>
          </w:p>
        </w:tc>
      </w:tr>
      <w:tr w:rsidR="00AF3BDF" w:rsidTr="0022677E">
        <w:trPr>
          <w:trHeight w:val="288"/>
          <w:jc w:val="center"/>
        </w:trPr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F3BDF" w:rsidRDefault="00AF3BDF" w:rsidP="0022677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Chuanyou36_3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21494970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6415245080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F3BDF" w:rsidRDefault="00AF3BDF" w:rsidP="002267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44.1</w:t>
            </w:r>
          </w:p>
        </w:tc>
      </w:tr>
    </w:tbl>
    <w:p w:rsidR="00AF3BDF" w:rsidRDefault="00AF3BDF" w:rsidP="00AF3BDF">
      <w:pPr>
        <w:spacing w:line="36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Note: NK and LK represent 1 mM and 0.01 mM K</w:t>
      </w:r>
      <w:r>
        <w:rPr>
          <w:rFonts w:ascii="Times New Roman" w:hAnsi="Times New Roman"/>
          <w:sz w:val="18"/>
          <w:szCs w:val="18"/>
          <w:vertAlign w:val="subscript"/>
        </w:rPr>
        <w:t>2</w:t>
      </w:r>
      <w:r>
        <w:rPr>
          <w:rFonts w:ascii="Times New Roman" w:hAnsi="Times New Roman"/>
          <w:sz w:val="18"/>
          <w:szCs w:val="18"/>
        </w:rPr>
        <w:t>SO</w:t>
      </w:r>
      <w:r>
        <w:rPr>
          <w:rFonts w:ascii="Times New Roman" w:hAnsi="Times New Roman"/>
          <w:sz w:val="18"/>
          <w:szCs w:val="18"/>
          <w:vertAlign w:val="subscript"/>
        </w:rPr>
        <w:t>4</w:t>
      </w:r>
      <w:r>
        <w:rPr>
          <w:rFonts w:ascii="Times New Roman" w:hAnsi="Times New Roman"/>
          <w:sz w:val="18"/>
          <w:szCs w:val="18"/>
        </w:rPr>
        <w:t xml:space="preserve"> supplied with 7% PEG6000, respectively.</w:t>
      </w:r>
    </w:p>
    <w:p w:rsidR="00AF3BDF" w:rsidRDefault="00AF3BDF" w:rsidP="00AF3BDF">
      <w:pPr>
        <w:jc w:val="left"/>
        <w:rPr>
          <w:rFonts w:ascii="Times New Roman" w:hAnsi="Times New Roman"/>
          <w:b/>
          <w:szCs w:val="21"/>
        </w:rPr>
        <w:sectPr w:rsidR="00AF3BDF">
          <w:pgSz w:w="11906" w:h="16838"/>
          <w:pgMar w:top="1418" w:right="1418" w:bottom="1304" w:left="1418" w:header="851" w:footer="992" w:gutter="0"/>
          <w:lnNumType w:countBy="1" w:restart="continuous"/>
          <w:cols w:space="425"/>
          <w:docGrid w:type="lines" w:linePitch="312"/>
        </w:sectPr>
      </w:pPr>
    </w:p>
    <w:p w:rsidR="00AF3BDF" w:rsidRDefault="00AF3BDF" w:rsidP="00AF3BDF">
      <w:pPr>
        <w:spacing w:line="360" w:lineRule="auto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noProof/>
          <w:sz w:val="18"/>
          <w:szCs w:val="18"/>
          <w:lang w:eastAsia="en-US"/>
        </w:rPr>
        <w:lastRenderedPageBreak/>
        <w:drawing>
          <wp:inline distT="0" distB="0" distL="0" distR="0" wp14:anchorId="0FAFF9E8" wp14:editId="6D12EA35">
            <wp:extent cx="5759450" cy="4597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BDF" w:rsidRDefault="00AF3BDF" w:rsidP="00AF3BDF">
      <w:pPr>
        <w:widowControl/>
        <w:jc w:val="left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 w:hint="eastAsia"/>
          <w:b/>
          <w:sz w:val="18"/>
          <w:szCs w:val="18"/>
        </w:rPr>
        <w:t>F</w:t>
      </w:r>
      <w:r>
        <w:rPr>
          <w:rFonts w:ascii="Times New Roman" w:hAnsi="Times New Roman"/>
          <w:b/>
          <w:sz w:val="18"/>
          <w:szCs w:val="18"/>
        </w:rPr>
        <w:t xml:space="preserve">ig. S1 </w:t>
      </w:r>
      <w:r>
        <w:rPr>
          <w:rFonts w:ascii="Times New Roman" w:hAnsi="Times New Roman"/>
          <w:sz w:val="18"/>
          <w:szCs w:val="18"/>
        </w:rPr>
        <w:t xml:space="preserve">Heatmap of DEGs involved in 2-oxocarboxylic acid metabolism. </w:t>
      </w:r>
      <w:r>
        <w:rPr>
          <w:rFonts w:ascii="KkqhxrRjvyswAdvTT3713a231" w:eastAsia="SimSun" w:hAnsi="KkqhxrRjvyswAdvTT3713a231" w:cs="SimSun"/>
          <w:color w:val="131413"/>
          <w:kern w:val="0"/>
          <w:szCs w:val="21"/>
        </w:rPr>
        <w:t>Gradient colors indicate log2 fold change of gene expression between Youyan57 and Chuanyou36, and color of grey represents no significant difference between the two cultivars.</w:t>
      </w:r>
    </w:p>
    <w:p w:rsidR="00E1715D" w:rsidRDefault="00AF3BDF">
      <w:bookmarkStart w:id="0" w:name="_GoBack"/>
      <w:bookmarkEnd w:id="0"/>
    </w:p>
    <w:sectPr w:rsidR="00E1715D">
      <w:pgSz w:w="11906" w:h="16838"/>
      <w:pgMar w:top="1440" w:right="1418" w:bottom="1440" w:left="1418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kqhxrRjvyswAdvTT3713a231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BDF"/>
    <w:rsid w:val="001942F0"/>
    <w:rsid w:val="002C0857"/>
    <w:rsid w:val="00884728"/>
    <w:rsid w:val="008E2845"/>
    <w:rsid w:val="00AF3BDF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B64CBF-6165-4006-9D50-D81A5088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BD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F3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2022-09-29T09:54:00Z</dcterms:created>
  <dcterms:modified xsi:type="dcterms:W3CDTF">2022-09-29T09:55:00Z</dcterms:modified>
</cp:coreProperties>
</file>