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A9E2" w14:textId="0FA2151A" w:rsidR="00E919C0" w:rsidRDefault="00FA42A8" w:rsidP="00E919C0">
      <w:pPr>
        <w:autoSpaceDE w:val="0"/>
        <w:autoSpaceDN w:val="0"/>
        <w:adjustRightInd w:val="0"/>
        <w:spacing w:before="70" w:line="480" w:lineRule="auto"/>
        <w:jc w:val="both"/>
        <w:rPr>
          <w:rFonts w:cstheme="minorHAnsi"/>
          <w:b/>
          <w:bCs/>
          <w:lang w:val="en-GB"/>
        </w:rPr>
      </w:pPr>
      <w:r w:rsidRPr="00E919C0">
        <w:rPr>
          <w:rFonts w:cstheme="minorHAnsi"/>
          <w:b/>
          <w:bCs/>
          <w:lang w:val="en-GB"/>
        </w:rPr>
        <w:t>Supplementary Fig</w:t>
      </w:r>
      <w:r w:rsidR="00A5185C">
        <w:rPr>
          <w:rFonts w:cstheme="minorHAnsi"/>
          <w:b/>
          <w:bCs/>
          <w:lang w:val="en-GB"/>
        </w:rPr>
        <w:t>ure</w:t>
      </w:r>
      <w:r w:rsidRPr="00E919C0">
        <w:rPr>
          <w:rFonts w:cstheme="minorHAnsi"/>
          <w:b/>
          <w:bCs/>
          <w:lang w:val="en-GB"/>
        </w:rPr>
        <w:t xml:space="preserve"> 1: Frequency trends of the </w:t>
      </w:r>
      <w:r w:rsidR="00A5185C">
        <w:rPr>
          <w:rFonts w:cstheme="minorHAnsi"/>
          <w:b/>
          <w:bCs/>
          <w:lang w:val="en-GB"/>
        </w:rPr>
        <w:t>97</w:t>
      </w:r>
      <w:r w:rsidRPr="00E919C0">
        <w:rPr>
          <w:rFonts w:cstheme="minorHAnsi"/>
          <w:b/>
          <w:bCs/>
          <w:lang w:val="en-GB"/>
        </w:rPr>
        <w:t xml:space="preserve"> IBD alleles </w:t>
      </w:r>
      <w:r w:rsidR="00E919C0" w:rsidRPr="00E919C0">
        <w:rPr>
          <w:rFonts w:cstheme="minorHAnsi"/>
          <w:b/>
          <w:bCs/>
          <w:lang w:val="en-GB"/>
        </w:rPr>
        <w:t>analysed</w:t>
      </w:r>
      <w:r w:rsidRPr="00E919C0">
        <w:rPr>
          <w:rFonts w:cstheme="minorHAnsi"/>
          <w:b/>
          <w:bCs/>
          <w:lang w:val="en-GB"/>
        </w:rPr>
        <w:t>.</w:t>
      </w:r>
    </w:p>
    <w:p w14:paraId="3761BB95" w14:textId="7E5804AF" w:rsidR="00FA42A8" w:rsidRPr="00E919C0" w:rsidRDefault="00FA42A8" w:rsidP="00E919C0">
      <w:pPr>
        <w:autoSpaceDE w:val="0"/>
        <w:autoSpaceDN w:val="0"/>
        <w:adjustRightInd w:val="0"/>
        <w:spacing w:before="70" w:line="480" w:lineRule="auto"/>
        <w:jc w:val="both"/>
        <w:rPr>
          <w:rFonts w:cstheme="minorHAnsi"/>
          <w:lang w:val="en-GB"/>
        </w:rPr>
      </w:pPr>
      <w:r w:rsidRPr="00E919C0">
        <w:rPr>
          <w:rFonts w:cstheme="minorHAnsi"/>
          <w:lang w:val="en-GB"/>
        </w:rPr>
        <w:t>The blue dashed line runs through the mean value of the allele frequency for each of the populations evaluated, thus forming the trend. Populations marked with an asterisk (*) contain samples from published sources. The size of the circles represents the relative sample size. The size of the NFE circles was divided by 100 for visualization.</w:t>
      </w:r>
    </w:p>
    <w:p w14:paraId="3B660FDB" w14:textId="77777777" w:rsidR="00FA42A8" w:rsidRPr="00E919C0" w:rsidRDefault="00FA42A8" w:rsidP="00E919C0">
      <w:pPr>
        <w:autoSpaceDE w:val="0"/>
        <w:autoSpaceDN w:val="0"/>
        <w:adjustRightInd w:val="0"/>
        <w:spacing w:before="70" w:line="480" w:lineRule="auto"/>
        <w:jc w:val="both"/>
        <w:rPr>
          <w:rFonts w:cstheme="minorHAnsi"/>
          <w:lang w:val="en-GB"/>
        </w:rPr>
      </w:pPr>
    </w:p>
    <w:p w14:paraId="557B1E66" w14:textId="5810429D" w:rsidR="00FA42A8" w:rsidRPr="00E919C0" w:rsidRDefault="00FA42A8" w:rsidP="00E919C0">
      <w:pPr>
        <w:autoSpaceDE w:val="0"/>
        <w:autoSpaceDN w:val="0"/>
        <w:adjustRightInd w:val="0"/>
        <w:spacing w:before="70" w:line="480" w:lineRule="auto"/>
        <w:jc w:val="both"/>
        <w:rPr>
          <w:rFonts w:cstheme="minorHAnsi"/>
          <w:lang w:val="en-GB"/>
        </w:rPr>
      </w:pPr>
      <w:r w:rsidRPr="00E919C0">
        <w:rPr>
          <w:rFonts w:cstheme="minorHAnsi"/>
          <w:b/>
          <w:bCs/>
          <w:lang w:val="en-GB"/>
        </w:rPr>
        <w:t xml:space="preserve">Supplementary Figure 2: Frequency trends of </w:t>
      </w:r>
      <w:r w:rsidR="00E919C0">
        <w:rPr>
          <w:rFonts w:cstheme="minorHAnsi"/>
          <w:b/>
          <w:bCs/>
          <w:lang w:val="en-GB"/>
        </w:rPr>
        <w:t xml:space="preserve">the 19 </w:t>
      </w:r>
      <w:r w:rsidRPr="00E919C0">
        <w:rPr>
          <w:rFonts w:cstheme="minorHAnsi"/>
          <w:b/>
          <w:bCs/>
          <w:lang w:val="en-GB"/>
        </w:rPr>
        <w:t>SNVs that grouped into the trajectories 4, 5 and 6</w:t>
      </w:r>
    </w:p>
    <w:p w14:paraId="6F4A00B9" w14:textId="07D714BD" w:rsidR="00FA42A8" w:rsidRPr="00E919C0" w:rsidRDefault="00FA42A8" w:rsidP="00E919C0">
      <w:pPr>
        <w:autoSpaceDE w:val="0"/>
        <w:autoSpaceDN w:val="0"/>
        <w:adjustRightInd w:val="0"/>
        <w:spacing w:before="70" w:line="480" w:lineRule="auto"/>
        <w:jc w:val="both"/>
        <w:rPr>
          <w:rFonts w:cstheme="minorHAnsi"/>
          <w:lang w:val="en-GB"/>
        </w:rPr>
      </w:pPr>
      <w:r w:rsidRPr="00E919C0">
        <w:rPr>
          <w:rFonts w:cstheme="minorHAnsi"/>
          <w:lang w:val="en-GB"/>
        </w:rPr>
        <w:t xml:space="preserve">Each trend is represented as a light </w:t>
      </w:r>
      <w:r w:rsidR="00E919C0" w:rsidRPr="00E919C0">
        <w:rPr>
          <w:rFonts w:cstheme="minorHAnsi"/>
          <w:lang w:val="en-GB"/>
        </w:rPr>
        <w:t>grey</w:t>
      </w:r>
      <w:r w:rsidRPr="00E919C0">
        <w:rPr>
          <w:rFonts w:cstheme="minorHAnsi"/>
          <w:lang w:val="en-GB"/>
        </w:rPr>
        <w:t xml:space="preserve"> line and is scaled and </w:t>
      </w:r>
      <w:r w:rsidR="00E919C0" w:rsidRPr="00E919C0">
        <w:rPr>
          <w:rFonts w:cstheme="minorHAnsi"/>
          <w:lang w:val="en-GB"/>
        </w:rPr>
        <w:t>centred</w:t>
      </w:r>
      <w:r w:rsidRPr="00E919C0">
        <w:rPr>
          <w:rFonts w:cstheme="minorHAnsi"/>
          <w:lang w:val="en-GB"/>
        </w:rPr>
        <w:t xml:space="preserve"> on the mean of the trend set in its trajectory. The blue line runs through the mean of the trend sets for each of the populations shaping the overall trajectory. On the y-axis, each trend is scaled and </w:t>
      </w:r>
      <w:r w:rsidR="00E919C0" w:rsidRPr="00E919C0">
        <w:rPr>
          <w:rFonts w:cstheme="minorHAnsi"/>
          <w:lang w:val="en-GB"/>
        </w:rPr>
        <w:t>centred</w:t>
      </w:r>
      <w:r w:rsidRPr="00E919C0">
        <w:rPr>
          <w:rFonts w:cstheme="minorHAnsi"/>
          <w:lang w:val="en-GB"/>
        </w:rPr>
        <w:t xml:space="preserve"> on its mean, thus the axis denotes the standard deviation. Asterisk (*) in the x-axis labels refers to published data including the modern Non-Finnish European (NFE) population.</w:t>
      </w:r>
    </w:p>
    <w:p w14:paraId="68446B53" w14:textId="77777777" w:rsidR="001F68C0" w:rsidRPr="00E919C0" w:rsidRDefault="001F68C0" w:rsidP="00E919C0">
      <w:pPr>
        <w:spacing w:line="480" w:lineRule="auto"/>
        <w:jc w:val="both"/>
        <w:rPr>
          <w:rFonts w:cstheme="minorHAnsi"/>
          <w:lang w:val="en-GB"/>
        </w:rPr>
      </w:pPr>
    </w:p>
    <w:p w14:paraId="5148754C" w14:textId="2D5A2D0E" w:rsidR="00E919C0" w:rsidRDefault="001F68C0" w:rsidP="00E919C0">
      <w:pPr>
        <w:autoSpaceDE w:val="0"/>
        <w:autoSpaceDN w:val="0"/>
        <w:adjustRightInd w:val="0"/>
        <w:spacing w:before="70" w:line="480" w:lineRule="auto"/>
        <w:jc w:val="both"/>
        <w:rPr>
          <w:rFonts w:cstheme="minorHAnsi"/>
          <w:b/>
          <w:bCs/>
          <w:lang w:val="en-GB"/>
        </w:rPr>
      </w:pPr>
      <w:r w:rsidRPr="00E919C0">
        <w:rPr>
          <w:rFonts w:cstheme="minorHAnsi"/>
          <w:b/>
          <w:bCs/>
          <w:lang w:val="en-GB"/>
        </w:rPr>
        <w:t xml:space="preserve">Supplementary Figure </w:t>
      </w:r>
      <w:r w:rsidR="00A5185C">
        <w:rPr>
          <w:rFonts w:cstheme="minorHAnsi"/>
          <w:b/>
          <w:bCs/>
          <w:lang w:val="en-GB"/>
        </w:rPr>
        <w:t>3</w:t>
      </w:r>
      <w:r w:rsidRPr="00E919C0">
        <w:rPr>
          <w:rFonts w:cstheme="minorHAnsi"/>
          <w:b/>
          <w:bCs/>
          <w:lang w:val="en-GB"/>
        </w:rPr>
        <w:t xml:space="preserve">: Admixture-informed analysis of three missense variant from trajectory 2 (a-d) and 3 (e and f). </w:t>
      </w:r>
    </w:p>
    <w:p w14:paraId="23D6306A" w14:textId="0CDD49EA" w:rsidR="001F68C0" w:rsidRPr="00E919C0" w:rsidRDefault="001F68C0" w:rsidP="00E919C0">
      <w:pPr>
        <w:autoSpaceDE w:val="0"/>
        <w:autoSpaceDN w:val="0"/>
        <w:adjustRightInd w:val="0"/>
        <w:spacing w:before="70" w:line="480" w:lineRule="auto"/>
        <w:jc w:val="both"/>
        <w:rPr>
          <w:rFonts w:cstheme="minorHAnsi"/>
          <w:lang w:val="en-GB"/>
        </w:rPr>
      </w:pPr>
      <w:r w:rsidRPr="00E919C0">
        <w:rPr>
          <w:rFonts w:cstheme="minorHAnsi"/>
          <w:lang w:val="en-GB"/>
        </w:rPr>
        <w:t xml:space="preserve">The </w:t>
      </w:r>
      <w:r w:rsidRPr="00FC71E3">
        <w:rPr>
          <w:rFonts w:cstheme="minorHAnsi"/>
          <w:color w:val="000000" w:themeColor="text1"/>
          <w:lang w:val="en-GB"/>
        </w:rPr>
        <w:t>expected frequency (shaded bar) was</w:t>
      </w:r>
      <w:r w:rsidRPr="00FC71E3">
        <w:rPr>
          <w:rFonts w:cstheme="minorHAnsi"/>
          <w:b/>
          <w:bCs/>
          <w:color w:val="000000" w:themeColor="text1"/>
          <w:lang w:val="en-GB"/>
        </w:rPr>
        <w:t xml:space="preserve"> </w:t>
      </w:r>
      <w:r w:rsidRPr="00FC71E3">
        <w:rPr>
          <w:rFonts w:cstheme="minorHAnsi"/>
          <w:color w:val="000000" w:themeColor="text1"/>
          <w:lang w:val="en-GB"/>
        </w:rPr>
        <w:t xml:space="preserve">calculated using ancestral admixture components and allele frequencies. </w:t>
      </w:r>
      <w:r w:rsidR="00FC71E3" w:rsidRPr="00FC71E3">
        <w:rPr>
          <w:rFonts w:cstheme="minorHAnsi"/>
          <w:color w:val="000000" w:themeColor="text1"/>
          <w:lang w:val="en-GB"/>
        </w:rPr>
        <w:t>Cross</w:t>
      </w:r>
      <w:r w:rsidR="00E919C0" w:rsidRPr="00FC71E3">
        <w:rPr>
          <w:rFonts w:cstheme="minorHAnsi"/>
          <w:color w:val="000000" w:themeColor="text1"/>
          <w:lang w:val="en-GB"/>
        </w:rPr>
        <w:t xml:space="preserve"> above bars mean there was a significant deviation in binomial test between</w:t>
      </w:r>
      <w:r w:rsidR="00E919C0" w:rsidRPr="00FC71E3">
        <w:rPr>
          <w:rFonts w:cstheme="minorHAnsi"/>
          <w:b/>
          <w:bCs/>
          <w:color w:val="000000" w:themeColor="text1"/>
          <w:lang w:val="en-GB"/>
        </w:rPr>
        <w:t xml:space="preserve"> </w:t>
      </w:r>
      <w:r w:rsidR="00E919C0" w:rsidRPr="00FC71E3">
        <w:rPr>
          <w:rFonts w:cstheme="minorHAnsi"/>
          <w:color w:val="000000" w:themeColor="text1"/>
          <w:lang w:val="en-GB"/>
        </w:rPr>
        <w:t xml:space="preserve">observed and expected frequencies, at </w:t>
      </w:r>
      <w:r w:rsidR="00FC71E3" w:rsidRPr="00FC71E3">
        <w:rPr>
          <w:rFonts w:cstheme="minorHAnsi"/>
          <w:color w:val="000000" w:themeColor="text1"/>
          <w:lang w:val="en-GB"/>
        </w:rPr>
        <w:t>+</w:t>
      </w:r>
      <w:r w:rsidR="00E919C0" w:rsidRPr="00FC71E3">
        <w:rPr>
          <w:rFonts w:cstheme="minorHAnsi"/>
          <w:color w:val="000000" w:themeColor="text1"/>
          <w:lang w:val="en-GB"/>
        </w:rPr>
        <w:t xml:space="preserve">: p ≤ </w:t>
      </w:r>
      <w:proofErr w:type="gramStart"/>
      <w:r w:rsidR="00E919C0" w:rsidRPr="00FC71E3">
        <w:rPr>
          <w:rFonts w:cstheme="minorHAnsi"/>
          <w:color w:val="000000" w:themeColor="text1"/>
          <w:lang w:val="en-GB"/>
        </w:rPr>
        <w:t>0.05 ;</w:t>
      </w:r>
      <w:proofErr w:type="gramEnd"/>
      <w:r w:rsidR="00E919C0" w:rsidRPr="00FC71E3">
        <w:rPr>
          <w:rFonts w:cstheme="minorHAnsi"/>
          <w:color w:val="000000" w:themeColor="text1"/>
          <w:lang w:val="en-GB"/>
        </w:rPr>
        <w:t xml:space="preserve"> </w:t>
      </w:r>
      <w:r w:rsidR="00FC71E3" w:rsidRPr="00FC71E3">
        <w:rPr>
          <w:rFonts w:cstheme="minorHAnsi"/>
          <w:color w:val="000000" w:themeColor="text1"/>
          <w:lang w:val="en-GB"/>
        </w:rPr>
        <w:t>++</w:t>
      </w:r>
      <w:r w:rsidR="00E919C0" w:rsidRPr="00FC71E3">
        <w:rPr>
          <w:rFonts w:cstheme="minorHAnsi"/>
          <w:color w:val="000000" w:themeColor="text1"/>
          <w:lang w:val="en-GB"/>
        </w:rPr>
        <w:t>: p ≤</w:t>
      </w:r>
      <w:r w:rsidR="00E919C0" w:rsidRPr="00FC71E3">
        <w:rPr>
          <w:rFonts w:cstheme="minorHAnsi"/>
          <w:color w:val="000000" w:themeColor="text1"/>
          <w:spacing w:val="-12"/>
          <w:lang w:val="en-GB"/>
        </w:rPr>
        <w:t xml:space="preserve"> </w:t>
      </w:r>
      <w:r w:rsidR="00E919C0" w:rsidRPr="00FC71E3">
        <w:rPr>
          <w:rFonts w:cstheme="minorHAnsi"/>
          <w:color w:val="000000" w:themeColor="text1"/>
          <w:lang w:val="en-GB"/>
        </w:rPr>
        <w:t xml:space="preserve">0.01; </w:t>
      </w:r>
      <w:r w:rsidR="00FC71E3" w:rsidRPr="00FC71E3">
        <w:rPr>
          <w:rFonts w:cstheme="minorHAnsi"/>
          <w:color w:val="000000" w:themeColor="text1"/>
          <w:lang w:val="en-GB"/>
        </w:rPr>
        <w:t>+++</w:t>
      </w:r>
      <w:r w:rsidR="00E919C0" w:rsidRPr="00FC71E3">
        <w:rPr>
          <w:rFonts w:cstheme="minorHAnsi"/>
          <w:color w:val="000000" w:themeColor="text1"/>
          <w:lang w:val="en-GB"/>
        </w:rPr>
        <w:t>: p ≤ 0</w:t>
      </w:r>
      <w:r w:rsidR="00E919C0" w:rsidRPr="00E919C0">
        <w:rPr>
          <w:rFonts w:cstheme="minorHAnsi"/>
          <w:lang w:val="en-GB"/>
        </w:rPr>
        <w:t>.001. Error bars represent 90%</w:t>
      </w:r>
      <w:r w:rsidR="00E919C0" w:rsidRPr="00E919C0">
        <w:rPr>
          <w:rFonts w:cstheme="minorHAnsi"/>
          <w:b/>
          <w:bCs/>
          <w:lang w:val="en-GB"/>
        </w:rPr>
        <w:t xml:space="preserve"> </w:t>
      </w:r>
      <w:r w:rsidR="00E919C0" w:rsidRPr="00E919C0">
        <w:rPr>
          <w:rFonts w:cstheme="minorHAnsi"/>
          <w:lang w:val="en-GB"/>
        </w:rPr>
        <w:t>confidence interval.</w:t>
      </w:r>
      <w:r w:rsidR="00E919C0">
        <w:rPr>
          <w:rFonts w:cstheme="minorHAnsi"/>
          <w:lang w:val="en-GB"/>
        </w:rPr>
        <w:t xml:space="preserve"> </w:t>
      </w:r>
      <w:r w:rsidRPr="00E919C0">
        <w:rPr>
          <w:rFonts w:cstheme="minorHAnsi"/>
          <w:lang w:val="en-GB"/>
        </w:rPr>
        <w:t>The observed and expected</w:t>
      </w:r>
      <w:r w:rsidRPr="00E919C0">
        <w:rPr>
          <w:rFonts w:cstheme="minorHAnsi"/>
          <w:b/>
          <w:bCs/>
          <w:lang w:val="en-GB"/>
        </w:rPr>
        <w:t xml:space="preserve"> </w:t>
      </w:r>
      <w:r w:rsidRPr="00E919C0">
        <w:rPr>
          <w:rFonts w:cstheme="minorHAnsi"/>
          <w:lang w:val="en-GB"/>
        </w:rPr>
        <w:t>frequencies for trajectory 2</w:t>
      </w:r>
      <w:r w:rsidR="00E919C0">
        <w:rPr>
          <w:rFonts w:cstheme="minorHAnsi"/>
          <w:lang w:val="en-GB"/>
        </w:rPr>
        <w:t xml:space="preserve"> and 3 </w:t>
      </w:r>
      <w:r w:rsidRPr="00E919C0">
        <w:rPr>
          <w:rFonts w:cstheme="minorHAnsi"/>
          <w:lang w:val="en-GB"/>
        </w:rPr>
        <w:t>variants do not significantly differentiate in any population and are therefore</w:t>
      </w:r>
      <w:r w:rsidRPr="00E919C0">
        <w:rPr>
          <w:rFonts w:cstheme="minorHAnsi"/>
          <w:b/>
          <w:bCs/>
          <w:lang w:val="en-GB"/>
        </w:rPr>
        <w:t xml:space="preserve"> </w:t>
      </w:r>
      <w:r w:rsidRPr="00E919C0">
        <w:rPr>
          <w:rFonts w:cstheme="minorHAnsi"/>
          <w:lang w:val="en-GB"/>
        </w:rPr>
        <w:t>likely the result of admixture</w:t>
      </w:r>
      <w:r w:rsidR="00E919C0">
        <w:rPr>
          <w:rFonts w:cstheme="minorHAnsi"/>
          <w:lang w:val="en-GB"/>
        </w:rPr>
        <w:t xml:space="preserve">, </w:t>
      </w:r>
      <w:r w:rsidRPr="00E919C0">
        <w:rPr>
          <w:rFonts w:cstheme="minorHAnsi"/>
          <w:lang w:val="en-GB"/>
        </w:rPr>
        <w:t>except for the observed</w:t>
      </w:r>
      <w:r w:rsidRPr="00E919C0">
        <w:rPr>
          <w:rFonts w:cstheme="minorHAnsi"/>
          <w:b/>
          <w:bCs/>
          <w:lang w:val="en-GB"/>
        </w:rPr>
        <w:t xml:space="preserve"> </w:t>
      </w:r>
      <w:r w:rsidR="00A5185C" w:rsidRPr="004F5047">
        <w:rPr>
          <w:rFonts w:cstheme="minorHAnsi"/>
          <w:lang w:val="en-GB"/>
        </w:rPr>
        <w:t xml:space="preserve">frequency </w:t>
      </w:r>
      <w:r w:rsidR="00E919C0" w:rsidRPr="004F5047">
        <w:rPr>
          <w:rFonts w:cstheme="minorHAnsi"/>
          <w:lang w:val="en-GB"/>
        </w:rPr>
        <w:t xml:space="preserve">of </w:t>
      </w:r>
      <w:r w:rsidR="00E919C0" w:rsidRPr="004F5047">
        <w:rPr>
          <w:rFonts w:cstheme="minorHAnsi"/>
          <w:i/>
          <w:iCs/>
          <w:lang w:val="en-GB"/>
        </w:rPr>
        <w:t>CD6</w:t>
      </w:r>
      <w:r w:rsidR="00E919C0" w:rsidRPr="004F5047">
        <w:rPr>
          <w:rFonts w:cstheme="minorHAnsi"/>
          <w:lang w:val="en-GB"/>
        </w:rPr>
        <w:t xml:space="preserve"> rs11230563</w:t>
      </w:r>
      <w:r w:rsidRPr="004F5047">
        <w:rPr>
          <w:rFonts w:cstheme="minorHAnsi"/>
          <w:lang w:val="en-GB"/>
        </w:rPr>
        <w:t xml:space="preserve"> </w:t>
      </w:r>
      <w:r w:rsidR="00A5185C">
        <w:rPr>
          <w:rFonts w:cstheme="minorHAnsi"/>
          <w:lang w:val="en-GB"/>
        </w:rPr>
        <w:lastRenderedPageBreak/>
        <w:t xml:space="preserve">in </w:t>
      </w:r>
      <w:r w:rsidRPr="00E919C0">
        <w:rPr>
          <w:rFonts w:cstheme="minorHAnsi"/>
          <w:lang w:val="en-GB"/>
        </w:rPr>
        <w:t xml:space="preserve">the </w:t>
      </w:r>
      <w:r w:rsidR="00A5185C">
        <w:rPr>
          <w:rFonts w:cstheme="minorHAnsi"/>
          <w:lang w:val="en-GB"/>
        </w:rPr>
        <w:t>l</w:t>
      </w:r>
      <w:r w:rsidRPr="00E919C0">
        <w:rPr>
          <w:rFonts w:cstheme="minorHAnsi"/>
          <w:lang w:val="en-GB"/>
        </w:rPr>
        <w:t xml:space="preserve">ate </w:t>
      </w:r>
      <w:r w:rsidR="00A5185C">
        <w:rPr>
          <w:rFonts w:cstheme="minorHAnsi"/>
          <w:lang w:val="en-GB"/>
        </w:rPr>
        <w:t>f</w:t>
      </w:r>
      <w:r w:rsidRPr="00E919C0">
        <w:rPr>
          <w:rFonts w:cstheme="minorHAnsi"/>
          <w:lang w:val="en-GB"/>
        </w:rPr>
        <w:t>armer</w:t>
      </w:r>
      <w:r w:rsidR="00A5185C">
        <w:rPr>
          <w:rFonts w:cstheme="minorHAnsi"/>
          <w:lang w:val="en-GB"/>
        </w:rPr>
        <w:t>s</w:t>
      </w:r>
      <w:r w:rsidR="00E919C0" w:rsidRPr="00E919C0">
        <w:rPr>
          <w:rFonts w:cstheme="minorHAnsi"/>
          <w:lang w:val="en-GB"/>
        </w:rPr>
        <w:t xml:space="preserve"> </w:t>
      </w:r>
      <w:r w:rsidRPr="00E919C0">
        <w:rPr>
          <w:rFonts w:cstheme="minorHAnsi"/>
          <w:lang w:val="en-GB"/>
        </w:rPr>
        <w:t xml:space="preserve">(published) which </w:t>
      </w:r>
      <w:r w:rsidR="00A5185C">
        <w:rPr>
          <w:rFonts w:cstheme="minorHAnsi"/>
          <w:lang w:val="en-GB"/>
        </w:rPr>
        <w:t xml:space="preserve">deviates </w:t>
      </w:r>
      <w:r w:rsidRPr="00E919C0">
        <w:rPr>
          <w:rFonts w:cstheme="minorHAnsi"/>
          <w:lang w:val="en-GB"/>
        </w:rPr>
        <w:t>to a</w:t>
      </w:r>
      <w:r w:rsidRPr="00E919C0">
        <w:rPr>
          <w:rFonts w:cstheme="minorHAnsi"/>
          <w:b/>
          <w:bCs/>
          <w:lang w:val="en-GB"/>
        </w:rPr>
        <w:t xml:space="preserve"> </w:t>
      </w:r>
      <w:r w:rsidRPr="00E919C0">
        <w:rPr>
          <w:rFonts w:cstheme="minorHAnsi"/>
          <w:lang w:val="en-GB"/>
        </w:rPr>
        <w:t xml:space="preserve">low degree from the expected frequency. </w:t>
      </w:r>
      <w:r w:rsidR="00E919C0" w:rsidRPr="00E919C0">
        <w:rPr>
          <w:rFonts w:cstheme="minorHAnsi"/>
          <w:lang w:val="en-GB"/>
        </w:rPr>
        <w:t>Populations labels marked with an asterisk (*) contain samples from published sources</w:t>
      </w:r>
      <w:r w:rsidR="00E919C0">
        <w:rPr>
          <w:rFonts w:cstheme="minorHAnsi"/>
          <w:lang w:val="en-GB"/>
        </w:rPr>
        <w:t>.</w:t>
      </w:r>
    </w:p>
    <w:p w14:paraId="6B0C1425" w14:textId="77777777" w:rsidR="001F68C0" w:rsidRPr="00E919C0" w:rsidRDefault="001F68C0" w:rsidP="00E919C0">
      <w:pPr>
        <w:autoSpaceDE w:val="0"/>
        <w:autoSpaceDN w:val="0"/>
        <w:adjustRightInd w:val="0"/>
        <w:spacing w:before="70" w:line="480" w:lineRule="auto"/>
        <w:jc w:val="both"/>
        <w:rPr>
          <w:rFonts w:cstheme="minorHAnsi"/>
          <w:lang w:val="en-GB"/>
        </w:rPr>
      </w:pPr>
    </w:p>
    <w:p w14:paraId="48C53D93" w14:textId="15542A33" w:rsidR="00A5185C" w:rsidRDefault="00A5185C" w:rsidP="00A5185C">
      <w:pPr>
        <w:autoSpaceDE w:val="0"/>
        <w:autoSpaceDN w:val="0"/>
        <w:adjustRightInd w:val="0"/>
        <w:spacing w:before="70" w:line="480" w:lineRule="auto"/>
        <w:jc w:val="both"/>
        <w:rPr>
          <w:rFonts w:cstheme="minorHAnsi"/>
          <w:b/>
          <w:bCs/>
          <w:lang w:val="en-GB"/>
        </w:rPr>
      </w:pPr>
      <w:r w:rsidRPr="00E919C0">
        <w:rPr>
          <w:rFonts w:cstheme="minorHAnsi"/>
          <w:b/>
          <w:bCs/>
          <w:lang w:val="en-GB"/>
        </w:rPr>
        <w:t xml:space="preserve">Supplementary Figure </w:t>
      </w:r>
      <w:r>
        <w:rPr>
          <w:rFonts w:cstheme="minorHAnsi"/>
          <w:b/>
          <w:bCs/>
          <w:lang w:val="en-GB"/>
        </w:rPr>
        <w:t>4</w:t>
      </w:r>
      <w:r w:rsidRPr="00E919C0">
        <w:rPr>
          <w:rFonts w:cstheme="minorHAnsi"/>
          <w:b/>
          <w:bCs/>
          <w:lang w:val="en-GB"/>
        </w:rPr>
        <w:t>:</w:t>
      </w:r>
      <w:r w:rsidRPr="00E919C0">
        <w:rPr>
          <w:rFonts w:cstheme="minorHAnsi"/>
          <w:b/>
          <w:bCs/>
          <w:spacing w:val="12"/>
          <w:lang w:val="en-GB"/>
        </w:rPr>
        <w:t xml:space="preserve"> </w:t>
      </w:r>
      <w:r w:rsidRPr="00E919C0">
        <w:rPr>
          <w:rFonts w:cstheme="minorHAnsi"/>
          <w:b/>
          <w:bCs/>
          <w:lang w:val="en-GB"/>
        </w:rPr>
        <w:t>Admixture-informed analysis of four missense variants from trajectory 1</w:t>
      </w:r>
    </w:p>
    <w:p w14:paraId="51D80FB6" w14:textId="1D687B47" w:rsidR="00A5185C" w:rsidRPr="00E919C0" w:rsidRDefault="00A5185C" w:rsidP="00A5185C">
      <w:pPr>
        <w:autoSpaceDE w:val="0"/>
        <w:autoSpaceDN w:val="0"/>
        <w:adjustRightInd w:val="0"/>
        <w:spacing w:before="70" w:line="480" w:lineRule="auto"/>
        <w:jc w:val="both"/>
        <w:rPr>
          <w:rFonts w:cstheme="minorHAnsi"/>
          <w:lang w:val="en-GB"/>
        </w:rPr>
      </w:pPr>
      <w:r w:rsidRPr="00E919C0">
        <w:rPr>
          <w:rFonts w:cstheme="minorHAnsi"/>
          <w:lang w:val="en-GB"/>
        </w:rPr>
        <w:t xml:space="preserve">The expected frequency (shaded bar) was calculated using ancestral admixture components and allele </w:t>
      </w:r>
      <w:r w:rsidRPr="00FC71E3">
        <w:rPr>
          <w:rFonts w:cstheme="minorHAnsi"/>
          <w:color w:val="000000" w:themeColor="text1"/>
          <w:lang w:val="en-GB"/>
        </w:rPr>
        <w:t xml:space="preserve">frequencies. </w:t>
      </w:r>
      <w:r w:rsidR="00FC71E3" w:rsidRPr="00FC71E3">
        <w:rPr>
          <w:rFonts w:cstheme="minorHAnsi"/>
          <w:color w:val="000000" w:themeColor="text1"/>
          <w:lang w:val="en-GB"/>
        </w:rPr>
        <w:t>Cross</w:t>
      </w:r>
      <w:r w:rsidRPr="00FC71E3">
        <w:rPr>
          <w:rFonts w:cstheme="minorHAnsi"/>
          <w:color w:val="000000" w:themeColor="text1"/>
          <w:lang w:val="en-GB"/>
        </w:rPr>
        <w:t xml:space="preserve"> above bars mean there was a significant deviation in binomial test between observed and expected frequencies, at </w:t>
      </w:r>
      <w:r w:rsidR="00FC71E3" w:rsidRPr="00FC71E3">
        <w:rPr>
          <w:rFonts w:cstheme="minorHAnsi"/>
          <w:color w:val="000000" w:themeColor="text1"/>
          <w:lang w:val="en-GB"/>
        </w:rPr>
        <w:t>+</w:t>
      </w:r>
      <w:r w:rsidRPr="00FC71E3">
        <w:rPr>
          <w:rFonts w:cstheme="minorHAnsi"/>
          <w:color w:val="000000" w:themeColor="text1"/>
          <w:lang w:val="en-GB"/>
        </w:rPr>
        <w:t xml:space="preserve">: p ≤ </w:t>
      </w:r>
      <w:proofErr w:type="gramStart"/>
      <w:r w:rsidRPr="00FC71E3">
        <w:rPr>
          <w:rFonts w:cstheme="minorHAnsi"/>
          <w:color w:val="000000" w:themeColor="text1"/>
          <w:lang w:val="en-GB"/>
        </w:rPr>
        <w:t>0.05 ;</w:t>
      </w:r>
      <w:proofErr w:type="gramEnd"/>
      <w:r w:rsidRPr="00FC71E3">
        <w:rPr>
          <w:rFonts w:cstheme="minorHAnsi"/>
          <w:color w:val="000000" w:themeColor="text1"/>
          <w:lang w:val="en-GB"/>
        </w:rPr>
        <w:t xml:space="preserve"> </w:t>
      </w:r>
      <w:r w:rsidR="00FC71E3" w:rsidRPr="00FC71E3">
        <w:rPr>
          <w:rFonts w:cstheme="minorHAnsi"/>
          <w:color w:val="000000" w:themeColor="text1"/>
          <w:lang w:val="en-GB"/>
        </w:rPr>
        <w:t>++</w:t>
      </w:r>
      <w:r w:rsidRPr="00FC71E3">
        <w:rPr>
          <w:rFonts w:cstheme="minorHAnsi"/>
          <w:color w:val="000000" w:themeColor="text1"/>
          <w:lang w:val="en-GB"/>
        </w:rPr>
        <w:t>: p ≤</w:t>
      </w:r>
      <w:r w:rsidRPr="00FC71E3">
        <w:rPr>
          <w:rFonts w:cstheme="minorHAnsi"/>
          <w:color w:val="000000" w:themeColor="text1"/>
          <w:spacing w:val="-12"/>
          <w:lang w:val="en-GB"/>
        </w:rPr>
        <w:t xml:space="preserve"> </w:t>
      </w:r>
      <w:r w:rsidRPr="00FC71E3">
        <w:rPr>
          <w:rFonts w:cstheme="minorHAnsi"/>
          <w:color w:val="000000" w:themeColor="text1"/>
          <w:lang w:val="en-GB"/>
        </w:rPr>
        <w:t xml:space="preserve">0.01; </w:t>
      </w:r>
      <w:r w:rsidR="00FC71E3" w:rsidRPr="00FC71E3">
        <w:rPr>
          <w:rFonts w:cstheme="minorHAnsi"/>
          <w:color w:val="000000" w:themeColor="text1"/>
          <w:lang w:val="en-GB"/>
        </w:rPr>
        <w:t>+++</w:t>
      </w:r>
      <w:r w:rsidRPr="00FC71E3">
        <w:rPr>
          <w:rFonts w:cstheme="minorHAnsi"/>
          <w:color w:val="000000" w:themeColor="text1"/>
          <w:lang w:val="en-GB"/>
        </w:rPr>
        <w:t>: p ≤ 0.001</w:t>
      </w:r>
      <w:r w:rsidRPr="00E919C0">
        <w:rPr>
          <w:rFonts w:cstheme="minorHAnsi"/>
          <w:lang w:val="en-GB"/>
        </w:rPr>
        <w:t>. Error bars represent 90% confidence interval.</w:t>
      </w:r>
      <w:r>
        <w:rPr>
          <w:rFonts w:cstheme="minorHAnsi"/>
          <w:lang w:val="en-GB"/>
        </w:rPr>
        <w:t xml:space="preserve"> </w:t>
      </w:r>
      <w:r w:rsidRPr="00E919C0">
        <w:rPr>
          <w:rFonts w:cstheme="minorHAnsi"/>
          <w:lang w:val="en-GB"/>
        </w:rPr>
        <w:t>The analyses show</w:t>
      </w:r>
      <w:r>
        <w:rPr>
          <w:rFonts w:cstheme="minorHAnsi"/>
          <w:lang w:val="en-GB"/>
        </w:rPr>
        <w:t>ed</w:t>
      </w:r>
      <w:r w:rsidRPr="00E919C0">
        <w:rPr>
          <w:rFonts w:cstheme="minorHAnsi"/>
          <w:lang w:val="en-GB"/>
        </w:rPr>
        <w:t xml:space="preserve"> significant deviations between observed and expected allele frequencies of ancient populations for all four variants. The resulting allele frequencies can therefore not be explained by admixture alone. Populations labels marked with an asterisk (*) contain samples from published sources</w:t>
      </w:r>
      <w:r>
        <w:rPr>
          <w:rFonts w:cstheme="minorHAnsi"/>
          <w:lang w:val="en-GB"/>
        </w:rPr>
        <w:t>.</w:t>
      </w:r>
    </w:p>
    <w:p w14:paraId="496DADC7" w14:textId="77777777" w:rsidR="001F68C0" w:rsidRDefault="001F68C0" w:rsidP="00E919C0">
      <w:pPr>
        <w:autoSpaceDE w:val="0"/>
        <w:autoSpaceDN w:val="0"/>
        <w:adjustRightInd w:val="0"/>
        <w:spacing w:before="70" w:line="220" w:lineRule="exact"/>
        <w:jc w:val="both"/>
        <w:rPr>
          <w:rFonts w:ascii="Helvetica" w:hAnsi="Helvetica" w:cs="Helvetica"/>
          <w:sz w:val="22"/>
          <w:szCs w:val="22"/>
          <w:lang w:val="en-GB"/>
        </w:rPr>
      </w:pPr>
    </w:p>
    <w:sectPr w:rsidR="001F68C0" w:rsidSect="009A701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C0"/>
    <w:rsid w:val="00106FD9"/>
    <w:rsid w:val="001F68C0"/>
    <w:rsid w:val="004D1C9C"/>
    <w:rsid w:val="004F5047"/>
    <w:rsid w:val="009A701D"/>
    <w:rsid w:val="00A5185C"/>
    <w:rsid w:val="00E919C0"/>
    <w:rsid w:val="00FA42A8"/>
    <w:rsid w:val="00FC71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0244FB8"/>
  <w15:chartTrackingRefBased/>
  <w15:docId w15:val="{7D231CBF-D080-4541-8594-ADE0FC9E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E91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G. Torres</dc:creator>
  <cp:keywords/>
  <dc:description/>
  <cp:lastModifiedBy>Ben Krause-Kyora</cp:lastModifiedBy>
  <cp:revision>5</cp:revision>
  <dcterms:created xsi:type="dcterms:W3CDTF">2022-09-16T12:35:00Z</dcterms:created>
  <dcterms:modified xsi:type="dcterms:W3CDTF">2022-09-17T13:57:00Z</dcterms:modified>
</cp:coreProperties>
</file>