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09686" w14:textId="098B02A5" w:rsidR="001B32C4" w:rsidRDefault="001B32C4" w:rsidP="001B32C4">
      <w:pPr>
        <w:spacing w:before="240" w:after="240"/>
        <w:jc w:val="center"/>
        <w:rPr>
          <w:rFonts w:ascii="Times New Roman" w:hAnsi="Times New Roman" w:cs="Times New Roman"/>
        </w:rPr>
      </w:pPr>
      <w:r>
        <w:rPr>
          <w:rFonts w:ascii="Times New Roman" w:hAnsi="Times New Roman" w:cs="Times New Roman"/>
          <w:noProof/>
        </w:rPr>
        <w:drawing>
          <wp:inline distT="0" distB="0" distL="0" distR="0" wp14:anchorId="70EAEDC5" wp14:editId="255A0553">
            <wp:extent cx="4591050" cy="2038350"/>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91050" cy="2038350"/>
                    </a:xfrm>
                    <a:prstGeom prst="rect">
                      <a:avLst/>
                    </a:prstGeom>
                    <a:noFill/>
                    <a:ln>
                      <a:noFill/>
                    </a:ln>
                  </pic:spPr>
                </pic:pic>
              </a:graphicData>
            </a:graphic>
          </wp:inline>
        </w:drawing>
      </w:r>
    </w:p>
    <w:p w14:paraId="348B8B8A" w14:textId="77777777" w:rsidR="001B32C4" w:rsidRDefault="001B32C4" w:rsidP="001B32C4">
      <w:pPr>
        <w:spacing w:before="240" w:after="240"/>
        <w:rPr>
          <w:rFonts w:ascii="Times New Roman" w:hAnsi="Times New Roman" w:cs="Times New Roman"/>
          <w:sz w:val="14"/>
          <w:szCs w:val="14"/>
        </w:rPr>
      </w:pPr>
      <w:r>
        <w:rPr>
          <w:rFonts w:ascii="Times New Roman" w:hAnsi="Times New Roman" w:cs="Times New Roman"/>
          <w:b/>
          <w:color w:val="0E101A"/>
          <w:sz w:val="14"/>
          <w:szCs w:val="14"/>
        </w:rPr>
        <w:t>Extended Data Fig. 1 |</w:t>
      </w:r>
      <w:r>
        <w:rPr>
          <w:rFonts w:ascii="Times New Roman" w:hAnsi="Times New Roman" w:cs="Times New Roman"/>
          <w:b/>
          <w:sz w:val="14"/>
          <w:szCs w:val="14"/>
        </w:rPr>
        <w:t xml:space="preserve"> An illustration of the generalized additive model used. </w:t>
      </w:r>
      <w:r>
        <w:rPr>
          <w:rFonts w:ascii="Times New Roman" w:hAnsi="Times New Roman" w:cs="Times New Roman"/>
          <w:sz w:val="14"/>
          <w:szCs w:val="14"/>
        </w:rPr>
        <w:t xml:space="preserve">The model contains a time-varying function, </w:t>
      </w:r>
      <m:oMath>
        <m:r>
          <w:rPr>
            <w:rFonts w:ascii="Cambria Math" w:hAnsi="Cambria Math" w:cs="Times New Roman"/>
            <w:sz w:val="14"/>
            <w:szCs w:val="14"/>
          </w:rPr>
          <m:t>f(</m:t>
        </m:r>
        <m:sSub>
          <m:sSubPr>
            <m:ctrlPr>
              <w:rPr>
                <w:rFonts w:ascii="Cambria Math" w:hAnsi="Cambria Math" w:cs="Times New Roman"/>
                <w:sz w:val="14"/>
                <w:szCs w:val="14"/>
              </w:rPr>
            </m:ctrlPr>
          </m:sSubPr>
          <m:e>
            <m:r>
              <w:rPr>
                <w:rFonts w:ascii="Cambria Math" w:hAnsi="Cambria Math" w:cs="Times New Roman"/>
                <w:sz w:val="14"/>
                <w:szCs w:val="14"/>
              </w:rPr>
              <m:t>t</m:t>
            </m:r>
          </m:e>
          <m:sub>
            <m:r>
              <w:rPr>
                <w:rFonts w:ascii="Cambria Math" w:hAnsi="Cambria Math" w:cs="Times New Roman"/>
                <w:sz w:val="14"/>
                <w:szCs w:val="14"/>
              </w:rPr>
              <m:t xml:space="preserve">i </m:t>
            </m:r>
          </m:sub>
        </m:sSub>
        <m:r>
          <w:rPr>
            <w:rFonts w:ascii="Cambria Math" w:hAnsi="Cambria Math" w:cs="Times New Roman"/>
            <w:sz w:val="14"/>
            <w:szCs w:val="14"/>
          </w:rPr>
          <m:t>)</m:t>
        </m:r>
      </m:oMath>
      <w:r>
        <w:rPr>
          <w:rFonts w:ascii="Times New Roman" w:hAnsi="Times New Roman" w:cs="Times New Roman"/>
          <w:sz w:val="14"/>
          <w:szCs w:val="14"/>
        </w:rPr>
        <w:t xml:space="preserve">, of school attendance at each time point </w:t>
      </w:r>
      <m:oMath>
        <m:sSub>
          <m:sSubPr>
            <m:ctrlPr>
              <w:rPr>
                <w:rFonts w:ascii="Cambria Math" w:hAnsi="Cambria Math" w:cs="Times New Roman"/>
                <w:sz w:val="14"/>
                <w:szCs w:val="14"/>
              </w:rPr>
            </m:ctrlPr>
          </m:sSubPr>
          <m:e>
            <m:r>
              <w:rPr>
                <w:rFonts w:ascii="Cambria Math" w:hAnsi="Cambria Math" w:cs="Times New Roman"/>
                <w:sz w:val="14"/>
                <w:szCs w:val="14"/>
              </w:rPr>
              <m:t>t</m:t>
            </m:r>
          </m:e>
          <m:sub>
            <m:r>
              <w:rPr>
                <w:rFonts w:ascii="Cambria Math" w:hAnsi="Cambria Math" w:cs="Times New Roman"/>
                <w:sz w:val="14"/>
                <w:szCs w:val="14"/>
              </w:rPr>
              <m:t xml:space="preserve">i </m:t>
            </m:r>
          </m:sub>
        </m:sSub>
      </m:oMath>
      <w:r>
        <w:rPr>
          <w:rFonts w:ascii="Times New Roman" w:hAnsi="Times New Roman" w:cs="Times New Roman"/>
          <w:sz w:val="14"/>
          <w:szCs w:val="14"/>
        </w:rPr>
        <w:t xml:space="preserve"> for </w:t>
      </w:r>
      <m:oMath>
        <m:r>
          <w:rPr>
            <w:rFonts w:ascii="Cambria Math" w:hAnsi="Cambria Math" w:cs="Times New Roman"/>
            <w:sz w:val="14"/>
            <w:szCs w:val="14"/>
          </w:rPr>
          <m:t>i</m:t>
        </m:r>
      </m:oMath>
      <w:r>
        <w:rPr>
          <w:rFonts w:ascii="Times New Roman" w:hAnsi="Times New Roman" w:cs="Times New Roman"/>
          <w:sz w:val="14"/>
          <w:szCs w:val="14"/>
        </w:rPr>
        <w:t xml:space="preserve">th school, and parameters of boil water notice, city-wide boil water notice, a method of instructional delivery in school and vulnerabilities. In the model, we include a host of census block-level demographic characteristics as follows: boil water notice/advisory , city-wide boil water notice/advisory, virtual, online or virtual, hybrid or virtual, percentage of non-white, percentage of people with disability status, percentage of people older than 65, percentage of people younger than 18, percentage of people older than 65 and living alone, percentage of people with limited English, percentage of household with no computer access, percentage of people living in a household under poverty, percentage of a single-parent household. For a time-varying function </w:t>
      </w:r>
      <m:oMath>
        <m:r>
          <w:rPr>
            <w:rFonts w:ascii="Cambria Math" w:hAnsi="Cambria Math" w:cs="Times New Roman"/>
            <w:sz w:val="14"/>
            <w:szCs w:val="14"/>
          </w:rPr>
          <m:t>f(⋅)</m:t>
        </m:r>
      </m:oMath>
      <w:r>
        <w:rPr>
          <w:rFonts w:ascii="Times New Roman" w:hAnsi="Times New Roman" w:cs="Times New Roman"/>
          <w:sz w:val="14"/>
          <w:szCs w:val="14"/>
        </w:rPr>
        <w:t>, we considered the cubic regr</w:t>
      </w:r>
      <w:proofErr w:type="spellStart"/>
      <w:r>
        <w:rPr>
          <w:rFonts w:ascii="Times New Roman" w:hAnsi="Times New Roman" w:cs="Times New Roman"/>
          <w:sz w:val="14"/>
          <w:szCs w:val="14"/>
        </w:rPr>
        <w:t>ession</w:t>
      </w:r>
      <w:proofErr w:type="spellEnd"/>
      <w:r>
        <w:rPr>
          <w:rFonts w:ascii="Times New Roman" w:hAnsi="Times New Roman" w:cs="Times New Roman"/>
          <w:sz w:val="14"/>
          <w:szCs w:val="14"/>
        </w:rPr>
        <w:t xml:space="preserve"> spline basis function to approximate a nonparametric function</w:t>
      </w:r>
      <w:r>
        <w:rPr>
          <w:rFonts w:ascii="Times New Roman" w:hAnsi="Times New Roman" w:cs="Times New Roman"/>
          <w:sz w:val="14"/>
          <w:szCs w:val="14"/>
        </w:rPr>
        <w:fldChar w:fldCharType="begin"/>
      </w:r>
      <w:r>
        <w:rPr>
          <w:rFonts w:ascii="Times New Roman" w:hAnsi="Times New Roman" w:cs="Times New Roman"/>
          <w:sz w:val="14"/>
          <w:szCs w:val="14"/>
        </w:rPr>
        <w:instrText xml:space="preserve"> ADDIN EN.CITE &lt;EndNote&gt;&lt;Cite&gt;&lt;Author&gt;Wood&lt;/Author&gt;&lt;Year&gt;2017&lt;/Year&gt;&lt;RecNum&gt;646&lt;/RecNum&gt;&lt;DisplayText&gt;&lt;style face="superscript"&gt;36&lt;/style&gt;&lt;/DisplayText&gt;&lt;record&gt;&lt;rec-number&gt;646&lt;/rec-number&gt;&lt;foreign-keys&gt;&lt;key app="EN" db-id="0pztfdr94adsevev0rkx05x69rszrsw50dwp" timestamp="1663374863"&gt;646&lt;/key&gt;&lt;/foreign-keys&gt;&lt;ref-type name="Book"&gt;6&lt;/ref-type&gt;&lt;contributors&gt;&lt;authors&gt;&lt;author&gt;Simon N. Wood&lt;/author&gt;&lt;/authors&gt;&lt;/contributors&gt;&lt;titles&gt;&lt;title&gt;Generalized Additive Models: An Introduction with R&lt;/title&gt;&lt;/titles&gt;&lt;dates&gt;&lt;year&gt;2017&lt;/year&gt;&lt;/dates&gt;&lt;pub-location&gt;New York&lt;/pub-location&gt;&lt;publisher&gt;Chapman and Hall/CRC&lt;/publisher&gt;&lt;urls&gt;&lt;/urls&gt;&lt;electronic-resource-num&gt;https://doi.org/10.1201/9781315370279&lt;/electronic-resource-num&gt;&lt;/record&gt;&lt;/Cite&gt;&lt;/EndNote&gt;</w:instrText>
      </w:r>
      <w:r>
        <w:rPr>
          <w:rFonts w:ascii="Times New Roman" w:hAnsi="Times New Roman" w:cs="Times New Roman"/>
          <w:sz w:val="14"/>
          <w:szCs w:val="14"/>
        </w:rPr>
        <w:fldChar w:fldCharType="separate"/>
      </w:r>
      <w:r>
        <w:rPr>
          <w:rFonts w:ascii="Times New Roman" w:hAnsi="Times New Roman" w:cs="Times New Roman"/>
          <w:noProof/>
          <w:sz w:val="14"/>
          <w:szCs w:val="14"/>
          <w:vertAlign w:val="superscript"/>
        </w:rPr>
        <w:t>36</w:t>
      </w:r>
      <w:r>
        <w:rPr>
          <w:rFonts w:ascii="Times New Roman" w:hAnsi="Times New Roman" w:cs="Times New Roman"/>
          <w:sz w:val="14"/>
          <w:szCs w:val="14"/>
        </w:rPr>
        <w:fldChar w:fldCharType="end"/>
      </w:r>
      <w:r>
        <w:rPr>
          <w:rFonts w:ascii="Times New Roman" w:hAnsi="Times New Roman" w:cs="Times New Roman"/>
          <w:sz w:val="14"/>
          <w:szCs w:val="14"/>
        </w:rPr>
        <w:t>; see Supplementary Information for the model specification, including the details on types of models and selection of roughness parameters and knot locations.</w:t>
      </w:r>
    </w:p>
    <w:p w14:paraId="1C1241AB" w14:textId="23A747A6" w:rsidR="001B32C4" w:rsidRDefault="001B32C4" w:rsidP="001B32C4">
      <w:pPr>
        <w:jc w:val="center"/>
        <w:rPr>
          <w:rFonts w:ascii="Times New Roman" w:hAnsi="Times New Roman" w:cs="Times New Roman"/>
          <w:b/>
        </w:rPr>
      </w:pPr>
      <w:r>
        <w:rPr>
          <w:rFonts w:ascii="Times New Roman" w:hAnsi="Times New Roman" w:cs="Times New Roman"/>
          <w:b/>
          <w:noProof/>
        </w:rPr>
        <w:drawing>
          <wp:inline distT="0" distB="0" distL="0" distR="0" wp14:anchorId="5A73806A" wp14:editId="7069BDE7">
            <wp:extent cx="5724525" cy="3219450"/>
            <wp:effectExtent l="0" t="0" r="9525" b="0"/>
            <wp:docPr id="2" name="Picture 2"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Chart&#10;&#10;Description automatically generated with low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4525" cy="3219450"/>
                    </a:xfrm>
                    <a:prstGeom prst="rect">
                      <a:avLst/>
                    </a:prstGeom>
                    <a:noFill/>
                    <a:ln>
                      <a:noFill/>
                    </a:ln>
                  </pic:spPr>
                </pic:pic>
              </a:graphicData>
            </a:graphic>
          </wp:inline>
        </w:drawing>
      </w:r>
    </w:p>
    <w:p w14:paraId="036E0AD3" w14:textId="77777777" w:rsidR="001B32C4" w:rsidRDefault="001B32C4" w:rsidP="001B32C4">
      <w:pPr>
        <w:spacing w:before="240" w:after="240"/>
        <w:rPr>
          <w:rFonts w:ascii="Times New Roman" w:hAnsi="Times New Roman" w:cs="Times New Roman"/>
          <w:sz w:val="14"/>
          <w:szCs w:val="14"/>
        </w:rPr>
      </w:pPr>
      <w:r>
        <w:rPr>
          <w:rFonts w:ascii="Times New Roman" w:hAnsi="Times New Roman" w:cs="Times New Roman"/>
          <w:b/>
          <w:color w:val="0E101A"/>
          <w:sz w:val="14"/>
          <w:szCs w:val="14"/>
        </w:rPr>
        <w:t>Extended Data Fig. 2 | T</w:t>
      </w:r>
      <w:r>
        <w:rPr>
          <w:rFonts w:ascii="Times New Roman" w:hAnsi="Times New Roman" w:cs="Times New Roman"/>
          <w:b/>
          <w:sz w:val="14"/>
          <w:szCs w:val="14"/>
        </w:rPr>
        <w:t>he distribution of unexcused absence rates by school attendance date during our study period between 2015 and 2021.</w:t>
      </w:r>
      <w:r>
        <w:rPr>
          <w:rFonts w:ascii="Times New Roman" w:hAnsi="Times New Roman" w:cs="Times New Roman"/>
          <w:sz w:val="14"/>
          <w:szCs w:val="14"/>
        </w:rPr>
        <w:t xml:space="preserve"> The red line indicates the end of period 1 and the beginning of period 2, </w:t>
      </w:r>
      <w:r>
        <w:rPr>
          <w:rFonts w:ascii="Times New Roman" w:eastAsia="Roboto" w:hAnsi="Times New Roman" w:cs="Times New Roman"/>
          <w:sz w:val="14"/>
          <w:szCs w:val="14"/>
          <w:highlight w:val="white"/>
        </w:rPr>
        <w:t>corresponding to the COVID-19 transition</w:t>
      </w:r>
      <w:r>
        <w:rPr>
          <w:rFonts w:ascii="Times New Roman" w:hAnsi="Times New Roman" w:cs="Times New Roman"/>
          <w:sz w:val="14"/>
          <w:szCs w:val="14"/>
        </w:rPr>
        <w:t>. The observed gaps represent school holidays or breaks. The unexcused absence rate shows different nonlinear dynamic patterns during our study period. In particular, t</w:t>
      </w:r>
      <w:r>
        <w:rPr>
          <w:rFonts w:ascii="Times New Roman" w:eastAsia="Roboto" w:hAnsi="Times New Roman" w:cs="Times New Roman"/>
          <w:sz w:val="14"/>
          <w:szCs w:val="14"/>
          <w:highlight w:val="white"/>
        </w:rPr>
        <w:t>he unexcused absence rate has extreme peaks before holidays or breaks. The unexcused absence rate further increases after instructional delivery changed due to the COVID-19 global pandemic. These unexcused absence rate patterns demonstrate the importance of considering two time periods, one before COVID-19, and the other after COVID-19.</w:t>
      </w:r>
      <w:r>
        <w:rPr>
          <w:rFonts w:ascii="Times New Roman" w:eastAsia="Roboto" w:hAnsi="Times New Roman" w:cs="Times New Roman"/>
          <w:sz w:val="14"/>
          <w:szCs w:val="14"/>
        </w:rPr>
        <w:t xml:space="preserve"> </w:t>
      </w:r>
      <w:r>
        <w:rPr>
          <w:rFonts w:ascii="Times New Roman" w:hAnsi="Times New Roman" w:cs="Times New Roman"/>
          <w:sz w:val="14"/>
          <w:szCs w:val="14"/>
          <w:highlight w:val="white"/>
        </w:rPr>
        <w:t xml:space="preserve">The orange rug, </w:t>
      </w:r>
      <w:r>
        <w:rPr>
          <w:rFonts w:ascii="Times New Roman" w:hAnsi="Times New Roman" w:cs="Times New Roman"/>
          <w:sz w:val="14"/>
          <w:szCs w:val="14"/>
        </w:rPr>
        <w:t>displayed as a mark along the x-axis,</w:t>
      </w:r>
      <w:r>
        <w:rPr>
          <w:rFonts w:ascii="Times New Roman" w:hAnsi="Times New Roman" w:cs="Times New Roman"/>
          <w:sz w:val="14"/>
          <w:szCs w:val="14"/>
          <w:highlight w:val="white"/>
        </w:rPr>
        <w:t xml:space="preserve"> indicates the school attendance date around February 20, </w:t>
      </w:r>
      <w:proofErr w:type="gramStart"/>
      <w:r>
        <w:rPr>
          <w:rFonts w:ascii="Times New Roman" w:hAnsi="Times New Roman" w:cs="Times New Roman"/>
          <w:sz w:val="14"/>
          <w:szCs w:val="14"/>
          <w:highlight w:val="white"/>
        </w:rPr>
        <w:t>2021</w:t>
      </w:r>
      <w:proofErr w:type="gramEnd"/>
      <w:r>
        <w:rPr>
          <w:rFonts w:ascii="Times New Roman" w:hAnsi="Times New Roman" w:cs="Times New Roman"/>
          <w:sz w:val="14"/>
          <w:szCs w:val="14"/>
          <w:highlight w:val="white"/>
        </w:rPr>
        <w:t xml:space="preserve"> with a huge drop in unexcused absence rate.</w:t>
      </w:r>
    </w:p>
    <w:p w14:paraId="0A554FA7"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2C4"/>
    <w:rsid w:val="001B32C4"/>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45CC5"/>
  <w15:chartTrackingRefBased/>
  <w15:docId w15:val="{700DB70A-2914-4FC1-84B8-E387E9AAB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2C4"/>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287463">
      <w:bodyDiv w:val="1"/>
      <w:marLeft w:val="0"/>
      <w:marRight w:val="0"/>
      <w:marTop w:val="0"/>
      <w:marBottom w:val="0"/>
      <w:divBdr>
        <w:top w:val="none" w:sz="0" w:space="0" w:color="auto"/>
        <w:left w:val="none" w:sz="0" w:space="0" w:color="auto"/>
        <w:bottom w:val="none" w:sz="0" w:space="0" w:color="auto"/>
        <w:right w:val="none" w:sz="0" w:space="0" w:color="auto"/>
      </w:divBdr>
    </w:div>
    <w:div w:id="932855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431</Words>
  <Characters>2463</Characters>
  <Application>Microsoft Office Word</Application>
  <DocSecurity>0</DocSecurity>
  <Lines>20</Lines>
  <Paragraphs>5</Paragraphs>
  <ScaleCrop>false</ScaleCrop>
  <Company/>
  <LinksUpToDate>false</LinksUpToDate>
  <CharactersWithSpaces>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2022-09-26T17:38:00Z</dcterms:created>
  <dcterms:modified xsi:type="dcterms:W3CDTF">2022-09-26T17:39:00Z</dcterms:modified>
</cp:coreProperties>
</file>