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D8F297" w14:textId="77777777" w:rsidR="00B51C24" w:rsidRDefault="00B51C24" w:rsidP="00B51C24">
      <w:pPr>
        <w:wordWrap w:val="0"/>
        <w:overflowPunct w:val="0"/>
        <w:autoSpaceDE w:val="0"/>
        <w:autoSpaceDN w:val="0"/>
        <w:spacing w:beforeLines="100" w:before="240" w:afterLines="100" w:after="240"/>
        <w:outlineLvl w:val="0"/>
        <w:rPr>
          <w:rFonts w:hint="eastAsia"/>
          <w:b/>
          <w:sz w:val="20"/>
          <w:szCs w:val="22"/>
        </w:rPr>
      </w:pPr>
      <w:r>
        <w:rPr>
          <w:rFonts w:hint="eastAsia"/>
          <w:b/>
          <w:sz w:val="20"/>
          <w:szCs w:val="22"/>
        </w:rPr>
        <w:t>3 Verification of Calculation Procedure</w:t>
      </w:r>
    </w:p>
    <w:p w14:paraId="6DDF51A9" w14:textId="77777777" w:rsidR="00B51C24" w:rsidRDefault="00B51C24" w:rsidP="00B51C24">
      <w:pPr>
        <w:wordWrap w:val="0"/>
        <w:overflowPunct w:val="0"/>
        <w:autoSpaceDE w:val="0"/>
        <w:autoSpaceDN w:val="0"/>
        <w:spacing w:afterLines="100" w:after="240"/>
        <w:outlineLvl w:val="1"/>
        <w:rPr>
          <w:rFonts w:hint="eastAsia"/>
          <w:i/>
          <w:sz w:val="20"/>
          <w:szCs w:val="22"/>
        </w:rPr>
      </w:pPr>
      <w:r>
        <w:rPr>
          <w:rFonts w:hint="eastAsia"/>
          <w:i/>
          <w:sz w:val="20"/>
          <w:szCs w:val="22"/>
        </w:rPr>
        <w:t>3.1 Precision estimates</w:t>
      </w:r>
    </w:p>
    <w:p w14:paraId="2B4CB330" w14:textId="77777777" w:rsidR="00B51C24" w:rsidRDefault="00B51C24" w:rsidP="00B51C24">
      <w:pPr>
        <w:wordWrap w:val="0"/>
        <w:overflowPunct w:val="0"/>
        <w:autoSpaceDE w:val="0"/>
        <w:autoSpaceDN w:val="0"/>
        <w:ind w:firstLineChars="200" w:firstLine="400"/>
        <w:rPr>
          <w:rFonts w:hint="eastAsia"/>
          <w:iCs/>
          <w:sz w:val="20"/>
          <w:szCs w:val="22"/>
        </w:rPr>
      </w:pPr>
      <w:r>
        <w:rPr>
          <w:rFonts w:hint="eastAsia"/>
          <w:iCs/>
          <w:sz w:val="20"/>
          <w:szCs w:val="22"/>
        </w:rPr>
        <w:t>Smirnov et al</w:t>
      </w:r>
      <w:r>
        <w:rPr>
          <w:rFonts w:hint="eastAsia"/>
          <w:iCs/>
          <w:sz w:val="20"/>
          <w:szCs w:val="22"/>
          <w:vertAlign w:val="superscript"/>
        </w:rPr>
        <w:fldChar w:fldCharType="begin"/>
      </w:r>
      <w:r>
        <w:rPr>
          <w:rFonts w:hint="eastAsia"/>
          <w:iCs/>
          <w:sz w:val="20"/>
          <w:szCs w:val="22"/>
          <w:vertAlign w:val="superscript"/>
        </w:rPr>
        <w:instrText xml:space="preserve"> REF _Ref31989 \n \h </w:instrText>
      </w:r>
      <w:r>
        <w:rPr>
          <w:rFonts w:hint="eastAsia"/>
          <w:iCs/>
          <w:sz w:val="20"/>
          <w:szCs w:val="22"/>
          <w:vertAlign w:val="superscript"/>
        </w:rPr>
        <w:fldChar w:fldCharType="separate"/>
      </w:r>
      <w:r>
        <w:rPr>
          <w:rFonts w:hint="eastAsia"/>
          <w:iCs/>
          <w:sz w:val="20"/>
          <w:szCs w:val="22"/>
          <w:vertAlign w:val="superscript"/>
        </w:rPr>
        <w:t>25</w:t>
      </w:r>
      <w:r>
        <w:rPr>
          <w:rFonts w:hint="eastAsia"/>
          <w:iCs/>
          <w:sz w:val="20"/>
          <w:szCs w:val="22"/>
          <w:vertAlign w:val="superscript"/>
        </w:rPr>
        <w:fldChar w:fldCharType="end"/>
      </w:r>
      <w:r>
        <w:rPr>
          <w:rFonts w:hint="eastAsia"/>
          <w:iCs/>
          <w:sz w:val="20"/>
          <w:szCs w:val="22"/>
          <w:vertAlign w:val="superscript"/>
        </w:rPr>
        <w:t>,</w:t>
      </w:r>
      <w:r>
        <w:rPr>
          <w:rFonts w:hint="eastAsia"/>
          <w:iCs/>
          <w:sz w:val="20"/>
          <w:szCs w:val="22"/>
          <w:vertAlign w:val="superscript"/>
        </w:rPr>
        <w:fldChar w:fldCharType="begin"/>
      </w:r>
      <w:r>
        <w:rPr>
          <w:rFonts w:hint="eastAsia"/>
          <w:iCs/>
          <w:sz w:val="20"/>
          <w:szCs w:val="22"/>
          <w:vertAlign w:val="superscript"/>
        </w:rPr>
        <w:instrText xml:space="preserve"> REF _Ref31995 \n \h </w:instrText>
      </w:r>
      <w:r>
        <w:rPr>
          <w:rFonts w:hint="eastAsia"/>
          <w:iCs/>
          <w:sz w:val="20"/>
          <w:szCs w:val="22"/>
          <w:vertAlign w:val="superscript"/>
        </w:rPr>
        <w:fldChar w:fldCharType="separate"/>
      </w:r>
      <w:r>
        <w:rPr>
          <w:rFonts w:hint="eastAsia"/>
          <w:iCs/>
          <w:sz w:val="20"/>
          <w:szCs w:val="22"/>
          <w:vertAlign w:val="superscript"/>
        </w:rPr>
        <w:t>26</w:t>
      </w:r>
      <w:r>
        <w:rPr>
          <w:rFonts w:hint="eastAsia"/>
          <w:iCs/>
          <w:sz w:val="20"/>
          <w:szCs w:val="22"/>
          <w:vertAlign w:val="superscript"/>
        </w:rPr>
        <w:fldChar w:fldCharType="end"/>
      </w:r>
      <w:r>
        <w:rPr>
          <w:rFonts w:hint="eastAsia"/>
          <w:iCs/>
          <w:sz w:val="20"/>
          <w:szCs w:val="22"/>
        </w:rPr>
        <w:t xml:space="preserve"> point out that estimating precision and errors accumulation is necessary for large scale simulations of complex chemically reacting gas dynamics. A definite error occurs in integration at each step, which is dependent on spatial resolution and numerical solver. This error can be expressed in absolute or relative values. Accumulation of error takes place for successive time steps. </w:t>
      </w:r>
    </w:p>
    <w:p w14:paraId="3882F667" w14:textId="77777777" w:rsidR="00B51C24" w:rsidRDefault="00B51C24" w:rsidP="00B51C24">
      <w:pPr>
        <w:wordWrap w:val="0"/>
        <w:overflowPunct w:val="0"/>
        <w:autoSpaceDE w:val="0"/>
        <w:autoSpaceDN w:val="0"/>
        <w:ind w:firstLineChars="200" w:firstLine="400"/>
        <w:rPr>
          <w:rFonts w:hint="eastAsia"/>
          <w:iCs/>
          <w:sz w:val="20"/>
          <w:szCs w:val="22"/>
        </w:rPr>
      </w:pPr>
      <w:r>
        <w:rPr>
          <w:rFonts w:hint="eastAsia"/>
          <w:iCs/>
          <w:sz w:val="20"/>
          <w:szCs w:val="22"/>
        </w:rPr>
        <w:t xml:space="preserve">The relative error of integration in one-dimensional case </w:t>
      </w:r>
      <w:r>
        <w:rPr>
          <w:rFonts w:hint="eastAsia"/>
          <w:i/>
          <w:sz w:val="20"/>
          <w:szCs w:val="22"/>
        </w:rPr>
        <w:t>S</w:t>
      </w:r>
      <w:r>
        <w:rPr>
          <w:rFonts w:hint="eastAsia"/>
          <w:iCs/>
          <w:sz w:val="20"/>
          <w:szCs w:val="22"/>
          <w:vertAlign w:val="subscript"/>
        </w:rPr>
        <w:t>1</w:t>
      </w:r>
      <w:r>
        <w:rPr>
          <w:rFonts w:hint="eastAsia"/>
          <w:iCs/>
          <w:sz w:val="20"/>
          <w:szCs w:val="22"/>
        </w:rPr>
        <w:t xml:space="preserve"> is proportional to the mean ratio of cell size </w:t>
      </w:r>
      <w:r>
        <w:rPr>
          <w:iCs/>
          <w:sz w:val="20"/>
          <w:szCs w:val="22"/>
        </w:rPr>
        <w:t>Δ</w:t>
      </w:r>
      <w:r>
        <w:rPr>
          <w:rFonts w:hint="eastAsia"/>
          <w:i/>
          <w:sz w:val="20"/>
          <w:szCs w:val="22"/>
        </w:rPr>
        <w:t>L</w:t>
      </w:r>
      <w:r>
        <w:rPr>
          <w:rFonts w:hint="eastAsia"/>
          <w:iCs/>
          <w:sz w:val="20"/>
          <w:szCs w:val="22"/>
        </w:rPr>
        <w:t xml:space="preserve"> to the domain size </w:t>
      </w:r>
      <w:r>
        <w:rPr>
          <w:rFonts w:hint="eastAsia"/>
          <w:i/>
          <w:sz w:val="20"/>
          <w:szCs w:val="22"/>
        </w:rPr>
        <w:t>L</w:t>
      </w:r>
      <w:r>
        <w:rPr>
          <w:rFonts w:hint="eastAsia"/>
          <w:iCs/>
          <w:sz w:val="20"/>
          <w:szCs w:val="22"/>
          <w:vertAlign w:val="subscript"/>
        </w:rPr>
        <w:t>1</w:t>
      </w:r>
      <w:r>
        <w:rPr>
          <w:rFonts w:hint="eastAsia"/>
          <w:iCs/>
          <w:sz w:val="20"/>
          <w:szCs w:val="22"/>
        </w:rPr>
        <w:t xml:space="preserve"> in the direction of integration in power depending on scheme accuracy</w:t>
      </w:r>
      <w:r>
        <w:rPr>
          <w:rFonts w:hint="eastAsia"/>
          <w:iCs/>
          <w:sz w:val="20"/>
          <w:szCs w:val="22"/>
          <w:vertAlign w:val="superscript"/>
        </w:rPr>
        <w:fldChar w:fldCharType="begin"/>
      </w:r>
      <w:r>
        <w:rPr>
          <w:rFonts w:hint="eastAsia"/>
          <w:iCs/>
          <w:sz w:val="20"/>
          <w:szCs w:val="22"/>
          <w:vertAlign w:val="superscript"/>
        </w:rPr>
        <w:instrText xml:space="preserve"> REF _Ref31989 \n \h </w:instrText>
      </w:r>
      <w:r>
        <w:rPr>
          <w:rFonts w:hint="eastAsia"/>
          <w:iCs/>
          <w:sz w:val="20"/>
          <w:szCs w:val="22"/>
          <w:vertAlign w:val="superscript"/>
        </w:rPr>
        <w:fldChar w:fldCharType="separate"/>
      </w:r>
      <w:r>
        <w:rPr>
          <w:rFonts w:hint="eastAsia"/>
          <w:iCs/>
          <w:sz w:val="20"/>
          <w:szCs w:val="22"/>
          <w:vertAlign w:val="superscript"/>
        </w:rPr>
        <w:t>25</w:t>
      </w:r>
      <w:r>
        <w:rPr>
          <w:rFonts w:hint="eastAsia"/>
          <w:iCs/>
          <w:sz w:val="20"/>
          <w:szCs w:val="22"/>
          <w:vertAlign w:val="superscript"/>
        </w:rPr>
        <w:fldChar w:fldCharType="end"/>
      </w:r>
      <w:r>
        <w:rPr>
          <w:rFonts w:hint="eastAsia"/>
          <w:iCs/>
          <w:sz w:val="20"/>
          <w:szCs w:val="22"/>
        </w:rPr>
        <w:t>:</w:t>
      </w:r>
    </w:p>
    <w:p w14:paraId="1333AF94" w14:textId="77777777" w:rsidR="00B51C24" w:rsidRDefault="00B51C24" w:rsidP="00B51C24">
      <w:pPr>
        <w:tabs>
          <w:tab w:val="left" w:pos="240"/>
          <w:tab w:val="left" w:pos="4080"/>
        </w:tabs>
        <w:jc w:val="both"/>
        <w:rPr>
          <w:iCs/>
          <w:sz w:val="20"/>
          <w:szCs w:val="22"/>
        </w:rPr>
      </w:pPr>
      <w:r>
        <w:rPr>
          <w:rFonts w:hint="eastAsia"/>
          <w:iCs/>
          <w:sz w:val="20"/>
          <w:szCs w:val="22"/>
        </w:rPr>
        <w:tab/>
      </w:r>
      <w:r>
        <w:rPr>
          <w:rFonts w:hint="eastAsia"/>
          <w:iCs/>
          <w:position w:val="-32"/>
          <w:sz w:val="20"/>
          <w:szCs w:val="22"/>
        </w:rPr>
        <w:object w:dxaOrig="1300" w:dyaOrig="799" w14:anchorId="0AE339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58" o:spid="_x0000_i1025" type="#_x0000_t75" style="width:65.25pt;height:39.75pt;mso-wrap-style:square;mso-position-horizontal-relative:page;mso-position-vertical-relative:page" o:ole="">
            <v:imagedata r:id="rId4" o:title=""/>
          </v:shape>
          <o:OLEObject Type="Embed" ProgID="Equation.DSMT4" ShapeID="对象 58" DrawAspect="Content" ObjectID="_1655634531" r:id="rId5">
            <o:FieldCodes>\* MERGEFORMAT</o:FieldCodes>
          </o:OLEObject>
        </w:object>
      </w:r>
      <w:r>
        <w:rPr>
          <w:rFonts w:hint="eastAsia"/>
          <w:iCs/>
          <w:sz w:val="20"/>
          <w:szCs w:val="22"/>
        </w:rPr>
        <w:tab/>
        <w:t>(31)</w:t>
      </w:r>
    </w:p>
    <w:p w14:paraId="40E3724B" w14:textId="77777777" w:rsidR="00B51C24" w:rsidRDefault="00B51C24" w:rsidP="00B51C24">
      <w:pPr>
        <w:wordWrap w:val="0"/>
        <w:overflowPunct w:val="0"/>
        <w:autoSpaceDE w:val="0"/>
        <w:autoSpaceDN w:val="0"/>
        <w:rPr>
          <w:rFonts w:hint="eastAsia"/>
          <w:iCs/>
          <w:sz w:val="20"/>
          <w:szCs w:val="22"/>
        </w:rPr>
      </w:pPr>
      <w:r>
        <w:rPr>
          <w:rFonts w:hint="eastAsia"/>
          <w:iCs/>
          <w:sz w:val="20"/>
          <w:szCs w:val="22"/>
        </w:rPr>
        <w:t>Where</w:t>
      </w:r>
      <w:r>
        <w:rPr>
          <w:rFonts w:hint="eastAsia"/>
          <w:i/>
          <w:sz w:val="20"/>
          <w:szCs w:val="22"/>
        </w:rPr>
        <w:t xml:space="preserve"> k</w:t>
      </w:r>
      <w:r>
        <w:rPr>
          <w:rFonts w:hint="eastAsia"/>
          <w:iCs/>
          <w:sz w:val="20"/>
          <w:szCs w:val="22"/>
        </w:rPr>
        <w:t xml:space="preserve"> is the order of accuracy of numerical scheme. In the presence of several directions in integration, the errors</w:t>
      </w:r>
      <w:r>
        <w:rPr>
          <w:rFonts w:hint="eastAsia"/>
          <w:iCs/>
          <w:sz w:val="20"/>
          <w:szCs w:val="22"/>
          <w:vertAlign w:val="superscript"/>
        </w:rPr>
        <w:fldChar w:fldCharType="begin"/>
      </w:r>
      <w:r>
        <w:rPr>
          <w:rFonts w:hint="eastAsia"/>
          <w:iCs/>
          <w:sz w:val="20"/>
          <w:szCs w:val="22"/>
          <w:vertAlign w:val="superscript"/>
        </w:rPr>
        <w:instrText xml:space="preserve"> REF _Ref31989 \n \h </w:instrText>
      </w:r>
      <w:r>
        <w:rPr>
          <w:rFonts w:hint="eastAsia"/>
          <w:iCs/>
          <w:sz w:val="20"/>
          <w:szCs w:val="22"/>
          <w:vertAlign w:val="superscript"/>
        </w:rPr>
        <w:fldChar w:fldCharType="separate"/>
      </w:r>
      <w:r>
        <w:rPr>
          <w:rFonts w:hint="eastAsia"/>
          <w:iCs/>
          <w:sz w:val="20"/>
          <w:szCs w:val="22"/>
          <w:vertAlign w:val="superscript"/>
        </w:rPr>
        <w:t>25</w:t>
      </w:r>
      <w:r>
        <w:rPr>
          <w:rFonts w:hint="eastAsia"/>
          <w:iCs/>
          <w:sz w:val="20"/>
          <w:szCs w:val="22"/>
          <w:vertAlign w:val="superscript"/>
        </w:rPr>
        <w:fldChar w:fldCharType="end"/>
      </w:r>
      <w:r>
        <w:rPr>
          <w:rFonts w:hint="eastAsia"/>
          <w:iCs/>
          <w:sz w:val="20"/>
          <w:szCs w:val="22"/>
        </w:rPr>
        <w:t xml:space="preserve"> are written as</w:t>
      </w:r>
    </w:p>
    <w:p w14:paraId="70A4838E" w14:textId="77777777" w:rsidR="00B51C24" w:rsidRDefault="00B51C24" w:rsidP="00B51C24">
      <w:pPr>
        <w:tabs>
          <w:tab w:val="left" w:pos="240"/>
          <w:tab w:val="left" w:pos="4080"/>
        </w:tabs>
        <w:jc w:val="both"/>
        <w:rPr>
          <w:iCs/>
          <w:sz w:val="20"/>
          <w:szCs w:val="22"/>
        </w:rPr>
      </w:pPr>
      <w:r>
        <w:rPr>
          <w:rFonts w:hint="eastAsia"/>
          <w:iCs/>
          <w:sz w:val="20"/>
          <w:szCs w:val="22"/>
        </w:rPr>
        <w:tab/>
      </w:r>
      <w:r>
        <w:rPr>
          <w:iCs/>
          <w:position w:val="-28"/>
          <w:sz w:val="20"/>
          <w:szCs w:val="22"/>
        </w:rPr>
        <w:object w:dxaOrig="1199" w:dyaOrig="679" w14:anchorId="4A2237FF">
          <v:shape id="对象 92" o:spid="_x0000_i1026" type="#_x0000_t75" style="width:60pt;height:33.75pt;mso-wrap-style:square;mso-position-horizontal-relative:page;mso-position-vertical-relative:page" o:ole="">
            <v:fill o:detectmouseclick="t"/>
            <v:imagedata r:id="rId6" o:title=""/>
          </v:shape>
          <o:OLEObject Type="Embed" ProgID="Equation.DSMT4" ShapeID="对象 92" DrawAspect="Content" ObjectID="_1655634532" r:id="rId7">
            <o:FieldCodes>\* MERGEFORMAT</o:FieldCodes>
          </o:OLEObject>
        </w:object>
      </w:r>
      <w:r>
        <w:rPr>
          <w:rFonts w:hint="eastAsia"/>
          <w:iCs/>
          <w:sz w:val="20"/>
          <w:szCs w:val="22"/>
        </w:rPr>
        <w:tab/>
        <w:t>(32)</w:t>
      </w:r>
    </w:p>
    <w:p w14:paraId="7257D665" w14:textId="77777777" w:rsidR="00B51C24" w:rsidRDefault="00B51C24" w:rsidP="00B51C24">
      <w:pPr>
        <w:wordWrap w:val="0"/>
        <w:overflowPunct w:val="0"/>
        <w:autoSpaceDE w:val="0"/>
        <w:autoSpaceDN w:val="0"/>
        <w:ind w:firstLineChars="200" w:firstLine="400"/>
        <w:rPr>
          <w:rFonts w:hint="eastAsia"/>
          <w:iCs/>
          <w:sz w:val="20"/>
          <w:szCs w:val="22"/>
        </w:rPr>
      </w:pPr>
      <w:r>
        <w:rPr>
          <w:rFonts w:hint="eastAsia"/>
          <w:iCs/>
          <w:sz w:val="20"/>
          <w:szCs w:val="22"/>
        </w:rPr>
        <w:t xml:space="preserve">The allowable value of total error </w:t>
      </w:r>
      <w:r>
        <w:rPr>
          <w:rFonts w:hint="eastAsia"/>
          <w:i/>
          <w:sz w:val="20"/>
          <w:szCs w:val="22"/>
        </w:rPr>
        <w:t>S</w:t>
      </w:r>
      <w:r>
        <w:rPr>
          <w:rFonts w:hint="eastAsia"/>
          <w:iCs/>
          <w:sz w:val="20"/>
          <w:szCs w:val="22"/>
          <w:vertAlign w:val="subscript"/>
        </w:rPr>
        <w:t>max</w:t>
      </w:r>
      <w:r>
        <w:rPr>
          <w:rFonts w:hint="eastAsia"/>
          <w:iCs/>
          <w:sz w:val="20"/>
          <w:szCs w:val="22"/>
          <w:vertAlign w:val="superscript"/>
        </w:rPr>
        <w:fldChar w:fldCharType="begin"/>
      </w:r>
      <w:r>
        <w:rPr>
          <w:rFonts w:hint="eastAsia"/>
          <w:iCs/>
          <w:sz w:val="20"/>
          <w:szCs w:val="22"/>
          <w:vertAlign w:val="superscript"/>
        </w:rPr>
        <w:instrText xml:space="preserve"> REF _Ref31989 \n \h </w:instrText>
      </w:r>
      <w:r>
        <w:rPr>
          <w:rFonts w:hint="eastAsia"/>
          <w:iCs/>
          <w:sz w:val="20"/>
          <w:szCs w:val="22"/>
          <w:vertAlign w:val="superscript"/>
        </w:rPr>
        <w:fldChar w:fldCharType="separate"/>
      </w:r>
      <w:r>
        <w:rPr>
          <w:rFonts w:hint="eastAsia"/>
          <w:iCs/>
          <w:sz w:val="20"/>
          <w:szCs w:val="22"/>
          <w:vertAlign w:val="superscript"/>
        </w:rPr>
        <w:t>25</w:t>
      </w:r>
      <w:r>
        <w:rPr>
          <w:rFonts w:hint="eastAsia"/>
          <w:iCs/>
          <w:sz w:val="20"/>
          <w:szCs w:val="22"/>
          <w:vertAlign w:val="superscript"/>
        </w:rPr>
        <w:fldChar w:fldCharType="end"/>
      </w:r>
      <w:r>
        <w:rPr>
          <w:rFonts w:hint="eastAsia"/>
          <w:iCs/>
          <w:sz w:val="20"/>
          <w:szCs w:val="22"/>
        </w:rPr>
        <w:t xml:space="preserve"> is defined by the user of the simulator. For initial and boundary conditions are usually not known with higher accuracy, </w:t>
      </w:r>
      <w:r>
        <w:rPr>
          <w:rFonts w:hint="eastAsia"/>
          <w:i/>
          <w:sz w:val="20"/>
          <w:szCs w:val="22"/>
        </w:rPr>
        <w:t>S</w:t>
      </w:r>
      <w:r>
        <w:rPr>
          <w:rFonts w:hint="eastAsia"/>
          <w:iCs/>
          <w:sz w:val="20"/>
          <w:szCs w:val="22"/>
          <w:vertAlign w:val="subscript"/>
        </w:rPr>
        <w:t>max</w:t>
      </w:r>
      <w:r>
        <w:rPr>
          <w:rFonts w:hint="eastAsia"/>
          <w:iCs/>
          <w:sz w:val="20"/>
          <w:szCs w:val="22"/>
        </w:rPr>
        <w:t xml:space="preserve"> should be between 1% and 5%. Then the following inequality should be satisfied. </w:t>
      </w:r>
    </w:p>
    <w:p w14:paraId="2EC8CB9E" w14:textId="77777777" w:rsidR="00B51C24" w:rsidRDefault="00B51C24" w:rsidP="00B51C24">
      <w:pPr>
        <w:tabs>
          <w:tab w:val="left" w:pos="240"/>
          <w:tab w:val="left" w:pos="4080"/>
        </w:tabs>
        <w:jc w:val="both"/>
        <w:rPr>
          <w:iCs/>
          <w:sz w:val="20"/>
          <w:szCs w:val="22"/>
        </w:rPr>
      </w:pPr>
      <w:r>
        <w:rPr>
          <w:rFonts w:hint="eastAsia"/>
          <w:iCs/>
          <w:sz w:val="20"/>
          <w:szCs w:val="22"/>
        </w:rPr>
        <w:tab/>
      </w:r>
      <w:r>
        <w:rPr>
          <w:iCs/>
          <w:position w:val="-12"/>
          <w:sz w:val="20"/>
          <w:szCs w:val="22"/>
        </w:rPr>
        <w:object w:dxaOrig="1400" w:dyaOrig="399" w14:anchorId="1DCB1093">
          <v:shape id="对象 93" o:spid="_x0000_i1027" type="#_x0000_t75" style="width:69.75pt;height:20.25pt;mso-wrap-style:square;mso-position-horizontal-relative:page;mso-position-vertical-relative:page" o:ole="">
            <v:fill o:detectmouseclick="t"/>
            <v:imagedata r:id="rId8" o:title=""/>
          </v:shape>
          <o:OLEObject Type="Embed" ProgID="Equation.DSMT4" ShapeID="对象 93" DrawAspect="Content" ObjectID="_1655634533" r:id="rId9">
            <o:FieldCodes>\* MERGEFORMAT</o:FieldCodes>
          </o:OLEObject>
        </w:object>
      </w:r>
      <w:r>
        <w:rPr>
          <w:rFonts w:hint="eastAsia"/>
          <w:iCs/>
          <w:sz w:val="20"/>
          <w:szCs w:val="22"/>
        </w:rPr>
        <w:tab/>
        <w:t>(33)</w:t>
      </w:r>
    </w:p>
    <w:p w14:paraId="683827AA" w14:textId="77777777" w:rsidR="00B51C24" w:rsidRDefault="00B51C24" w:rsidP="00B51C24">
      <w:pPr>
        <w:wordWrap w:val="0"/>
        <w:overflowPunct w:val="0"/>
        <w:autoSpaceDE w:val="0"/>
        <w:autoSpaceDN w:val="0"/>
        <w:rPr>
          <w:rFonts w:hint="eastAsia"/>
          <w:iCs/>
          <w:sz w:val="20"/>
          <w:szCs w:val="22"/>
        </w:rPr>
      </w:pPr>
      <w:r>
        <w:rPr>
          <w:rFonts w:hint="eastAsia"/>
          <w:iCs/>
          <w:sz w:val="20"/>
          <w:szCs w:val="22"/>
        </w:rPr>
        <w:t xml:space="preserve">Where </w:t>
      </w:r>
      <w:r>
        <w:rPr>
          <w:rFonts w:hint="eastAsia"/>
          <w:i/>
          <w:sz w:val="20"/>
          <w:szCs w:val="22"/>
        </w:rPr>
        <w:t>n</w:t>
      </w:r>
      <w:r>
        <w:rPr>
          <w:rFonts w:hint="eastAsia"/>
          <w:iCs/>
          <w:sz w:val="20"/>
          <w:szCs w:val="22"/>
        </w:rPr>
        <w:t xml:space="preserve"> is the number of time steps in </w:t>
      </w:r>
      <w:proofErr w:type="spellStart"/>
      <w:r>
        <w:rPr>
          <w:rFonts w:hint="eastAsia"/>
          <w:iCs/>
          <w:sz w:val="20"/>
          <w:szCs w:val="22"/>
        </w:rPr>
        <w:t>Navier</w:t>
      </w:r>
      <w:proofErr w:type="spellEnd"/>
      <w:r>
        <w:rPr>
          <w:rFonts w:hint="eastAsia"/>
          <w:iCs/>
          <w:sz w:val="20"/>
          <w:szCs w:val="22"/>
        </w:rPr>
        <w:t xml:space="preserve">-Stokes equations integration. </w:t>
      </w:r>
    </w:p>
    <w:p w14:paraId="4D569899" w14:textId="77777777" w:rsidR="00B51C24" w:rsidRDefault="00B51C24" w:rsidP="00B51C24">
      <w:pPr>
        <w:wordWrap w:val="0"/>
        <w:overflowPunct w:val="0"/>
        <w:autoSpaceDE w:val="0"/>
        <w:autoSpaceDN w:val="0"/>
        <w:ind w:firstLineChars="200" w:firstLine="400"/>
        <w:rPr>
          <w:rFonts w:hint="eastAsia"/>
          <w:iCs/>
          <w:sz w:val="20"/>
          <w:szCs w:val="22"/>
        </w:rPr>
      </w:pPr>
      <w:r>
        <w:rPr>
          <w:rFonts w:hint="eastAsia"/>
          <w:iCs/>
          <w:sz w:val="20"/>
          <w:szCs w:val="22"/>
        </w:rPr>
        <w:t>Another important characteristic is introduced for the results of supercomputer simulations. The ratio of the maximal allowable number of time steps to the actual number of time steps is defined as</w:t>
      </w:r>
      <w:r>
        <w:rPr>
          <w:rFonts w:hint="eastAsia"/>
          <w:iCs/>
          <w:sz w:val="20"/>
          <w:szCs w:val="22"/>
          <w:vertAlign w:val="superscript"/>
        </w:rPr>
        <w:fldChar w:fldCharType="begin"/>
      </w:r>
      <w:r>
        <w:rPr>
          <w:rFonts w:hint="eastAsia"/>
          <w:iCs/>
          <w:sz w:val="20"/>
          <w:szCs w:val="22"/>
          <w:vertAlign w:val="superscript"/>
        </w:rPr>
        <w:instrText xml:space="preserve"> REF _Ref31989 \n \h </w:instrText>
      </w:r>
      <w:r>
        <w:rPr>
          <w:rFonts w:hint="eastAsia"/>
          <w:iCs/>
          <w:sz w:val="20"/>
          <w:szCs w:val="22"/>
          <w:vertAlign w:val="superscript"/>
        </w:rPr>
        <w:fldChar w:fldCharType="separate"/>
      </w:r>
      <w:r>
        <w:rPr>
          <w:rFonts w:hint="eastAsia"/>
          <w:iCs/>
          <w:sz w:val="20"/>
          <w:szCs w:val="22"/>
          <w:vertAlign w:val="superscript"/>
        </w:rPr>
        <w:t>25</w:t>
      </w:r>
      <w:r>
        <w:rPr>
          <w:rFonts w:hint="eastAsia"/>
          <w:iCs/>
          <w:sz w:val="20"/>
          <w:szCs w:val="22"/>
          <w:vertAlign w:val="superscript"/>
        </w:rPr>
        <w:fldChar w:fldCharType="end"/>
      </w:r>
      <w:r>
        <w:rPr>
          <w:rFonts w:hint="eastAsia"/>
          <w:iCs/>
          <w:sz w:val="20"/>
          <w:szCs w:val="22"/>
        </w:rPr>
        <w:t>:</w:t>
      </w:r>
    </w:p>
    <w:p w14:paraId="0E28F862" w14:textId="77777777" w:rsidR="00B51C24" w:rsidRDefault="00B51C24" w:rsidP="00B51C24">
      <w:pPr>
        <w:tabs>
          <w:tab w:val="left" w:pos="240"/>
          <w:tab w:val="left" w:pos="4080"/>
        </w:tabs>
        <w:jc w:val="both"/>
        <w:rPr>
          <w:iCs/>
          <w:sz w:val="20"/>
          <w:szCs w:val="22"/>
        </w:rPr>
      </w:pPr>
      <w:r>
        <w:rPr>
          <w:rFonts w:hint="eastAsia"/>
          <w:iCs/>
          <w:sz w:val="20"/>
          <w:szCs w:val="22"/>
        </w:rPr>
        <w:tab/>
      </w:r>
      <w:r>
        <w:rPr>
          <w:rFonts w:hint="eastAsia"/>
          <w:iCs/>
          <w:position w:val="-12"/>
          <w:sz w:val="20"/>
          <w:szCs w:val="22"/>
        </w:rPr>
        <w:object w:dxaOrig="1219" w:dyaOrig="359" w14:anchorId="12479033">
          <v:shape id="对象 94" o:spid="_x0000_i1028" type="#_x0000_t75" style="width:60.75pt;height:18pt;mso-wrap-style:square;mso-position-horizontal-relative:page;mso-position-vertical-relative:page" o:ole="">
            <v:fill o:detectmouseclick="t"/>
            <v:imagedata r:id="rId10" o:title=""/>
          </v:shape>
          <o:OLEObject Type="Embed" ProgID="Equation.DSMT4" ShapeID="对象 94" DrawAspect="Content" ObjectID="_1655634534" r:id="rId11">
            <o:FieldCodes>\* MERGEFORMAT</o:FieldCodes>
          </o:OLEObject>
        </w:object>
      </w:r>
      <w:r>
        <w:rPr>
          <w:rFonts w:hint="eastAsia"/>
          <w:iCs/>
          <w:sz w:val="20"/>
          <w:szCs w:val="22"/>
        </w:rPr>
        <w:tab/>
        <w:t>(34)</w:t>
      </w:r>
    </w:p>
    <w:p w14:paraId="54CD7010" w14:textId="77777777" w:rsidR="00B51C24" w:rsidRDefault="00B51C24" w:rsidP="00B51C24">
      <w:pPr>
        <w:wordWrap w:val="0"/>
        <w:overflowPunct w:val="0"/>
        <w:autoSpaceDE w:val="0"/>
        <w:autoSpaceDN w:val="0"/>
        <w:ind w:firstLineChars="200" w:firstLine="400"/>
        <w:rPr>
          <w:rFonts w:hint="eastAsia"/>
          <w:iCs/>
          <w:sz w:val="20"/>
          <w:szCs w:val="22"/>
        </w:rPr>
      </w:pPr>
      <w:r>
        <w:rPr>
          <w:rFonts w:hint="eastAsia"/>
          <w:iCs/>
          <w:sz w:val="20"/>
          <w:szCs w:val="22"/>
        </w:rPr>
        <w:t>Table 3 shows the accumulation of error for the grid resolution and physical time simulations. The allowable error was assumed at 5%. For present numerical simulations, all results demonstrate high reliability, but it is not always appropriate to simulate longer steps.</w:t>
      </w:r>
    </w:p>
    <w:p w14:paraId="6850F2F2" w14:textId="77777777" w:rsidR="00B51C24" w:rsidRDefault="00B51C24" w:rsidP="00B51C24">
      <w:pPr>
        <w:wordWrap w:val="0"/>
        <w:overflowPunct w:val="0"/>
        <w:autoSpaceDE w:val="0"/>
        <w:autoSpaceDN w:val="0"/>
        <w:jc w:val="center"/>
        <w:rPr>
          <w:rFonts w:hint="eastAsia"/>
          <w:iCs/>
          <w:sz w:val="20"/>
          <w:szCs w:val="22"/>
        </w:rPr>
      </w:pPr>
      <w:r>
        <w:rPr>
          <w:rFonts w:hint="eastAsia"/>
          <w:iCs/>
          <w:sz w:val="20"/>
          <w:szCs w:val="22"/>
        </w:rPr>
        <w:t>Table 3 Error estimates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47"/>
        <w:gridCol w:w="968"/>
        <w:gridCol w:w="994"/>
      </w:tblGrid>
      <w:tr w:rsidR="00B51C24" w14:paraId="6ED92B46" w14:textId="77777777" w:rsidTr="00FB4B76">
        <w:trPr>
          <w:trHeight w:val="182"/>
        </w:trPr>
        <w:tc>
          <w:tcPr>
            <w:tcW w:w="2747" w:type="dxa"/>
          </w:tcPr>
          <w:p w14:paraId="048525A7" w14:textId="77777777" w:rsidR="00B51C24" w:rsidRDefault="00B51C24" w:rsidP="00FB4B76">
            <w:pPr>
              <w:wordWrap w:val="0"/>
              <w:overflowPunct w:val="0"/>
              <w:autoSpaceDE w:val="0"/>
              <w:autoSpaceDN w:val="0"/>
              <w:rPr>
                <w:iCs/>
                <w:sz w:val="18"/>
                <w:szCs w:val="18"/>
              </w:rPr>
            </w:pPr>
            <w:r>
              <w:rPr>
                <w:rFonts w:hint="eastAsia"/>
                <w:iCs/>
                <w:sz w:val="18"/>
                <w:szCs w:val="18"/>
              </w:rPr>
              <w:t>Case</w:t>
            </w:r>
          </w:p>
        </w:tc>
        <w:tc>
          <w:tcPr>
            <w:tcW w:w="968" w:type="dxa"/>
          </w:tcPr>
          <w:p w14:paraId="03023530"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TCM2</w:t>
            </w:r>
          </w:p>
        </w:tc>
        <w:tc>
          <w:tcPr>
            <w:tcW w:w="994" w:type="dxa"/>
          </w:tcPr>
          <w:p w14:paraId="06BF2ACA"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HEG</w:t>
            </w:r>
          </w:p>
        </w:tc>
      </w:tr>
      <w:tr w:rsidR="00B51C24" w14:paraId="763389F5" w14:textId="77777777" w:rsidTr="00FB4B76">
        <w:tc>
          <w:tcPr>
            <w:tcW w:w="2747" w:type="dxa"/>
          </w:tcPr>
          <w:p w14:paraId="1C5E0D7D" w14:textId="77777777" w:rsidR="00B51C24" w:rsidRDefault="00B51C24" w:rsidP="00FB4B76">
            <w:pPr>
              <w:wordWrap w:val="0"/>
              <w:overflowPunct w:val="0"/>
              <w:autoSpaceDE w:val="0"/>
              <w:autoSpaceDN w:val="0"/>
              <w:rPr>
                <w:iCs/>
                <w:sz w:val="18"/>
                <w:szCs w:val="18"/>
              </w:rPr>
            </w:pPr>
            <w:r>
              <w:rPr>
                <w:rFonts w:hint="eastAsia"/>
                <w:iCs/>
                <w:sz w:val="18"/>
                <w:szCs w:val="18"/>
              </w:rPr>
              <w:t>Allowable error</w:t>
            </w:r>
          </w:p>
        </w:tc>
        <w:tc>
          <w:tcPr>
            <w:tcW w:w="968" w:type="dxa"/>
          </w:tcPr>
          <w:p w14:paraId="5F3842B5"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5%</w:t>
            </w:r>
          </w:p>
        </w:tc>
        <w:tc>
          <w:tcPr>
            <w:tcW w:w="994" w:type="dxa"/>
          </w:tcPr>
          <w:p w14:paraId="0C6412D7"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5%</w:t>
            </w:r>
          </w:p>
        </w:tc>
      </w:tr>
      <w:tr w:rsidR="00B51C24" w14:paraId="3137E8A4" w14:textId="77777777" w:rsidTr="00FB4B76">
        <w:tc>
          <w:tcPr>
            <w:tcW w:w="2747" w:type="dxa"/>
          </w:tcPr>
          <w:p w14:paraId="324083A0" w14:textId="77777777" w:rsidR="00B51C24" w:rsidRDefault="00B51C24" w:rsidP="00FB4B76">
            <w:pPr>
              <w:wordWrap w:val="0"/>
              <w:overflowPunct w:val="0"/>
              <w:autoSpaceDE w:val="0"/>
              <w:autoSpaceDN w:val="0"/>
              <w:rPr>
                <w:iCs/>
                <w:sz w:val="18"/>
                <w:szCs w:val="18"/>
              </w:rPr>
            </w:pPr>
            <w:r>
              <w:rPr>
                <w:rFonts w:hint="eastAsia"/>
                <w:iCs/>
                <w:sz w:val="18"/>
                <w:szCs w:val="18"/>
              </w:rPr>
              <w:t>Grid resolution</w:t>
            </w:r>
          </w:p>
        </w:tc>
        <w:tc>
          <w:tcPr>
            <w:tcW w:w="968" w:type="dxa"/>
          </w:tcPr>
          <w:p w14:paraId="70066245"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1251</w:t>
            </w:r>
            <w:r>
              <w:rPr>
                <w:rFonts w:hint="eastAsia"/>
                <w:iCs/>
                <w:sz w:val="18"/>
                <w:szCs w:val="18"/>
              </w:rPr>
              <w:t>×</w:t>
            </w:r>
            <w:r>
              <w:rPr>
                <w:rFonts w:hint="eastAsia"/>
                <w:iCs/>
                <w:sz w:val="18"/>
                <w:szCs w:val="18"/>
              </w:rPr>
              <w:t>201</w:t>
            </w:r>
          </w:p>
        </w:tc>
        <w:tc>
          <w:tcPr>
            <w:tcW w:w="994" w:type="dxa"/>
          </w:tcPr>
          <w:p w14:paraId="3FF4E668"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1251</w:t>
            </w:r>
            <w:r>
              <w:rPr>
                <w:rFonts w:hint="eastAsia"/>
                <w:iCs/>
                <w:sz w:val="18"/>
                <w:szCs w:val="18"/>
              </w:rPr>
              <w:t>×</w:t>
            </w:r>
            <w:r>
              <w:rPr>
                <w:rFonts w:hint="eastAsia"/>
                <w:iCs/>
                <w:sz w:val="18"/>
                <w:szCs w:val="18"/>
              </w:rPr>
              <w:t>201</w:t>
            </w:r>
          </w:p>
        </w:tc>
      </w:tr>
      <w:tr w:rsidR="00B51C24" w14:paraId="0189C731" w14:textId="77777777" w:rsidTr="00FB4B76">
        <w:tc>
          <w:tcPr>
            <w:tcW w:w="2747" w:type="dxa"/>
          </w:tcPr>
          <w:p w14:paraId="48E4B2A5" w14:textId="77777777" w:rsidR="00B51C24" w:rsidRDefault="00B51C24" w:rsidP="00FB4B76">
            <w:pPr>
              <w:wordWrap w:val="0"/>
              <w:overflowPunct w:val="0"/>
              <w:autoSpaceDE w:val="0"/>
              <w:autoSpaceDN w:val="0"/>
              <w:rPr>
                <w:iCs/>
                <w:sz w:val="18"/>
                <w:szCs w:val="18"/>
              </w:rPr>
            </w:pPr>
            <w:r>
              <w:rPr>
                <w:rFonts w:hint="eastAsia"/>
                <w:iCs/>
                <w:sz w:val="18"/>
                <w:szCs w:val="18"/>
              </w:rPr>
              <w:t>Physical time simulated(</w:t>
            </w:r>
            <w:proofErr w:type="spellStart"/>
            <w:r>
              <w:rPr>
                <w:rFonts w:hint="eastAsia"/>
                <w:iCs/>
                <w:sz w:val="18"/>
                <w:szCs w:val="18"/>
              </w:rPr>
              <w:t>ms</w:t>
            </w:r>
            <w:proofErr w:type="spellEnd"/>
            <w:r>
              <w:rPr>
                <w:rFonts w:hint="eastAsia"/>
                <w:iCs/>
                <w:sz w:val="18"/>
                <w:szCs w:val="18"/>
              </w:rPr>
              <w:t>)</w:t>
            </w:r>
          </w:p>
        </w:tc>
        <w:tc>
          <w:tcPr>
            <w:tcW w:w="968" w:type="dxa"/>
          </w:tcPr>
          <w:p w14:paraId="08A64055"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3.5</w:t>
            </w:r>
          </w:p>
        </w:tc>
        <w:tc>
          <w:tcPr>
            <w:tcW w:w="994" w:type="dxa"/>
          </w:tcPr>
          <w:p w14:paraId="6CFEAEEE"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5.0</w:t>
            </w:r>
          </w:p>
        </w:tc>
      </w:tr>
      <w:tr w:rsidR="00B51C24" w14:paraId="6CF0A26A" w14:textId="77777777" w:rsidTr="00FB4B76">
        <w:tc>
          <w:tcPr>
            <w:tcW w:w="2747" w:type="dxa"/>
          </w:tcPr>
          <w:p w14:paraId="1DAB577A" w14:textId="77777777" w:rsidR="00B51C24" w:rsidRDefault="00B51C24" w:rsidP="00FB4B76">
            <w:pPr>
              <w:wordWrap w:val="0"/>
              <w:overflowPunct w:val="0"/>
              <w:autoSpaceDE w:val="0"/>
              <w:autoSpaceDN w:val="0"/>
              <w:rPr>
                <w:iCs/>
                <w:sz w:val="18"/>
                <w:szCs w:val="18"/>
              </w:rPr>
            </w:pPr>
            <w:r>
              <w:rPr>
                <w:rFonts w:hint="eastAsia"/>
                <w:iCs/>
                <w:sz w:val="18"/>
                <w:szCs w:val="18"/>
              </w:rPr>
              <w:t>Number of time steps</w:t>
            </w:r>
          </w:p>
        </w:tc>
        <w:tc>
          <w:tcPr>
            <w:tcW w:w="968" w:type="dxa"/>
          </w:tcPr>
          <w:p w14:paraId="5147B165"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3500</w:t>
            </w:r>
          </w:p>
        </w:tc>
        <w:tc>
          <w:tcPr>
            <w:tcW w:w="994" w:type="dxa"/>
          </w:tcPr>
          <w:p w14:paraId="466D5F5F"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5000</w:t>
            </w:r>
          </w:p>
        </w:tc>
      </w:tr>
      <w:tr w:rsidR="00B51C24" w14:paraId="3700ECB7" w14:textId="77777777" w:rsidTr="00FB4B76">
        <w:tc>
          <w:tcPr>
            <w:tcW w:w="2747" w:type="dxa"/>
          </w:tcPr>
          <w:p w14:paraId="6693B3B7" w14:textId="77777777" w:rsidR="00B51C24" w:rsidRDefault="00B51C24" w:rsidP="00FB4B76">
            <w:pPr>
              <w:wordWrap w:val="0"/>
              <w:overflowPunct w:val="0"/>
              <w:autoSpaceDE w:val="0"/>
              <w:autoSpaceDN w:val="0"/>
              <w:rPr>
                <w:iCs/>
                <w:sz w:val="18"/>
                <w:szCs w:val="18"/>
              </w:rPr>
            </w:pPr>
            <w:r>
              <w:rPr>
                <w:rFonts w:hint="eastAsia"/>
                <w:iCs/>
                <w:sz w:val="18"/>
                <w:szCs w:val="18"/>
              </w:rPr>
              <w:t>Accumulated error</w:t>
            </w:r>
          </w:p>
        </w:tc>
        <w:tc>
          <w:tcPr>
            <w:tcW w:w="968" w:type="dxa"/>
          </w:tcPr>
          <w:p w14:paraId="4B627362"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1.23</w:t>
            </w:r>
            <w:r>
              <w:rPr>
                <w:rFonts w:hint="eastAsia"/>
                <w:iCs/>
                <w:sz w:val="18"/>
                <w:szCs w:val="18"/>
              </w:rPr>
              <w:t>×</w:t>
            </w:r>
            <w:r>
              <w:rPr>
                <w:rFonts w:hint="eastAsia"/>
                <w:iCs/>
                <w:sz w:val="18"/>
                <w:szCs w:val="18"/>
              </w:rPr>
              <w:t>10</w:t>
            </w:r>
            <w:r>
              <w:rPr>
                <w:rFonts w:hint="eastAsia"/>
                <w:iCs/>
                <w:sz w:val="18"/>
                <w:szCs w:val="18"/>
                <w:vertAlign w:val="superscript"/>
              </w:rPr>
              <w:t>-7</w:t>
            </w:r>
          </w:p>
        </w:tc>
        <w:tc>
          <w:tcPr>
            <w:tcW w:w="994" w:type="dxa"/>
          </w:tcPr>
          <w:p w14:paraId="1AF152C4"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1.23</w:t>
            </w:r>
            <w:r>
              <w:rPr>
                <w:rFonts w:hint="eastAsia"/>
                <w:iCs/>
                <w:sz w:val="18"/>
                <w:szCs w:val="18"/>
              </w:rPr>
              <w:t>×</w:t>
            </w:r>
            <w:r>
              <w:rPr>
                <w:rFonts w:hint="eastAsia"/>
                <w:iCs/>
                <w:sz w:val="18"/>
                <w:szCs w:val="18"/>
              </w:rPr>
              <w:t>10</w:t>
            </w:r>
            <w:r>
              <w:rPr>
                <w:rFonts w:hint="eastAsia"/>
                <w:iCs/>
                <w:sz w:val="18"/>
                <w:szCs w:val="18"/>
                <w:vertAlign w:val="superscript"/>
              </w:rPr>
              <w:t>-7</w:t>
            </w:r>
          </w:p>
        </w:tc>
      </w:tr>
      <w:tr w:rsidR="00B51C24" w14:paraId="280683B8" w14:textId="77777777" w:rsidTr="00FB4B76">
        <w:trPr>
          <w:trHeight w:val="182"/>
        </w:trPr>
        <w:tc>
          <w:tcPr>
            <w:tcW w:w="2747" w:type="dxa"/>
          </w:tcPr>
          <w:p w14:paraId="3985F535" w14:textId="77777777" w:rsidR="00B51C24" w:rsidRDefault="00B51C24" w:rsidP="00FB4B76">
            <w:pPr>
              <w:wordWrap w:val="0"/>
              <w:overflowPunct w:val="0"/>
              <w:autoSpaceDE w:val="0"/>
              <w:autoSpaceDN w:val="0"/>
              <w:rPr>
                <w:rFonts w:hint="eastAsia"/>
                <w:iCs/>
                <w:sz w:val="18"/>
                <w:szCs w:val="18"/>
              </w:rPr>
            </w:pPr>
            <w:r>
              <w:rPr>
                <w:rFonts w:hint="eastAsia"/>
                <w:iCs/>
                <w:sz w:val="18"/>
                <w:szCs w:val="18"/>
              </w:rPr>
              <w:t>Allowable number of time steps</w:t>
            </w:r>
          </w:p>
        </w:tc>
        <w:tc>
          <w:tcPr>
            <w:tcW w:w="968" w:type="dxa"/>
          </w:tcPr>
          <w:p w14:paraId="631CCC17"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1.63</w:t>
            </w:r>
            <w:r>
              <w:rPr>
                <w:rFonts w:hint="eastAsia"/>
                <w:iCs/>
                <w:sz w:val="18"/>
                <w:szCs w:val="18"/>
              </w:rPr>
              <w:t>×</w:t>
            </w:r>
            <w:r>
              <w:rPr>
                <w:rFonts w:hint="eastAsia"/>
                <w:iCs/>
                <w:sz w:val="18"/>
                <w:szCs w:val="18"/>
              </w:rPr>
              <w:t>10</w:t>
            </w:r>
            <w:r>
              <w:rPr>
                <w:rFonts w:hint="eastAsia"/>
                <w:iCs/>
                <w:sz w:val="18"/>
                <w:szCs w:val="18"/>
                <w:vertAlign w:val="superscript"/>
              </w:rPr>
              <w:t>11</w:t>
            </w:r>
          </w:p>
        </w:tc>
        <w:tc>
          <w:tcPr>
            <w:tcW w:w="994" w:type="dxa"/>
          </w:tcPr>
          <w:p w14:paraId="62CE8664"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1.63</w:t>
            </w:r>
            <w:r>
              <w:rPr>
                <w:rFonts w:hint="eastAsia"/>
                <w:iCs/>
                <w:sz w:val="18"/>
                <w:szCs w:val="18"/>
              </w:rPr>
              <w:t>×</w:t>
            </w:r>
            <w:r>
              <w:rPr>
                <w:rFonts w:hint="eastAsia"/>
                <w:iCs/>
                <w:sz w:val="18"/>
                <w:szCs w:val="18"/>
              </w:rPr>
              <w:t>10</w:t>
            </w:r>
            <w:r>
              <w:rPr>
                <w:rFonts w:hint="eastAsia"/>
                <w:iCs/>
                <w:sz w:val="18"/>
                <w:szCs w:val="18"/>
                <w:vertAlign w:val="superscript"/>
              </w:rPr>
              <w:t>11</w:t>
            </w:r>
          </w:p>
        </w:tc>
      </w:tr>
      <w:tr w:rsidR="00B51C24" w14:paraId="67EE76BD" w14:textId="77777777" w:rsidTr="00FB4B76">
        <w:tc>
          <w:tcPr>
            <w:tcW w:w="2747" w:type="dxa"/>
          </w:tcPr>
          <w:p w14:paraId="1CF7F812" w14:textId="77777777" w:rsidR="00B51C24" w:rsidRDefault="00B51C24" w:rsidP="00FB4B76">
            <w:pPr>
              <w:wordWrap w:val="0"/>
              <w:overflowPunct w:val="0"/>
              <w:autoSpaceDE w:val="0"/>
              <w:autoSpaceDN w:val="0"/>
              <w:rPr>
                <w:iCs/>
                <w:sz w:val="18"/>
                <w:szCs w:val="18"/>
              </w:rPr>
            </w:pPr>
            <w:r>
              <w:rPr>
                <w:rFonts w:hint="eastAsia"/>
                <w:iCs/>
                <w:sz w:val="18"/>
                <w:szCs w:val="18"/>
              </w:rPr>
              <w:t xml:space="preserve">Reliability </w:t>
            </w:r>
            <w:r>
              <w:rPr>
                <w:rFonts w:hint="eastAsia"/>
                <w:i/>
                <w:sz w:val="18"/>
                <w:szCs w:val="18"/>
              </w:rPr>
              <w:t>R</w:t>
            </w:r>
            <w:r>
              <w:rPr>
                <w:rFonts w:hint="eastAsia"/>
                <w:iCs/>
                <w:sz w:val="18"/>
                <w:szCs w:val="18"/>
              </w:rPr>
              <w:t>s</w:t>
            </w:r>
          </w:p>
        </w:tc>
        <w:tc>
          <w:tcPr>
            <w:tcW w:w="968" w:type="dxa"/>
          </w:tcPr>
          <w:p w14:paraId="6FF4964A"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4.67</w:t>
            </w:r>
            <w:r>
              <w:rPr>
                <w:rFonts w:hint="eastAsia"/>
                <w:iCs/>
                <w:sz w:val="18"/>
                <w:szCs w:val="18"/>
              </w:rPr>
              <w:t>×</w:t>
            </w:r>
            <w:r>
              <w:rPr>
                <w:rFonts w:hint="eastAsia"/>
                <w:iCs/>
                <w:sz w:val="18"/>
                <w:szCs w:val="18"/>
              </w:rPr>
              <w:t>10</w:t>
            </w:r>
            <w:r>
              <w:rPr>
                <w:rFonts w:hint="eastAsia"/>
                <w:iCs/>
                <w:sz w:val="18"/>
                <w:szCs w:val="18"/>
                <w:vertAlign w:val="superscript"/>
              </w:rPr>
              <w:t>7</w:t>
            </w:r>
          </w:p>
        </w:tc>
        <w:tc>
          <w:tcPr>
            <w:tcW w:w="994" w:type="dxa"/>
          </w:tcPr>
          <w:p w14:paraId="1536873A" w14:textId="77777777" w:rsidR="00B51C24" w:rsidRDefault="00B51C24" w:rsidP="00FB4B76">
            <w:pPr>
              <w:wordWrap w:val="0"/>
              <w:overflowPunct w:val="0"/>
              <w:autoSpaceDE w:val="0"/>
              <w:autoSpaceDN w:val="0"/>
              <w:ind w:leftChars="-25" w:left="-60" w:rightChars="-25" w:right="-60"/>
              <w:jc w:val="center"/>
              <w:rPr>
                <w:iCs/>
                <w:sz w:val="18"/>
                <w:szCs w:val="18"/>
              </w:rPr>
            </w:pPr>
            <w:r>
              <w:rPr>
                <w:rFonts w:hint="eastAsia"/>
                <w:iCs/>
                <w:sz w:val="18"/>
                <w:szCs w:val="18"/>
              </w:rPr>
              <w:t>3.27</w:t>
            </w:r>
            <w:r>
              <w:rPr>
                <w:rFonts w:hint="eastAsia"/>
                <w:iCs/>
                <w:sz w:val="18"/>
                <w:szCs w:val="18"/>
              </w:rPr>
              <w:t>×</w:t>
            </w:r>
            <w:r>
              <w:rPr>
                <w:rFonts w:hint="eastAsia"/>
                <w:iCs/>
                <w:sz w:val="18"/>
                <w:szCs w:val="18"/>
              </w:rPr>
              <w:t>10</w:t>
            </w:r>
            <w:r>
              <w:rPr>
                <w:rFonts w:hint="eastAsia"/>
                <w:iCs/>
                <w:sz w:val="18"/>
                <w:szCs w:val="18"/>
                <w:vertAlign w:val="superscript"/>
              </w:rPr>
              <w:t>7</w:t>
            </w:r>
          </w:p>
        </w:tc>
      </w:tr>
    </w:tbl>
    <w:p w14:paraId="424E131E" w14:textId="77777777" w:rsidR="00B51C24" w:rsidRDefault="00B51C24" w:rsidP="00B51C24">
      <w:pPr>
        <w:wordWrap w:val="0"/>
        <w:overflowPunct w:val="0"/>
        <w:autoSpaceDE w:val="0"/>
        <w:autoSpaceDN w:val="0"/>
        <w:rPr>
          <w:iCs/>
          <w:sz w:val="20"/>
          <w:szCs w:val="22"/>
        </w:rPr>
      </w:pPr>
    </w:p>
    <w:p w14:paraId="4840334D" w14:textId="77777777" w:rsidR="00B51C24" w:rsidRDefault="00B51C24" w:rsidP="00B51C24">
      <w:pPr>
        <w:ind w:firstLineChars="200" w:firstLine="400"/>
        <w:jc w:val="both"/>
        <w:rPr>
          <w:sz w:val="20"/>
        </w:rPr>
      </w:pPr>
    </w:p>
    <w:p w14:paraId="61FCDCCC" w14:textId="77777777" w:rsidR="00B51C24" w:rsidRDefault="00B51C24" w:rsidP="00B51C24">
      <w:pPr>
        <w:wordWrap w:val="0"/>
        <w:overflowPunct w:val="0"/>
        <w:autoSpaceDE w:val="0"/>
        <w:autoSpaceDN w:val="0"/>
        <w:spacing w:afterLines="100" w:after="240"/>
        <w:outlineLvl w:val="1"/>
        <w:rPr>
          <w:rFonts w:hint="eastAsia"/>
          <w:i/>
          <w:sz w:val="20"/>
          <w:szCs w:val="22"/>
        </w:rPr>
      </w:pPr>
      <w:r>
        <w:rPr>
          <w:rFonts w:hint="eastAsia"/>
          <w:i/>
          <w:sz w:val="20"/>
          <w:szCs w:val="22"/>
        </w:rPr>
        <w:t>3.2 Verification of the calculation method</w:t>
      </w:r>
    </w:p>
    <w:p w14:paraId="3CAF776B" w14:textId="77777777" w:rsidR="00B51C24" w:rsidRDefault="00B51C24" w:rsidP="00B51C24">
      <w:pPr>
        <w:ind w:firstLineChars="200" w:firstLine="400"/>
        <w:jc w:val="both"/>
        <w:rPr>
          <w:rFonts w:hint="eastAsia"/>
          <w:sz w:val="20"/>
          <w:szCs w:val="22"/>
        </w:rPr>
      </w:pPr>
      <w:r>
        <w:rPr>
          <w:sz w:val="20"/>
        </w:rPr>
        <w:t>To verify the calculation method</w:t>
      </w:r>
      <w:r>
        <w:rPr>
          <w:rFonts w:hint="eastAsia"/>
          <w:sz w:val="20"/>
          <w:szCs w:val="22"/>
        </w:rPr>
        <w:t>, the comparisons with the TCM2</w:t>
      </w:r>
      <w:r>
        <w:rPr>
          <w:rFonts w:hint="eastAsia"/>
          <w:sz w:val="20"/>
          <w:szCs w:val="22"/>
          <w:vertAlign w:val="superscript"/>
        </w:rPr>
        <w:fldChar w:fldCharType="begin"/>
      </w:r>
      <w:r>
        <w:rPr>
          <w:rFonts w:hint="eastAsia"/>
          <w:sz w:val="20"/>
          <w:szCs w:val="22"/>
          <w:vertAlign w:val="superscript"/>
        </w:rPr>
        <w:instrText xml:space="preserve"> REF _Ref11193 \n \h </w:instrText>
      </w:r>
      <w:r>
        <w:rPr>
          <w:rFonts w:hint="eastAsia"/>
          <w:sz w:val="20"/>
          <w:szCs w:val="22"/>
          <w:vertAlign w:val="superscript"/>
        </w:rPr>
        <w:fldChar w:fldCharType="separate"/>
      </w:r>
      <w:r>
        <w:rPr>
          <w:sz w:val="20"/>
          <w:szCs w:val="22"/>
          <w:vertAlign w:val="superscript"/>
        </w:rPr>
        <w:t>4</w:t>
      </w:r>
      <w:r>
        <w:rPr>
          <w:rFonts w:hint="eastAsia"/>
          <w:sz w:val="20"/>
          <w:szCs w:val="22"/>
          <w:vertAlign w:val="superscript"/>
        </w:rPr>
        <w:fldChar w:fldCharType="end"/>
      </w:r>
      <w:r>
        <w:rPr>
          <w:rFonts w:hint="eastAsia"/>
          <w:sz w:val="20"/>
          <w:szCs w:val="22"/>
        </w:rPr>
        <w:t xml:space="preserve"> and HEG</w:t>
      </w:r>
      <w:r>
        <w:rPr>
          <w:rFonts w:hint="eastAsia"/>
          <w:sz w:val="20"/>
          <w:szCs w:val="22"/>
          <w:vertAlign w:val="superscript"/>
        </w:rPr>
        <w:fldChar w:fldCharType="begin"/>
      </w:r>
      <w:r>
        <w:rPr>
          <w:rFonts w:hint="eastAsia"/>
          <w:sz w:val="20"/>
          <w:szCs w:val="22"/>
          <w:vertAlign w:val="superscript"/>
        </w:rPr>
        <w:instrText xml:space="preserve"> REF _Ref4116 \n \h </w:instrText>
      </w:r>
      <w:r>
        <w:rPr>
          <w:rFonts w:hint="eastAsia"/>
          <w:sz w:val="20"/>
          <w:szCs w:val="22"/>
          <w:vertAlign w:val="superscript"/>
        </w:rPr>
        <w:fldChar w:fldCharType="separate"/>
      </w:r>
      <w:r>
        <w:rPr>
          <w:sz w:val="20"/>
          <w:szCs w:val="22"/>
          <w:vertAlign w:val="superscript"/>
        </w:rPr>
        <w:t>5</w:t>
      </w:r>
      <w:r>
        <w:rPr>
          <w:rFonts w:hint="eastAsia"/>
          <w:sz w:val="20"/>
          <w:szCs w:val="22"/>
          <w:vertAlign w:val="superscript"/>
        </w:rPr>
        <w:fldChar w:fldCharType="end"/>
      </w:r>
      <w:r>
        <w:rPr>
          <w:rFonts w:hint="eastAsia"/>
          <w:sz w:val="20"/>
          <w:szCs w:val="22"/>
        </w:rPr>
        <w:t xml:space="preserve"> results are made.</w:t>
      </w:r>
      <w:r>
        <w:rPr>
          <w:sz w:val="20"/>
          <w:szCs w:val="22"/>
        </w:rPr>
        <w:t xml:space="preserve"> </w:t>
      </w:r>
      <w:r>
        <w:rPr>
          <w:rFonts w:hint="eastAsia"/>
          <w:sz w:val="20"/>
          <w:szCs w:val="22"/>
        </w:rPr>
        <w:t>For the</w:t>
      </w:r>
      <w:r>
        <w:rPr>
          <w:sz w:val="20"/>
          <w:szCs w:val="22"/>
        </w:rPr>
        <w:t xml:space="preserve"> TCM2</w:t>
      </w:r>
      <w:r>
        <w:rPr>
          <w:rFonts w:hint="eastAsia"/>
          <w:sz w:val="20"/>
          <w:szCs w:val="22"/>
        </w:rPr>
        <w:t xml:space="preserve"> case, the initial condition is based on </w:t>
      </w:r>
      <w:r>
        <w:rPr>
          <w:sz w:val="20"/>
          <w:szCs w:val="22"/>
        </w:rPr>
        <w:t>c</w:t>
      </w:r>
      <w:r>
        <w:rPr>
          <w:rFonts w:hint="eastAsia"/>
          <w:sz w:val="20"/>
          <w:szCs w:val="22"/>
        </w:rPr>
        <w:t>ase</w:t>
      </w:r>
      <w:r>
        <w:rPr>
          <w:sz w:val="20"/>
          <w:szCs w:val="22"/>
        </w:rPr>
        <w:t xml:space="preserve"> 1</w:t>
      </w:r>
      <w:r>
        <w:rPr>
          <w:rFonts w:hint="eastAsia"/>
          <w:sz w:val="20"/>
          <w:szCs w:val="22"/>
        </w:rPr>
        <w:t xml:space="preserve"> in Table </w:t>
      </w:r>
      <w:r>
        <w:rPr>
          <w:sz w:val="20"/>
          <w:szCs w:val="22"/>
        </w:rPr>
        <w:t>2</w:t>
      </w:r>
      <w:r>
        <w:rPr>
          <w:rFonts w:hint="eastAsia"/>
          <w:sz w:val="20"/>
          <w:szCs w:val="22"/>
        </w:rPr>
        <w:t xml:space="preserve">, and </w:t>
      </w:r>
      <w:r>
        <w:rPr>
          <w:sz w:val="20"/>
          <w:szCs w:val="22"/>
        </w:rPr>
        <w:t xml:space="preserve">the </w:t>
      </w:r>
      <w:r>
        <w:rPr>
          <w:rFonts w:hint="eastAsia"/>
          <w:sz w:val="20"/>
          <w:szCs w:val="22"/>
        </w:rPr>
        <w:t>normal scale is selected. Fig.2 shows the cente</w:t>
      </w:r>
      <w:r>
        <w:rPr>
          <w:sz w:val="20"/>
          <w:szCs w:val="22"/>
        </w:rPr>
        <w:t>r</w:t>
      </w:r>
      <w:r>
        <w:rPr>
          <w:rFonts w:hint="eastAsia"/>
          <w:sz w:val="20"/>
          <w:szCs w:val="22"/>
        </w:rPr>
        <w:t>line</w:t>
      </w:r>
      <w:r>
        <w:rPr>
          <w:sz w:val="20"/>
          <w:szCs w:val="22"/>
        </w:rPr>
        <w:t xml:space="preserve"> </w:t>
      </w:r>
      <w:r>
        <w:rPr>
          <w:rFonts w:hint="eastAsia"/>
          <w:sz w:val="20"/>
          <w:szCs w:val="22"/>
        </w:rPr>
        <w:t>vibrational temperature</w:t>
      </w:r>
      <w:r>
        <w:rPr>
          <w:sz w:val="20"/>
          <w:szCs w:val="22"/>
        </w:rPr>
        <w:t xml:space="preserve"> </w:t>
      </w:r>
      <w:r>
        <w:rPr>
          <w:i/>
          <w:sz w:val="20"/>
          <w:szCs w:val="22"/>
        </w:rPr>
        <w:t>T</w:t>
      </w:r>
      <w:r>
        <w:rPr>
          <w:rFonts w:hint="eastAsia"/>
          <w:sz w:val="20"/>
          <w:szCs w:val="22"/>
          <w:vertAlign w:val="subscript"/>
        </w:rPr>
        <w:t>V</w:t>
      </w:r>
      <w:r>
        <w:rPr>
          <w:rFonts w:hint="eastAsia"/>
          <w:sz w:val="20"/>
          <w:szCs w:val="22"/>
        </w:rPr>
        <w:t xml:space="preserve"> and </w:t>
      </w:r>
      <w:r>
        <w:rPr>
          <w:sz w:val="20"/>
          <w:szCs w:val="22"/>
        </w:rPr>
        <w:t>translational</w:t>
      </w:r>
      <w:r>
        <w:rPr>
          <w:rFonts w:hint="eastAsia"/>
          <w:sz w:val="20"/>
          <w:szCs w:val="22"/>
        </w:rPr>
        <w:t xml:space="preserve"> temperature</w:t>
      </w:r>
      <w:r>
        <w:rPr>
          <w:sz w:val="20"/>
          <w:szCs w:val="22"/>
        </w:rPr>
        <w:t xml:space="preserve"> </w:t>
      </w:r>
      <w:r>
        <w:rPr>
          <w:i/>
          <w:sz w:val="20"/>
          <w:szCs w:val="22"/>
        </w:rPr>
        <w:t>T</w:t>
      </w:r>
      <w:r>
        <w:rPr>
          <w:sz w:val="20"/>
          <w:szCs w:val="22"/>
          <w:vertAlign w:val="subscript"/>
        </w:rPr>
        <w:t xml:space="preserve"> </w:t>
      </w:r>
      <w:r>
        <w:rPr>
          <w:rFonts w:hint="eastAsia"/>
          <w:sz w:val="20"/>
          <w:szCs w:val="22"/>
        </w:rPr>
        <w:t xml:space="preserve">distribution. The </w:t>
      </w:r>
      <w:proofErr w:type="gramStart"/>
      <w:r>
        <w:rPr>
          <w:rFonts w:hint="eastAsia"/>
          <w:i/>
          <w:iCs/>
          <w:sz w:val="20"/>
          <w:szCs w:val="22"/>
        </w:rPr>
        <w:t>T</w:t>
      </w:r>
      <w:r>
        <w:rPr>
          <w:rFonts w:hint="eastAsia"/>
          <w:sz w:val="20"/>
          <w:szCs w:val="22"/>
          <w:vertAlign w:val="subscript"/>
        </w:rPr>
        <w:t>V,N</w:t>
      </w:r>
      <w:proofErr w:type="gramEnd"/>
      <w:r>
        <w:rPr>
          <w:rFonts w:hint="eastAsia"/>
          <w:sz w:val="20"/>
          <w:szCs w:val="22"/>
          <w:vertAlign w:val="subscript"/>
        </w:rPr>
        <w:t>2</w:t>
      </w:r>
      <w:r>
        <w:rPr>
          <w:rFonts w:hint="eastAsia"/>
          <w:sz w:val="20"/>
          <w:szCs w:val="22"/>
        </w:rPr>
        <w:t xml:space="preserve"> is</w:t>
      </w:r>
      <w:r>
        <w:rPr>
          <w:sz w:val="20"/>
          <w:szCs w:val="22"/>
        </w:rPr>
        <w:t xml:space="preserve"> the vibrational temperature of N</w:t>
      </w:r>
      <w:r>
        <w:rPr>
          <w:sz w:val="20"/>
          <w:szCs w:val="22"/>
          <w:vertAlign w:val="subscript"/>
        </w:rPr>
        <w:t>2</w:t>
      </w:r>
      <w:r>
        <w:rPr>
          <w:rFonts w:hint="eastAsia"/>
          <w:sz w:val="20"/>
          <w:szCs w:val="22"/>
        </w:rPr>
        <w:t xml:space="preserve"> </w:t>
      </w:r>
      <w:r>
        <w:rPr>
          <w:sz w:val="20"/>
          <w:szCs w:val="22"/>
        </w:rPr>
        <w:t xml:space="preserve">and is </w:t>
      </w:r>
      <w:r>
        <w:rPr>
          <w:rFonts w:hint="eastAsia"/>
          <w:sz w:val="20"/>
          <w:szCs w:val="22"/>
        </w:rPr>
        <w:t xml:space="preserve">about 2400K, and </w:t>
      </w:r>
      <w:r>
        <w:rPr>
          <w:rFonts w:hint="eastAsia"/>
          <w:i/>
          <w:iCs/>
          <w:sz w:val="20"/>
          <w:szCs w:val="22"/>
        </w:rPr>
        <w:t>T</w:t>
      </w:r>
      <w:r>
        <w:rPr>
          <w:rFonts w:hint="eastAsia"/>
          <w:sz w:val="20"/>
          <w:szCs w:val="22"/>
          <w:vertAlign w:val="subscript"/>
        </w:rPr>
        <w:t>V,O2</w:t>
      </w:r>
      <w:r>
        <w:rPr>
          <w:rFonts w:hint="eastAsia"/>
          <w:sz w:val="20"/>
          <w:szCs w:val="22"/>
        </w:rPr>
        <w:t xml:space="preserve"> is</w:t>
      </w:r>
      <w:r>
        <w:rPr>
          <w:sz w:val="20"/>
          <w:szCs w:val="22"/>
        </w:rPr>
        <w:t xml:space="preserve"> the vibrational temperature of O</w:t>
      </w:r>
      <w:r>
        <w:rPr>
          <w:sz w:val="20"/>
          <w:szCs w:val="22"/>
          <w:vertAlign w:val="subscript"/>
        </w:rPr>
        <w:t>2</w:t>
      </w:r>
      <w:r>
        <w:rPr>
          <w:rFonts w:hint="eastAsia"/>
          <w:sz w:val="20"/>
          <w:szCs w:val="22"/>
        </w:rPr>
        <w:t xml:space="preserve"> </w:t>
      </w:r>
      <w:r>
        <w:rPr>
          <w:sz w:val="20"/>
          <w:szCs w:val="22"/>
        </w:rPr>
        <w:t>and</w:t>
      </w:r>
      <w:r>
        <w:rPr>
          <w:rFonts w:hint="eastAsia"/>
          <w:sz w:val="20"/>
          <w:szCs w:val="22"/>
        </w:rPr>
        <w:t xml:space="preserve"> is about 1000K. The unified vibrational temperature </w:t>
      </w:r>
      <w:r>
        <w:rPr>
          <w:rFonts w:hint="eastAsia"/>
          <w:i/>
          <w:iCs/>
          <w:sz w:val="20"/>
          <w:szCs w:val="22"/>
        </w:rPr>
        <w:t>T</w:t>
      </w:r>
      <w:r>
        <w:rPr>
          <w:rFonts w:hint="eastAsia"/>
          <w:sz w:val="20"/>
          <w:szCs w:val="22"/>
        </w:rPr>
        <w:t>v is about 2290K in this paper. Considering the mass ratio of N</w:t>
      </w:r>
      <w:r>
        <w:rPr>
          <w:rFonts w:hint="eastAsia"/>
          <w:sz w:val="20"/>
          <w:szCs w:val="22"/>
          <w:vertAlign w:val="subscript"/>
        </w:rPr>
        <w:t>2</w:t>
      </w:r>
      <w:r>
        <w:rPr>
          <w:rFonts w:hint="eastAsia"/>
          <w:sz w:val="20"/>
          <w:szCs w:val="22"/>
        </w:rPr>
        <w:t xml:space="preserve"> to O</w:t>
      </w:r>
      <w:r>
        <w:rPr>
          <w:rFonts w:hint="eastAsia"/>
          <w:sz w:val="20"/>
          <w:szCs w:val="22"/>
          <w:vertAlign w:val="subscript"/>
        </w:rPr>
        <w:t>2</w:t>
      </w:r>
      <w:r>
        <w:rPr>
          <w:rFonts w:hint="eastAsia"/>
          <w:sz w:val="20"/>
          <w:szCs w:val="22"/>
        </w:rPr>
        <w:t xml:space="preserve"> in the flow, this value is reasonable. </w:t>
      </w:r>
      <w:r>
        <w:rPr>
          <w:sz w:val="20"/>
          <w:szCs w:val="22"/>
        </w:rPr>
        <w:t>The centerline evolution of vibrational temperature and translational temperature are plotted,</w:t>
      </w:r>
      <w:r>
        <w:rPr>
          <w:rFonts w:hint="eastAsia"/>
          <w:sz w:val="20"/>
          <w:szCs w:val="22"/>
        </w:rPr>
        <w:t xml:space="preserve"> as shown in </w:t>
      </w:r>
      <w:r>
        <w:rPr>
          <w:sz w:val="20"/>
          <w:szCs w:val="22"/>
        </w:rPr>
        <w:t>Fig</w:t>
      </w:r>
      <w:r>
        <w:rPr>
          <w:rFonts w:hint="eastAsia"/>
          <w:sz w:val="20"/>
          <w:szCs w:val="22"/>
        </w:rPr>
        <w:t>.3</w:t>
      </w:r>
      <w:r>
        <w:rPr>
          <w:sz w:val="20"/>
          <w:szCs w:val="22"/>
        </w:rPr>
        <w:t xml:space="preserve">. The results of the freezing position and temperature are good agreement with the reference. </w:t>
      </w:r>
      <w:r>
        <w:rPr>
          <w:rFonts w:hint="eastAsia"/>
          <w:sz w:val="20"/>
          <w:szCs w:val="22"/>
        </w:rPr>
        <w:t xml:space="preserve">Fig.4 shows the centerline Mach number distribution, and the variation of about 5% is predicted. The </w:t>
      </w:r>
      <w:r>
        <w:rPr>
          <w:sz w:val="20"/>
          <w:szCs w:val="22"/>
        </w:rPr>
        <w:t>discrepancy</w:t>
      </w:r>
      <w:r>
        <w:rPr>
          <w:rFonts w:hint="eastAsia"/>
          <w:sz w:val="20"/>
          <w:szCs w:val="22"/>
        </w:rPr>
        <w:t xml:space="preserve"> can be explained by </w:t>
      </w:r>
      <w:bookmarkStart w:id="0" w:name="OLE_LINK2"/>
      <w:r>
        <w:rPr>
          <w:rFonts w:hint="eastAsia"/>
          <w:sz w:val="20"/>
          <w:szCs w:val="22"/>
        </w:rPr>
        <w:t xml:space="preserve">the different vibrational modeling, resulting in different </w:t>
      </w:r>
      <w:r>
        <w:rPr>
          <w:sz w:val="20"/>
          <w:szCs w:val="22"/>
        </w:rPr>
        <w:t>translational</w:t>
      </w:r>
      <w:r>
        <w:rPr>
          <w:rFonts w:hint="eastAsia"/>
          <w:sz w:val="20"/>
          <w:szCs w:val="22"/>
        </w:rPr>
        <w:t xml:space="preserve"> temperature </w:t>
      </w:r>
      <w:r>
        <w:rPr>
          <w:rFonts w:hint="eastAsia"/>
          <w:i/>
          <w:iCs/>
          <w:sz w:val="20"/>
          <w:szCs w:val="22"/>
        </w:rPr>
        <w:t>T</w:t>
      </w:r>
      <w:bookmarkEnd w:id="0"/>
      <w:r>
        <w:rPr>
          <w:i/>
          <w:iCs/>
          <w:sz w:val="20"/>
          <w:szCs w:val="22"/>
        </w:rPr>
        <w:t xml:space="preserve"> </w:t>
      </w:r>
      <w:r>
        <w:rPr>
          <w:sz w:val="20"/>
          <w:szCs w:val="22"/>
        </w:rPr>
        <w:t>(static temperature)</w:t>
      </w:r>
      <w:r>
        <w:rPr>
          <w:rFonts w:hint="eastAsia"/>
          <w:sz w:val="20"/>
          <w:szCs w:val="22"/>
        </w:rPr>
        <w:t xml:space="preserve">. </w:t>
      </w:r>
      <w:r>
        <w:rPr>
          <w:sz w:val="20"/>
          <w:szCs w:val="22"/>
        </w:rPr>
        <w:t xml:space="preserve">Table </w:t>
      </w:r>
      <w:r>
        <w:rPr>
          <w:rFonts w:hint="eastAsia"/>
          <w:sz w:val="20"/>
          <w:szCs w:val="22"/>
        </w:rPr>
        <w:t>4</w:t>
      </w:r>
      <w:r>
        <w:rPr>
          <w:sz w:val="20"/>
          <w:szCs w:val="22"/>
        </w:rPr>
        <w:t xml:space="preserve">a shows the comparison of </w:t>
      </w:r>
      <w:r>
        <w:rPr>
          <w:rFonts w:hint="eastAsia"/>
          <w:sz w:val="20"/>
          <w:szCs w:val="22"/>
        </w:rPr>
        <w:t xml:space="preserve">the </w:t>
      </w:r>
      <w:r>
        <w:rPr>
          <w:sz w:val="20"/>
          <w:szCs w:val="22"/>
        </w:rPr>
        <w:t xml:space="preserve">Mach number and </w:t>
      </w:r>
      <w:r>
        <w:rPr>
          <w:rFonts w:hint="eastAsia"/>
          <w:sz w:val="20"/>
          <w:szCs w:val="22"/>
        </w:rPr>
        <w:t xml:space="preserve">species mass </w:t>
      </w:r>
      <w:r>
        <w:rPr>
          <w:sz w:val="20"/>
          <w:szCs w:val="22"/>
        </w:rPr>
        <w:t>fraction in the nozzle exit. The accuracy of</w:t>
      </w:r>
      <w:r>
        <w:rPr>
          <w:rFonts w:hint="eastAsia"/>
          <w:sz w:val="20"/>
          <w:szCs w:val="22"/>
        </w:rPr>
        <w:t xml:space="preserve"> the </w:t>
      </w:r>
      <w:r>
        <w:rPr>
          <w:sz w:val="20"/>
          <w:szCs w:val="22"/>
        </w:rPr>
        <w:t xml:space="preserve">static pressure </w:t>
      </w:r>
      <w:r>
        <w:rPr>
          <w:i/>
          <w:sz w:val="20"/>
          <w:szCs w:val="22"/>
        </w:rPr>
        <w:t xml:space="preserve">P </w:t>
      </w:r>
      <w:r>
        <w:rPr>
          <w:sz w:val="20"/>
          <w:szCs w:val="22"/>
        </w:rPr>
        <w:t xml:space="preserve">and </w:t>
      </w:r>
      <w:r>
        <w:rPr>
          <w:rFonts w:hint="eastAsia"/>
          <w:sz w:val="20"/>
          <w:szCs w:val="22"/>
        </w:rPr>
        <w:t>translational</w:t>
      </w:r>
      <w:r>
        <w:rPr>
          <w:sz w:val="20"/>
          <w:szCs w:val="22"/>
        </w:rPr>
        <w:t xml:space="preserve"> temperature </w:t>
      </w:r>
      <w:r>
        <w:rPr>
          <w:i/>
          <w:sz w:val="20"/>
          <w:szCs w:val="22"/>
        </w:rPr>
        <w:t>T</w:t>
      </w:r>
      <w:r>
        <w:rPr>
          <w:sz w:val="20"/>
          <w:szCs w:val="22"/>
        </w:rPr>
        <w:t xml:space="preserve"> is verified by the HEG nozzle. </w:t>
      </w:r>
      <w:r>
        <w:rPr>
          <w:rFonts w:hint="eastAsia"/>
          <w:sz w:val="20"/>
          <w:szCs w:val="22"/>
        </w:rPr>
        <w:t xml:space="preserve">For the HEG case, the initial condition is based on </w:t>
      </w:r>
      <w:r>
        <w:rPr>
          <w:rFonts w:hint="eastAsia"/>
          <w:sz w:val="20"/>
          <w:szCs w:val="22"/>
        </w:rPr>
        <w:lastRenderedPageBreak/>
        <w:t xml:space="preserve">Case2 in Table </w:t>
      </w:r>
      <w:r>
        <w:rPr>
          <w:sz w:val="20"/>
          <w:szCs w:val="22"/>
        </w:rPr>
        <w:t>2</w:t>
      </w:r>
      <w:r>
        <w:rPr>
          <w:rFonts w:hint="eastAsia"/>
          <w:sz w:val="20"/>
          <w:szCs w:val="22"/>
        </w:rPr>
        <w:t>. The calculation results are compared with the results for the reference</w:t>
      </w:r>
      <w:r>
        <w:rPr>
          <w:rFonts w:hint="eastAsia"/>
          <w:sz w:val="20"/>
          <w:szCs w:val="22"/>
          <w:vertAlign w:val="superscript"/>
        </w:rPr>
        <w:fldChar w:fldCharType="begin"/>
      </w:r>
      <w:r>
        <w:rPr>
          <w:rFonts w:hint="eastAsia"/>
          <w:sz w:val="20"/>
          <w:szCs w:val="22"/>
          <w:vertAlign w:val="superscript"/>
        </w:rPr>
        <w:instrText xml:space="preserve"> REF _Ref4116 \n \h </w:instrText>
      </w:r>
      <w:r>
        <w:rPr>
          <w:rFonts w:hint="eastAsia"/>
          <w:sz w:val="20"/>
          <w:szCs w:val="22"/>
          <w:vertAlign w:val="superscript"/>
        </w:rPr>
        <w:fldChar w:fldCharType="separate"/>
      </w:r>
      <w:r>
        <w:rPr>
          <w:sz w:val="20"/>
          <w:szCs w:val="22"/>
          <w:vertAlign w:val="superscript"/>
        </w:rPr>
        <w:t>5</w:t>
      </w:r>
      <w:r>
        <w:rPr>
          <w:rFonts w:hint="eastAsia"/>
          <w:sz w:val="20"/>
          <w:szCs w:val="22"/>
          <w:vertAlign w:val="superscript"/>
        </w:rPr>
        <w:fldChar w:fldCharType="end"/>
      </w:r>
      <w:r>
        <w:rPr>
          <w:rFonts w:hint="eastAsia"/>
          <w:sz w:val="20"/>
          <w:szCs w:val="22"/>
        </w:rPr>
        <w:t>, as shown in Table 4</w:t>
      </w:r>
      <w:r>
        <w:rPr>
          <w:sz w:val="20"/>
          <w:szCs w:val="22"/>
        </w:rPr>
        <w:t>b</w:t>
      </w:r>
      <w:r>
        <w:rPr>
          <w:rFonts w:hint="eastAsia"/>
          <w:sz w:val="20"/>
          <w:szCs w:val="22"/>
        </w:rPr>
        <w:t xml:space="preserve">. </w:t>
      </w:r>
    </w:p>
    <w:p w14:paraId="328520A2" w14:textId="2253AE2D" w:rsidR="00B51C24" w:rsidRDefault="00B51C24" w:rsidP="00B51C24">
      <w:pPr>
        <w:jc w:val="center"/>
        <w:rPr>
          <w:rFonts w:hint="eastAsia"/>
        </w:rPr>
      </w:pPr>
      <w:r>
        <w:rPr>
          <w:rFonts w:hint="eastAsia"/>
          <w:noProof/>
        </w:rPr>
        <w:drawing>
          <wp:inline distT="0" distB="0" distL="0" distR="0" wp14:anchorId="5E73C23A" wp14:editId="3F650A94">
            <wp:extent cx="2628900" cy="2343150"/>
            <wp:effectExtent l="0" t="0" r="0" b="0"/>
            <wp:docPr id="3" name="Picture 3" descr="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descr="00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28900" cy="2343150"/>
                    </a:xfrm>
                    <a:prstGeom prst="rect">
                      <a:avLst/>
                    </a:prstGeom>
                    <a:noFill/>
                    <a:ln>
                      <a:noFill/>
                    </a:ln>
                    <a:effectLst/>
                  </pic:spPr>
                </pic:pic>
              </a:graphicData>
            </a:graphic>
          </wp:inline>
        </w:drawing>
      </w:r>
    </w:p>
    <w:p w14:paraId="3841BBBF" w14:textId="77777777" w:rsidR="00B51C24" w:rsidRDefault="00B51C24" w:rsidP="00B51C24">
      <w:pPr>
        <w:ind w:left="567" w:hangingChars="315" w:hanging="567"/>
        <w:jc w:val="center"/>
        <w:rPr>
          <w:rFonts w:hint="eastAsia"/>
          <w:sz w:val="18"/>
          <w:szCs w:val="22"/>
        </w:rPr>
      </w:pPr>
      <w:r>
        <w:rPr>
          <w:rFonts w:hint="eastAsia"/>
          <w:sz w:val="18"/>
          <w:szCs w:val="22"/>
        </w:rPr>
        <w:t>Fig.2 Comparison of the centerline temperature distributions</w:t>
      </w:r>
    </w:p>
    <w:p w14:paraId="4CCC6082" w14:textId="15C5BF14" w:rsidR="00B51C24" w:rsidRDefault="00B51C24" w:rsidP="00B51C24">
      <w:pPr>
        <w:jc w:val="both"/>
        <w:rPr>
          <w:rFonts w:hint="eastAsia"/>
          <w:sz w:val="18"/>
          <w:szCs w:val="22"/>
        </w:rPr>
      </w:pPr>
      <w:r>
        <w:rPr>
          <w:rFonts w:hint="eastAsia"/>
          <w:noProof/>
        </w:rPr>
        <w:drawing>
          <wp:inline distT="0" distB="0" distL="0" distR="0" wp14:anchorId="19EF12C6" wp14:editId="2E1FD1F0">
            <wp:extent cx="2628900" cy="2343150"/>
            <wp:effectExtent l="0" t="0" r="0" b="0"/>
            <wp:docPr id="2" name="Picture 2" descr="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8" descr="O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28900" cy="2343150"/>
                    </a:xfrm>
                    <a:prstGeom prst="rect">
                      <a:avLst/>
                    </a:prstGeom>
                    <a:noFill/>
                    <a:ln>
                      <a:noFill/>
                    </a:ln>
                    <a:effectLst/>
                  </pic:spPr>
                </pic:pic>
              </a:graphicData>
            </a:graphic>
          </wp:inline>
        </w:drawing>
      </w:r>
    </w:p>
    <w:p w14:paraId="579F3810" w14:textId="77777777" w:rsidR="00B51C24" w:rsidRDefault="00B51C24" w:rsidP="00B51C24">
      <w:pPr>
        <w:jc w:val="center"/>
        <w:rPr>
          <w:rFonts w:hint="eastAsia"/>
          <w:sz w:val="18"/>
          <w:szCs w:val="22"/>
        </w:rPr>
      </w:pPr>
      <w:r>
        <w:rPr>
          <w:rFonts w:hint="eastAsia"/>
          <w:sz w:val="18"/>
          <w:szCs w:val="22"/>
        </w:rPr>
        <w:t>Fig.3 Comparison of the centerline O</w:t>
      </w:r>
      <w:r>
        <w:rPr>
          <w:rFonts w:hint="eastAsia"/>
          <w:sz w:val="18"/>
          <w:szCs w:val="22"/>
          <w:vertAlign w:val="subscript"/>
        </w:rPr>
        <w:t>2</w:t>
      </w:r>
      <w:r>
        <w:rPr>
          <w:rFonts w:hint="eastAsia"/>
          <w:sz w:val="18"/>
          <w:szCs w:val="22"/>
        </w:rPr>
        <w:t xml:space="preserve"> mass fraction distributions</w:t>
      </w:r>
    </w:p>
    <w:p w14:paraId="123699AD" w14:textId="6B88B756" w:rsidR="00B51C24" w:rsidRDefault="00B51C24" w:rsidP="00B51C24">
      <w:pPr>
        <w:jc w:val="both"/>
        <w:rPr>
          <w:rFonts w:hint="eastAsia"/>
          <w:sz w:val="18"/>
          <w:szCs w:val="22"/>
        </w:rPr>
      </w:pPr>
      <w:r>
        <w:rPr>
          <w:rFonts w:hint="eastAsia"/>
          <w:noProof/>
        </w:rPr>
        <w:drawing>
          <wp:inline distT="0" distB="0" distL="0" distR="0" wp14:anchorId="03AFF865" wp14:editId="0510AB4F">
            <wp:extent cx="2628900" cy="2343150"/>
            <wp:effectExtent l="0" t="0" r="0" b="0"/>
            <wp:docPr id="1" name="Picture 1" descr="M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 descr="Ma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28900" cy="2343150"/>
                    </a:xfrm>
                    <a:prstGeom prst="rect">
                      <a:avLst/>
                    </a:prstGeom>
                    <a:noFill/>
                    <a:ln>
                      <a:noFill/>
                    </a:ln>
                    <a:effectLst/>
                  </pic:spPr>
                </pic:pic>
              </a:graphicData>
            </a:graphic>
          </wp:inline>
        </w:drawing>
      </w:r>
    </w:p>
    <w:p w14:paraId="53B24FD9" w14:textId="77777777" w:rsidR="00B51C24" w:rsidRDefault="00B51C24" w:rsidP="00B51C24">
      <w:pPr>
        <w:jc w:val="center"/>
        <w:rPr>
          <w:rFonts w:hint="eastAsia"/>
          <w:sz w:val="18"/>
          <w:szCs w:val="22"/>
        </w:rPr>
      </w:pPr>
      <w:r>
        <w:rPr>
          <w:rFonts w:hint="eastAsia"/>
          <w:sz w:val="18"/>
          <w:szCs w:val="22"/>
        </w:rPr>
        <w:t>Fig.4 Comparison of the centerline Mach number distributions</w:t>
      </w:r>
    </w:p>
    <w:p w14:paraId="7AAE150A" w14:textId="77777777" w:rsidR="00B51C24" w:rsidRDefault="00B51C24" w:rsidP="00B51C24">
      <w:pPr>
        <w:spacing w:beforeLines="50" w:before="120" w:afterLines="25" w:after="60"/>
        <w:jc w:val="center"/>
        <w:rPr>
          <w:rFonts w:hint="eastAsia"/>
          <w:sz w:val="18"/>
          <w:szCs w:val="22"/>
        </w:rPr>
      </w:pPr>
      <w:r>
        <w:rPr>
          <w:rFonts w:hint="eastAsia"/>
          <w:sz w:val="18"/>
          <w:szCs w:val="22"/>
        </w:rPr>
        <w:t>Table 4</w:t>
      </w:r>
      <w:r>
        <w:rPr>
          <w:sz w:val="18"/>
          <w:szCs w:val="22"/>
        </w:rPr>
        <w:t>a</w:t>
      </w:r>
      <w:r>
        <w:rPr>
          <w:rFonts w:hint="eastAsia"/>
          <w:sz w:val="18"/>
          <w:szCs w:val="22"/>
        </w:rPr>
        <w:t xml:space="preserve"> Comparison of flow parameters in </w:t>
      </w:r>
      <w:r>
        <w:rPr>
          <w:sz w:val="18"/>
          <w:szCs w:val="22"/>
        </w:rPr>
        <w:t xml:space="preserve">the </w:t>
      </w:r>
      <w:r>
        <w:rPr>
          <w:sz w:val="18"/>
          <w:szCs w:val="18"/>
        </w:rPr>
        <w:t xml:space="preserve">TCM2 </w:t>
      </w:r>
      <w:r>
        <w:rPr>
          <w:rFonts w:hint="eastAsia"/>
          <w:sz w:val="18"/>
          <w:szCs w:val="22"/>
        </w:rPr>
        <w:t>nozzle</w:t>
      </w:r>
    </w:p>
    <w:tbl>
      <w:tblPr>
        <w:tblW w:w="4671" w:type="pct"/>
        <w:tblInd w:w="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85"/>
        <w:gridCol w:w="841"/>
        <w:gridCol w:w="833"/>
        <w:gridCol w:w="1122"/>
        <w:gridCol w:w="1108"/>
        <w:gridCol w:w="1226"/>
        <w:gridCol w:w="1067"/>
        <w:gridCol w:w="1153"/>
      </w:tblGrid>
      <w:tr w:rsidR="00B51C24" w14:paraId="61C3444C" w14:textId="77777777" w:rsidTr="00FB4B76">
        <w:trPr>
          <w:trHeight w:val="351"/>
        </w:trPr>
        <w:tc>
          <w:tcPr>
            <w:tcW w:w="792" w:type="pct"/>
          </w:tcPr>
          <w:p w14:paraId="036A1F57" w14:textId="77777777" w:rsidR="00B51C24" w:rsidRDefault="00B51C24" w:rsidP="00FB4B76">
            <w:pPr>
              <w:adjustRightInd/>
              <w:spacing w:beforeLines="50" w:before="120" w:afterLines="50" w:after="120"/>
              <w:ind w:leftChars="-25" w:left="-60" w:rightChars="-25" w:right="-60"/>
              <w:jc w:val="center"/>
              <w:textAlignment w:val="auto"/>
              <w:rPr>
                <w:sz w:val="20"/>
                <w:szCs w:val="22"/>
              </w:rPr>
            </w:pPr>
            <w:r>
              <w:rPr>
                <w:rFonts w:hint="eastAsia"/>
                <w:sz w:val="18"/>
                <w:szCs w:val="18"/>
              </w:rPr>
              <w:t>Results</w:t>
            </w:r>
          </w:p>
        </w:tc>
        <w:tc>
          <w:tcPr>
            <w:tcW w:w="481" w:type="pct"/>
          </w:tcPr>
          <w:p w14:paraId="19410614" w14:textId="77777777" w:rsidR="00B51C24" w:rsidRDefault="00B51C24" w:rsidP="00FB4B76">
            <w:pPr>
              <w:adjustRightInd/>
              <w:ind w:leftChars="-25" w:left="-60" w:rightChars="-25" w:right="-60"/>
              <w:jc w:val="center"/>
              <w:textAlignment w:val="auto"/>
              <w:rPr>
                <w:rFonts w:hint="eastAsia"/>
                <w:sz w:val="18"/>
                <w:szCs w:val="18"/>
              </w:rPr>
            </w:pPr>
            <w:r>
              <w:rPr>
                <w:rFonts w:hint="eastAsia"/>
                <w:i/>
                <w:iCs/>
                <w:sz w:val="18"/>
                <w:szCs w:val="18"/>
              </w:rPr>
              <w:t>T</w:t>
            </w:r>
          </w:p>
          <w:p w14:paraId="6E92ECF4" w14:textId="77777777" w:rsidR="00B51C24" w:rsidRDefault="00B51C24" w:rsidP="00FB4B76">
            <w:pPr>
              <w:adjustRightInd/>
              <w:ind w:leftChars="-25" w:left="-60" w:rightChars="-25" w:right="-60"/>
              <w:jc w:val="center"/>
              <w:textAlignment w:val="auto"/>
              <w:rPr>
                <w:rFonts w:hint="eastAsia"/>
                <w:sz w:val="18"/>
                <w:szCs w:val="18"/>
              </w:rPr>
            </w:pPr>
            <w:r>
              <w:rPr>
                <w:rFonts w:hint="eastAsia"/>
                <w:sz w:val="18"/>
                <w:szCs w:val="18"/>
              </w:rPr>
              <w:t>(K)</w:t>
            </w:r>
          </w:p>
        </w:tc>
        <w:tc>
          <w:tcPr>
            <w:tcW w:w="476" w:type="pct"/>
          </w:tcPr>
          <w:p w14:paraId="1599359E" w14:textId="77777777" w:rsidR="00B51C24" w:rsidRDefault="00B51C24" w:rsidP="00FB4B76">
            <w:pPr>
              <w:adjustRightInd/>
              <w:ind w:leftChars="-25" w:left="-60" w:rightChars="-25" w:right="-60"/>
              <w:jc w:val="center"/>
              <w:textAlignment w:val="auto"/>
              <w:rPr>
                <w:sz w:val="18"/>
                <w:szCs w:val="18"/>
              </w:rPr>
            </w:pPr>
            <w:r>
              <w:rPr>
                <w:i/>
                <w:iCs/>
                <w:sz w:val="18"/>
                <w:szCs w:val="18"/>
              </w:rPr>
              <w:t>Ma</w:t>
            </w:r>
          </w:p>
        </w:tc>
        <w:tc>
          <w:tcPr>
            <w:tcW w:w="642" w:type="pct"/>
          </w:tcPr>
          <w:p w14:paraId="31AAB44F" w14:textId="77777777" w:rsidR="00B51C24" w:rsidRDefault="00B51C24" w:rsidP="00FB4B76">
            <w:pPr>
              <w:adjustRightInd/>
              <w:ind w:leftChars="-25" w:left="-60" w:rightChars="-25" w:right="-60"/>
              <w:jc w:val="center"/>
              <w:textAlignment w:val="auto"/>
              <w:rPr>
                <w:rFonts w:hint="eastAsia"/>
                <w:sz w:val="18"/>
                <w:szCs w:val="18"/>
                <w:vertAlign w:val="subscript"/>
              </w:rPr>
            </w:pPr>
            <w:r>
              <w:rPr>
                <w:rFonts w:hint="eastAsia"/>
                <w:i/>
                <w:iCs/>
                <w:sz w:val="18"/>
                <w:szCs w:val="18"/>
              </w:rPr>
              <w:t>C</w:t>
            </w:r>
            <w:r>
              <w:rPr>
                <w:rFonts w:hint="eastAsia"/>
                <w:sz w:val="18"/>
                <w:szCs w:val="18"/>
                <w:vertAlign w:val="subscript"/>
              </w:rPr>
              <w:t>N2</w:t>
            </w:r>
          </w:p>
          <w:p w14:paraId="7CD4003B"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w:t>
            </w:r>
          </w:p>
        </w:tc>
        <w:tc>
          <w:tcPr>
            <w:tcW w:w="634" w:type="pct"/>
          </w:tcPr>
          <w:p w14:paraId="6C19C6D9" w14:textId="77777777" w:rsidR="00B51C24" w:rsidRDefault="00B51C24" w:rsidP="00FB4B76">
            <w:pPr>
              <w:adjustRightInd/>
              <w:ind w:leftChars="-25" w:left="-60" w:rightChars="-25" w:right="-60"/>
              <w:jc w:val="center"/>
              <w:textAlignment w:val="auto"/>
              <w:rPr>
                <w:rFonts w:hint="eastAsia"/>
                <w:sz w:val="18"/>
                <w:szCs w:val="18"/>
                <w:vertAlign w:val="subscript"/>
              </w:rPr>
            </w:pPr>
            <w:r>
              <w:rPr>
                <w:rFonts w:hint="eastAsia"/>
                <w:i/>
                <w:iCs/>
                <w:sz w:val="18"/>
                <w:szCs w:val="18"/>
              </w:rPr>
              <w:t>C</w:t>
            </w:r>
            <w:r>
              <w:rPr>
                <w:rFonts w:hint="eastAsia"/>
                <w:sz w:val="18"/>
                <w:szCs w:val="18"/>
              </w:rPr>
              <w:t>o</w:t>
            </w:r>
            <w:r>
              <w:rPr>
                <w:rFonts w:hint="eastAsia"/>
                <w:sz w:val="18"/>
                <w:szCs w:val="18"/>
                <w:vertAlign w:val="subscript"/>
              </w:rPr>
              <w:t>2</w:t>
            </w:r>
          </w:p>
          <w:p w14:paraId="33EE76EF"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w:t>
            </w:r>
          </w:p>
        </w:tc>
        <w:tc>
          <w:tcPr>
            <w:tcW w:w="702" w:type="pct"/>
          </w:tcPr>
          <w:p w14:paraId="5E556B4A" w14:textId="77777777" w:rsidR="00B51C24" w:rsidRDefault="00B51C24" w:rsidP="00FB4B76">
            <w:pPr>
              <w:adjustRightInd/>
              <w:ind w:leftChars="-25" w:left="-60" w:rightChars="-25" w:right="-60"/>
              <w:jc w:val="center"/>
              <w:textAlignment w:val="auto"/>
              <w:rPr>
                <w:rFonts w:hint="eastAsia"/>
                <w:sz w:val="18"/>
                <w:szCs w:val="18"/>
                <w:vertAlign w:val="subscript"/>
              </w:rPr>
            </w:pPr>
            <w:r>
              <w:rPr>
                <w:rFonts w:hint="eastAsia"/>
                <w:i/>
                <w:iCs/>
                <w:sz w:val="18"/>
                <w:szCs w:val="18"/>
              </w:rPr>
              <w:t>C</w:t>
            </w:r>
            <w:r>
              <w:rPr>
                <w:rFonts w:hint="eastAsia"/>
                <w:sz w:val="18"/>
                <w:szCs w:val="18"/>
                <w:vertAlign w:val="subscript"/>
              </w:rPr>
              <w:t>NO</w:t>
            </w:r>
          </w:p>
          <w:p w14:paraId="0E01E621"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w:t>
            </w:r>
          </w:p>
        </w:tc>
        <w:tc>
          <w:tcPr>
            <w:tcW w:w="611" w:type="pct"/>
          </w:tcPr>
          <w:p w14:paraId="79E63735" w14:textId="77777777" w:rsidR="00B51C24" w:rsidRDefault="00B51C24" w:rsidP="00FB4B76">
            <w:pPr>
              <w:adjustRightInd/>
              <w:ind w:leftChars="-25" w:left="-60" w:rightChars="-25" w:right="-60"/>
              <w:jc w:val="center"/>
              <w:textAlignment w:val="auto"/>
              <w:rPr>
                <w:rFonts w:hint="eastAsia"/>
                <w:sz w:val="18"/>
                <w:szCs w:val="18"/>
                <w:vertAlign w:val="subscript"/>
              </w:rPr>
            </w:pPr>
            <w:r>
              <w:rPr>
                <w:rFonts w:hint="eastAsia"/>
                <w:i/>
                <w:iCs/>
                <w:sz w:val="18"/>
                <w:szCs w:val="18"/>
              </w:rPr>
              <w:t>C</w:t>
            </w:r>
            <w:r>
              <w:rPr>
                <w:rFonts w:hint="eastAsia"/>
                <w:sz w:val="18"/>
                <w:szCs w:val="18"/>
                <w:vertAlign w:val="subscript"/>
              </w:rPr>
              <w:t>O</w:t>
            </w:r>
          </w:p>
          <w:p w14:paraId="0FE0E770"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w:t>
            </w:r>
          </w:p>
        </w:tc>
        <w:tc>
          <w:tcPr>
            <w:tcW w:w="660" w:type="pct"/>
          </w:tcPr>
          <w:p w14:paraId="421B7ED7" w14:textId="77777777" w:rsidR="00B51C24" w:rsidRDefault="00B51C24" w:rsidP="00FB4B76">
            <w:pPr>
              <w:adjustRightInd/>
              <w:ind w:leftChars="-25" w:left="-60" w:rightChars="-25" w:right="-60"/>
              <w:jc w:val="center"/>
              <w:textAlignment w:val="auto"/>
              <w:rPr>
                <w:rFonts w:hint="eastAsia"/>
                <w:sz w:val="18"/>
                <w:szCs w:val="18"/>
                <w:vertAlign w:val="subscript"/>
              </w:rPr>
            </w:pPr>
            <w:r>
              <w:rPr>
                <w:rFonts w:hint="eastAsia"/>
                <w:i/>
                <w:iCs/>
                <w:sz w:val="18"/>
                <w:szCs w:val="18"/>
              </w:rPr>
              <w:t>C</w:t>
            </w:r>
            <w:r>
              <w:rPr>
                <w:rFonts w:hint="eastAsia"/>
                <w:sz w:val="18"/>
                <w:szCs w:val="18"/>
                <w:vertAlign w:val="subscript"/>
              </w:rPr>
              <w:t>N</w:t>
            </w:r>
          </w:p>
          <w:p w14:paraId="33DDDF10" w14:textId="77777777" w:rsidR="00B51C24" w:rsidRDefault="00B51C24" w:rsidP="00FB4B76">
            <w:pPr>
              <w:adjustRightInd/>
              <w:ind w:leftChars="-25" w:left="-60" w:rightChars="-25" w:right="-60"/>
              <w:jc w:val="center"/>
              <w:textAlignment w:val="auto"/>
              <w:rPr>
                <w:rFonts w:hint="eastAsia"/>
                <w:sz w:val="18"/>
                <w:szCs w:val="18"/>
              </w:rPr>
            </w:pPr>
            <w:r>
              <w:rPr>
                <w:rFonts w:hint="eastAsia"/>
                <w:sz w:val="18"/>
                <w:szCs w:val="18"/>
              </w:rPr>
              <w:t>(%)</w:t>
            </w:r>
          </w:p>
        </w:tc>
      </w:tr>
      <w:tr w:rsidR="00B51C24" w14:paraId="78599AAD" w14:textId="77777777" w:rsidTr="00FB4B76">
        <w:tc>
          <w:tcPr>
            <w:tcW w:w="792" w:type="pct"/>
          </w:tcPr>
          <w:p w14:paraId="1B200F7F" w14:textId="77777777" w:rsidR="00B51C24" w:rsidRDefault="00B51C24" w:rsidP="00FB4B76">
            <w:pPr>
              <w:adjustRightInd/>
              <w:textAlignment w:val="auto"/>
              <w:rPr>
                <w:rFonts w:hint="eastAsia"/>
                <w:sz w:val="18"/>
                <w:szCs w:val="18"/>
              </w:rPr>
            </w:pPr>
            <w:r>
              <w:rPr>
                <w:sz w:val="18"/>
                <w:szCs w:val="18"/>
              </w:rPr>
              <w:lastRenderedPageBreak/>
              <w:t>TCM2</w:t>
            </w:r>
          </w:p>
        </w:tc>
        <w:tc>
          <w:tcPr>
            <w:tcW w:w="481" w:type="pct"/>
          </w:tcPr>
          <w:p w14:paraId="37FF4697"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3</w:t>
            </w:r>
            <w:r>
              <w:rPr>
                <w:sz w:val="18"/>
                <w:szCs w:val="18"/>
              </w:rPr>
              <w:t>56</w:t>
            </w:r>
          </w:p>
        </w:tc>
        <w:tc>
          <w:tcPr>
            <w:tcW w:w="476" w:type="pct"/>
          </w:tcPr>
          <w:p w14:paraId="5743E552"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1</w:t>
            </w:r>
            <w:r>
              <w:rPr>
                <w:sz w:val="18"/>
                <w:szCs w:val="18"/>
              </w:rPr>
              <w:t>1.2</w:t>
            </w:r>
          </w:p>
        </w:tc>
        <w:tc>
          <w:tcPr>
            <w:tcW w:w="642" w:type="pct"/>
          </w:tcPr>
          <w:p w14:paraId="62C16C27"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7</w:t>
            </w:r>
            <w:r>
              <w:rPr>
                <w:sz w:val="18"/>
                <w:szCs w:val="18"/>
              </w:rPr>
              <w:t>3.23</w:t>
            </w:r>
          </w:p>
        </w:tc>
        <w:tc>
          <w:tcPr>
            <w:tcW w:w="634" w:type="pct"/>
          </w:tcPr>
          <w:p w14:paraId="315F0D8E"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1</w:t>
            </w:r>
            <w:r>
              <w:rPr>
                <w:sz w:val="18"/>
                <w:szCs w:val="18"/>
              </w:rPr>
              <w:t>7.43</w:t>
            </w:r>
          </w:p>
        </w:tc>
        <w:tc>
          <w:tcPr>
            <w:tcW w:w="702" w:type="pct"/>
          </w:tcPr>
          <w:p w14:paraId="2697BDF4"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7</w:t>
            </w:r>
            <w:r>
              <w:rPr>
                <w:sz w:val="18"/>
                <w:szCs w:val="18"/>
              </w:rPr>
              <w:t>.44</w:t>
            </w:r>
          </w:p>
        </w:tc>
        <w:tc>
          <w:tcPr>
            <w:tcW w:w="611" w:type="pct"/>
          </w:tcPr>
          <w:p w14:paraId="265F0A6A"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2</w:t>
            </w:r>
            <w:r>
              <w:rPr>
                <w:sz w:val="18"/>
                <w:szCs w:val="18"/>
              </w:rPr>
              <w:t>.04</w:t>
            </w:r>
          </w:p>
        </w:tc>
        <w:tc>
          <w:tcPr>
            <w:tcW w:w="660" w:type="pct"/>
          </w:tcPr>
          <w:p w14:paraId="271F5701"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w:t>
            </w:r>
          </w:p>
        </w:tc>
      </w:tr>
      <w:tr w:rsidR="00B51C24" w14:paraId="22F2C9FA" w14:textId="77777777" w:rsidTr="00FB4B76">
        <w:trPr>
          <w:trHeight w:val="90"/>
        </w:trPr>
        <w:tc>
          <w:tcPr>
            <w:tcW w:w="792" w:type="pct"/>
          </w:tcPr>
          <w:p w14:paraId="208FCC78" w14:textId="77777777" w:rsidR="00B51C24" w:rsidRDefault="00B51C24" w:rsidP="00FB4B76">
            <w:pPr>
              <w:adjustRightInd/>
              <w:ind w:leftChars="-25" w:left="-60" w:rightChars="-25" w:right="-60"/>
              <w:jc w:val="center"/>
              <w:textAlignment w:val="auto"/>
              <w:rPr>
                <w:sz w:val="18"/>
                <w:szCs w:val="18"/>
              </w:rPr>
            </w:pPr>
            <w:r>
              <w:rPr>
                <w:sz w:val="18"/>
                <w:szCs w:val="18"/>
              </w:rPr>
              <w:t>7S2T</w:t>
            </w:r>
          </w:p>
        </w:tc>
        <w:tc>
          <w:tcPr>
            <w:tcW w:w="481" w:type="pct"/>
          </w:tcPr>
          <w:p w14:paraId="47A3E78B" w14:textId="77777777" w:rsidR="00B51C24" w:rsidRDefault="00B51C24" w:rsidP="00FB4B76">
            <w:pPr>
              <w:adjustRightInd/>
              <w:ind w:leftChars="-25" w:left="-60" w:rightChars="-25" w:right="-60"/>
              <w:jc w:val="center"/>
              <w:textAlignment w:val="auto"/>
              <w:rPr>
                <w:rFonts w:hint="eastAsia"/>
                <w:sz w:val="18"/>
                <w:szCs w:val="18"/>
              </w:rPr>
            </w:pPr>
            <w:r>
              <w:rPr>
                <w:rFonts w:hint="eastAsia"/>
                <w:sz w:val="18"/>
                <w:szCs w:val="18"/>
              </w:rPr>
              <w:t>3</w:t>
            </w:r>
            <w:r>
              <w:rPr>
                <w:sz w:val="18"/>
                <w:szCs w:val="18"/>
              </w:rPr>
              <w:t>5</w:t>
            </w:r>
            <w:r>
              <w:rPr>
                <w:rFonts w:hint="eastAsia"/>
                <w:sz w:val="18"/>
                <w:szCs w:val="18"/>
              </w:rPr>
              <w:t>8</w:t>
            </w:r>
          </w:p>
        </w:tc>
        <w:tc>
          <w:tcPr>
            <w:tcW w:w="476" w:type="pct"/>
          </w:tcPr>
          <w:p w14:paraId="75F69210" w14:textId="77777777" w:rsidR="00B51C24" w:rsidRDefault="00B51C24" w:rsidP="00FB4B76">
            <w:pPr>
              <w:adjustRightInd/>
              <w:ind w:leftChars="-25" w:left="-60" w:rightChars="-25" w:right="-60"/>
              <w:jc w:val="center"/>
              <w:textAlignment w:val="auto"/>
              <w:rPr>
                <w:rFonts w:hint="eastAsia"/>
                <w:sz w:val="18"/>
                <w:szCs w:val="18"/>
              </w:rPr>
            </w:pPr>
            <w:r>
              <w:rPr>
                <w:rFonts w:hint="eastAsia"/>
                <w:sz w:val="18"/>
                <w:szCs w:val="18"/>
              </w:rPr>
              <w:t>1</w:t>
            </w:r>
            <w:r>
              <w:rPr>
                <w:sz w:val="18"/>
                <w:szCs w:val="18"/>
              </w:rPr>
              <w:t>1.</w:t>
            </w:r>
            <w:r>
              <w:rPr>
                <w:rFonts w:hint="eastAsia"/>
                <w:sz w:val="18"/>
                <w:szCs w:val="18"/>
              </w:rPr>
              <w:t>6</w:t>
            </w:r>
          </w:p>
        </w:tc>
        <w:tc>
          <w:tcPr>
            <w:tcW w:w="642" w:type="pct"/>
          </w:tcPr>
          <w:p w14:paraId="0F4E7676" w14:textId="77777777" w:rsidR="00B51C24" w:rsidRDefault="00B51C24" w:rsidP="00FB4B76">
            <w:pPr>
              <w:adjustRightInd/>
              <w:ind w:leftChars="-25" w:left="-60" w:rightChars="-25" w:right="-60"/>
              <w:jc w:val="center"/>
              <w:textAlignment w:val="auto"/>
              <w:rPr>
                <w:rFonts w:hint="eastAsia"/>
                <w:sz w:val="18"/>
                <w:szCs w:val="18"/>
              </w:rPr>
            </w:pPr>
            <w:r>
              <w:rPr>
                <w:rFonts w:hint="eastAsia"/>
                <w:sz w:val="18"/>
                <w:szCs w:val="18"/>
              </w:rPr>
              <w:t>7</w:t>
            </w:r>
            <w:r>
              <w:rPr>
                <w:sz w:val="18"/>
                <w:szCs w:val="18"/>
              </w:rPr>
              <w:t>3.27</w:t>
            </w:r>
          </w:p>
        </w:tc>
        <w:tc>
          <w:tcPr>
            <w:tcW w:w="634" w:type="pct"/>
          </w:tcPr>
          <w:p w14:paraId="50235014"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1</w:t>
            </w:r>
            <w:r>
              <w:rPr>
                <w:sz w:val="18"/>
                <w:szCs w:val="18"/>
              </w:rPr>
              <w:t>7.</w:t>
            </w:r>
            <w:r>
              <w:rPr>
                <w:rFonts w:hint="eastAsia"/>
                <w:sz w:val="18"/>
                <w:szCs w:val="18"/>
              </w:rPr>
              <w:t>82</w:t>
            </w:r>
          </w:p>
        </w:tc>
        <w:tc>
          <w:tcPr>
            <w:tcW w:w="702" w:type="pct"/>
          </w:tcPr>
          <w:p w14:paraId="75C3E67B" w14:textId="77777777" w:rsidR="00B51C24" w:rsidRDefault="00B51C24" w:rsidP="00FB4B76">
            <w:pPr>
              <w:adjustRightInd/>
              <w:ind w:leftChars="-25" w:left="-60" w:rightChars="-25" w:right="-60"/>
              <w:jc w:val="center"/>
              <w:textAlignment w:val="auto"/>
              <w:rPr>
                <w:rFonts w:hint="eastAsia"/>
                <w:sz w:val="18"/>
                <w:szCs w:val="18"/>
              </w:rPr>
            </w:pPr>
            <w:r>
              <w:rPr>
                <w:rFonts w:hint="eastAsia"/>
                <w:sz w:val="18"/>
                <w:szCs w:val="18"/>
              </w:rPr>
              <w:t>7</w:t>
            </w:r>
            <w:r>
              <w:rPr>
                <w:sz w:val="18"/>
                <w:szCs w:val="18"/>
              </w:rPr>
              <w:t>.6</w:t>
            </w:r>
            <w:r>
              <w:rPr>
                <w:rFonts w:hint="eastAsia"/>
                <w:sz w:val="18"/>
                <w:szCs w:val="18"/>
              </w:rPr>
              <w:t>0</w:t>
            </w:r>
          </w:p>
        </w:tc>
        <w:tc>
          <w:tcPr>
            <w:tcW w:w="611" w:type="pct"/>
          </w:tcPr>
          <w:p w14:paraId="776DE701"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1.31</w:t>
            </w:r>
          </w:p>
        </w:tc>
        <w:tc>
          <w:tcPr>
            <w:tcW w:w="660" w:type="pct"/>
          </w:tcPr>
          <w:p w14:paraId="4E4407F9" w14:textId="77777777" w:rsidR="00B51C24" w:rsidRDefault="00B51C24" w:rsidP="00FB4B76">
            <w:pPr>
              <w:adjustRightInd/>
              <w:ind w:leftChars="-25" w:left="-60" w:rightChars="-25" w:right="-60"/>
              <w:jc w:val="center"/>
              <w:textAlignment w:val="auto"/>
              <w:rPr>
                <w:rFonts w:hint="eastAsia"/>
                <w:sz w:val="18"/>
                <w:szCs w:val="18"/>
              </w:rPr>
            </w:pPr>
            <w:r>
              <w:rPr>
                <w:rFonts w:hint="eastAsia"/>
                <w:sz w:val="18"/>
                <w:szCs w:val="18"/>
              </w:rPr>
              <w:t>2.6E-</w:t>
            </w:r>
            <w:r>
              <w:rPr>
                <w:sz w:val="18"/>
                <w:szCs w:val="18"/>
              </w:rPr>
              <w:t>7</w:t>
            </w:r>
          </w:p>
        </w:tc>
      </w:tr>
      <w:tr w:rsidR="00B51C24" w14:paraId="32826E00" w14:textId="77777777" w:rsidTr="00FB4B76">
        <w:trPr>
          <w:trHeight w:val="90"/>
        </w:trPr>
        <w:tc>
          <w:tcPr>
            <w:tcW w:w="792" w:type="pct"/>
          </w:tcPr>
          <w:p w14:paraId="573B5296" w14:textId="77777777" w:rsidR="00B51C24" w:rsidRDefault="00B51C24" w:rsidP="00FB4B76">
            <w:pPr>
              <w:adjustRightInd/>
              <w:ind w:leftChars="-25" w:left="-60" w:rightChars="-25" w:right="-60"/>
              <w:jc w:val="center"/>
              <w:textAlignment w:val="auto"/>
              <w:rPr>
                <w:sz w:val="18"/>
                <w:szCs w:val="18"/>
              </w:rPr>
            </w:pPr>
            <w:r>
              <w:rPr>
                <w:sz w:val="18"/>
                <w:szCs w:val="18"/>
              </w:rPr>
              <w:t>5S2T</w:t>
            </w:r>
          </w:p>
        </w:tc>
        <w:tc>
          <w:tcPr>
            <w:tcW w:w="481" w:type="pct"/>
          </w:tcPr>
          <w:p w14:paraId="19DC2B5F" w14:textId="77777777" w:rsidR="00B51C24" w:rsidRDefault="00B51C24" w:rsidP="00FB4B76">
            <w:pPr>
              <w:adjustRightInd/>
              <w:ind w:leftChars="-25" w:left="-60" w:rightChars="-25" w:right="-60"/>
              <w:jc w:val="center"/>
              <w:textAlignment w:val="auto"/>
              <w:rPr>
                <w:sz w:val="18"/>
                <w:szCs w:val="18"/>
              </w:rPr>
            </w:pPr>
            <w:r>
              <w:rPr>
                <w:sz w:val="18"/>
                <w:szCs w:val="18"/>
              </w:rPr>
              <w:t>360</w:t>
            </w:r>
          </w:p>
        </w:tc>
        <w:tc>
          <w:tcPr>
            <w:tcW w:w="476" w:type="pct"/>
          </w:tcPr>
          <w:p w14:paraId="2E789E0D" w14:textId="77777777" w:rsidR="00B51C24" w:rsidRDefault="00B51C24" w:rsidP="00FB4B76">
            <w:pPr>
              <w:adjustRightInd/>
              <w:ind w:leftChars="-25" w:left="-60" w:rightChars="-25" w:right="-60"/>
              <w:jc w:val="center"/>
              <w:textAlignment w:val="auto"/>
              <w:rPr>
                <w:sz w:val="18"/>
                <w:szCs w:val="18"/>
              </w:rPr>
            </w:pPr>
            <w:r>
              <w:rPr>
                <w:sz w:val="18"/>
                <w:szCs w:val="18"/>
              </w:rPr>
              <w:t>11.5</w:t>
            </w:r>
          </w:p>
        </w:tc>
        <w:tc>
          <w:tcPr>
            <w:tcW w:w="642" w:type="pct"/>
          </w:tcPr>
          <w:p w14:paraId="64541796" w14:textId="77777777" w:rsidR="00B51C24" w:rsidRDefault="00B51C24" w:rsidP="00FB4B76">
            <w:pPr>
              <w:adjustRightInd/>
              <w:ind w:leftChars="-25" w:left="-60" w:rightChars="-25" w:right="-60"/>
              <w:jc w:val="center"/>
              <w:textAlignment w:val="auto"/>
              <w:rPr>
                <w:sz w:val="18"/>
                <w:szCs w:val="18"/>
              </w:rPr>
            </w:pPr>
            <w:r>
              <w:rPr>
                <w:sz w:val="18"/>
                <w:szCs w:val="18"/>
              </w:rPr>
              <w:t>73.17</w:t>
            </w:r>
          </w:p>
        </w:tc>
        <w:tc>
          <w:tcPr>
            <w:tcW w:w="634" w:type="pct"/>
          </w:tcPr>
          <w:p w14:paraId="0919BE8C" w14:textId="77777777" w:rsidR="00B51C24" w:rsidRDefault="00B51C24" w:rsidP="00FB4B76">
            <w:pPr>
              <w:adjustRightInd/>
              <w:ind w:leftChars="-25" w:left="-60" w:rightChars="-25" w:right="-60"/>
              <w:jc w:val="center"/>
              <w:textAlignment w:val="auto"/>
              <w:rPr>
                <w:sz w:val="18"/>
                <w:szCs w:val="18"/>
              </w:rPr>
            </w:pPr>
            <w:r>
              <w:rPr>
                <w:sz w:val="18"/>
                <w:szCs w:val="18"/>
              </w:rPr>
              <w:t>17.57</w:t>
            </w:r>
          </w:p>
        </w:tc>
        <w:tc>
          <w:tcPr>
            <w:tcW w:w="702" w:type="pct"/>
          </w:tcPr>
          <w:p w14:paraId="3BAFA74C" w14:textId="77777777" w:rsidR="00B51C24" w:rsidRDefault="00B51C24" w:rsidP="00FB4B76">
            <w:pPr>
              <w:adjustRightInd/>
              <w:ind w:leftChars="-25" w:left="-60" w:rightChars="-25" w:right="-60"/>
              <w:jc w:val="center"/>
              <w:textAlignment w:val="auto"/>
              <w:rPr>
                <w:sz w:val="18"/>
                <w:szCs w:val="18"/>
              </w:rPr>
            </w:pPr>
            <w:r>
              <w:rPr>
                <w:sz w:val="18"/>
                <w:szCs w:val="18"/>
              </w:rPr>
              <w:t>7.41</w:t>
            </w:r>
          </w:p>
        </w:tc>
        <w:tc>
          <w:tcPr>
            <w:tcW w:w="611" w:type="pct"/>
          </w:tcPr>
          <w:p w14:paraId="5CB1EF6A" w14:textId="77777777" w:rsidR="00B51C24" w:rsidRDefault="00B51C24" w:rsidP="00FB4B76">
            <w:pPr>
              <w:adjustRightInd/>
              <w:ind w:leftChars="-25" w:left="-60" w:rightChars="-25" w:right="-60"/>
              <w:jc w:val="center"/>
              <w:textAlignment w:val="auto"/>
              <w:rPr>
                <w:sz w:val="18"/>
                <w:szCs w:val="18"/>
              </w:rPr>
            </w:pPr>
            <w:r>
              <w:rPr>
                <w:sz w:val="18"/>
                <w:szCs w:val="18"/>
              </w:rPr>
              <w:t>1.93</w:t>
            </w:r>
          </w:p>
        </w:tc>
        <w:tc>
          <w:tcPr>
            <w:tcW w:w="660" w:type="pct"/>
          </w:tcPr>
          <w:p w14:paraId="313AA96C" w14:textId="77777777" w:rsidR="00B51C24" w:rsidRDefault="00B51C24" w:rsidP="00FB4B76">
            <w:pPr>
              <w:adjustRightInd/>
              <w:ind w:leftChars="-25" w:left="-60" w:rightChars="-25" w:right="-60"/>
              <w:jc w:val="center"/>
              <w:textAlignment w:val="auto"/>
              <w:rPr>
                <w:sz w:val="18"/>
                <w:szCs w:val="18"/>
              </w:rPr>
            </w:pPr>
            <w:r>
              <w:rPr>
                <w:sz w:val="18"/>
                <w:szCs w:val="18"/>
              </w:rPr>
              <w:t>1.5E-8</w:t>
            </w:r>
          </w:p>
        </w:tc>
      </w:tr>
    </w:tbl>
    <w:p w14:paraId="50C2C0B4" w14:textId="77777777" w:rsidR="00B51C24" w:rsidRDefault="00B51C24" w:rsidP="00B51C24">
      <w:pPr>
        <w:spacing w:beforeLines="50" w:before="120" w:afterLines="25" w:after="60"/>
        <w:jc w:val="center"/>
        <w:rPr>
          <w:rFonts w:hint="eastAsia"/>
          <w:sz w:val="18"/>
          <w:szCs w:val="22"/>
        </w:rPr>
      </w:pPr>
      <w:bookmarkStart w:id="1" w:name="OLE_LINK6"/>
      <w:r>
        <w:rPr>
          <w:rFonts w:hint="eastAsia"/>
          <w:sz w:val="18"/>
          <w:szCs w:val="22"/>
        </w:rPr>
        <w:t>Table 4</w:t>
      </w:r>
      <w:r>
        <w:rPr>
          <w:sz w:val="18"/>
          <w:szCs w:val="22"/>
        </w:rPr>
        <w:t>b</w:t>
      </w:r>
      <w:r>
        <w:rPr>
          <w:rFonts w:hint="eastAsia"/>
          <w:sz w:val="18"/>
          <w:szCs w:val="22"/>
        </w:rPr>
        <w:t xml:space="preserve"> Comparison of flow parameters in</w:t>
      </w:r>
      <w:r>
        <w:rPr>
          <w:sz w:val="18"/>
          <w:szCs w:val="22"/>
        </w:rPr>
        <w:t xml:space="preserve"> the</w:t>
      </w:r>
      <w:r>
        <w:rPr>
          <w:rFonts w:hint="eastAsia"/>
          <w:sz w:val="18"/>
          <w:szCs w:val="22"/>
        </w:rPr>
        <w:t xml:space="preserve"> </w:t>
      </w:r>
      <w:r>
        <w:rPr>
          <w:sz w:val="18"/>
          <w:szCs w:val="22"/>
        </w:rPr>
        <w:t xml:space="preserve">HEG </w:t>
      </w:r>
      <w:r>
        <w:rPr>
          <w:rFonts w:hint="eastAsia"/>
          <w:sz w:val="18"/>
          <w:szCs w:val="22"/>
        </w:rPr>
        <w:t>nozzle</w:t>
      </w:r>
    </w:p>
    <w:tbl>
      <w:tblPr>
        <w:tblW w:w="0" w:type="auto"/>
        <w:tblInd w:w="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2"/>
        <w:gridCol w:w="456"/>
        <w:gridCol w:w="426"/>
        <w:gridCol w:w="536"/>
        <w:gridCol w:w="561"/>
        <w:gridCol w:w="561"/>
        <w:gridCol w:w="471"/>
        <w:gridCol w:w="471"/>
        <w:gridCol w:w="586"/>
      </w:tblGrid>
      <w:tr w:rsidR="00B51C24" w14:paraId="0CDDC7C1" w14:textId="77777777" w:rsidTr="00FB4B76">
        <w:trPr>
          <w:trHeight w:val="351"/>
        </w:trPr>
        <w:tc>
          <w:tcPr>
            <w:tcW w:w="702" w:type="dxa"/>
          </w:tcPr>
          <w:p w14:paraId="5A6796E6" w14:textId="77777777" w:rsidR="00B51C24" w:rsidRDefault="00B51C24" w:rsidP="00FB4B76">
            <w:pPr>
              <w:adjustRightInd/>
              <w:spacing w:beforeLines="50" w:before="120" w:afterLines="50" w:after="120"/>
              <w:ind w:leftChars="-25" w:left="-60" w:rightChars="-25" w:right="-60"/>
              <w:jc w:val="center"/>
              <w:textAlignment w:val="auto"/>
              <w:rPr>
                <w:sz w:val="20"/>
                <w:szCs w:val="22"/>
              </w:rPr>
            </w:pPr>
            <w:r>
              <w:rPr>
                <w:rFonts w:hint="eastAsia"/>
                <w:sz w:val="18"/>
                <w:szCs w:val="18"/>
              </w:rPr>
              <w:t>Results</w:t>
            </w:r>
          </w:p>
        </w:tc>
        <w:tc>
          <w:tcPr>
            <w:tcW w:w="399" w:type="dxa"/>
          </w:tcPr>
          <w:p w14:paraId="5314E9C5" w14:textId="77777777" w:rsidR="00B51C24" w:rsidRDefault="00B51C24" w:rsidP="00FB4B76">
            <w:pPr>
              <w:adjustRightInd/>
              <w:ind w:leftChars="-25" w:left="-60" w:rightChars="-25" w:right="-60"/>
              <w:jc w:val="center"/>
              <w:textAlignment w:val="auto"/>
              <w:rPr>
                <w:rFonts w:hint="eastAsia"/>
                <w:sz w:val="18"/>
                <w:szCs w:val="18"/>
              </w:rPr>
            </w:pPr>
            <w:r>
              <w:rPr>
                <w:rFonts w:hint="eastAsia"/>
                <w:i/>
                <w:iCs/>
                <w:sz w:val="18"/>
                <w:szCs w:val="18"/>
              </w:rPr>
              <w:t>P</w:t>
            </w:r>
          </w:p>
          <w:p w14:paraId="6458F9D7" w14:textId="77777777" w:rsidR="00B51C24" w:rsidRDefault="00B51C24" w:rsidP="00FB4B76">
            <w:pPr>
              <w:adjustRightInd/>
              <w:ind w:leftChars="-25" w:left="-60" w:rightChars="-25" w:right="-60"/>
              <w:jc w:val="center"/>
              <w:textAlignment w:val="auto"/>
              <w:rPr>
                <w:rFonts w:hint="eastAsia"/>
                <w:sz w:val="18"/>
                <w:szCs w:val="18"/>
              </w:rPr>
            </w:pPr>
            <w:r>
              <w:rPr>
                <w:rFonts w:hint="eastAsia"/>
                <w:sz w:val="18"/>
                <w:szCs w:val="18"/>
              </w:rPr>
              <w:t>(Pa)</w:t>
            </w:r>
          </w:p>
        </w:tc>
        <w:tc>
          <w:tcPr>
            <w:tcW w:w="370" w:type="dxa"/>
          </w:tcPr>
          <w:p w14:paraId="44758DB0" w14:textId="77777777" w:rsidR="00B51C24" w:rsidRDefault="00B51C24" w:rsidP="00FB4B76">
            <w:pPr>
              <w:adjustRightInd/>
              <w:ind w:leftChars="-25" w:left="-60" w:rightChars="-25" w:right="-60"/>
              <w:jc w:val="center"/>
              <w:textAlignment w:val="auto"/>
              <w:rPr>
                <w:rFonts w:hint="eastAsia"/>
                <w:sz w:val="18"/>
                <w:szCs w:val="18"/>
              </w:rPr>
            </w:pPr>
            <w:r>
              <w:rPr>
                <w:rFonts w:hint="eastAsia"/>
                <w:i/>
                <w:iCs/>
                <w:sz w:val="18"/>
                <w:szCs w:val="18"/>
              </w:rPr>
              <w:t>T</w:t>
            </w:r>
          </w:p>
          <w:p w14:paraId="6CC977F2" w14:textId="77777777" w:rsidR="00B51C24" w:rsidRDefault="00B51C24" w:rsidP="00FB4B76">
            <w:pPr>
              <w:adjustRightInd/>
              <w:ind w:leftChars="-25" w:left="-60" w:rightChars="-25" w:right="-60"/>
              <w:jc w:val="center"/>
              <w:textAlignment w:val="auto"/>
              <w:rPr>
                <w:rFonts w:hint="eastAsia"/>
                <w:sz w:val="18"/>
                <w:szCs w:val="18"/>
              </w:rPr>
            </w:pPr>
            <w:r>
              <w:rPr>
                <w:rFonts w:hint="eastAsia"/>
                <w:sz w:val="18"/>
                <w:szCs w:val="18"/>
              </w:rPr>
              <w:t>(K)</w:t>
            </w:r>
          </w:p>
        </w:tc>
        <w:tc>
          <w:tcPr>
            <w:tcW w:w="476" w:type="dxa"/>
          </w:tcPr>
          <w:p w14:paraId="080B650C" w14:textId="77777777" w:rsidR="00B51C24" w:rsidRDefault="00B51C24" w:rsidP="00FB4B76">
            <w:pPr>
              <w:adjustRightInd/>
              <w:ind w:leftChars="-25" w:left="-60" w:rightChars="-25" w:right="-60"/>
              <w:jc w:val="center"/>
              <w:textAlignment w:val="auto"/>
              <w:rPr>
                <w:rFonts w:hint="eastAsia"/>
                <w:sz w:val="18"/>
                <w:szCs w:val="18"/>
                <w:vertAlign w:val="subscript"/>
              </w:rPr>
            </w:pPr>
            <w:r>
              <w:rPr>
                <w:rFonts w:hint="eastAsia"/>
                <w:i/>
                <w:iCs/>
                <w:sz w:val="18"/>
                <w:szCs w:val="18"/>
              </w:rPr>
              <w:t>u</w:t>
            </w:r>
            <w:r>
              <w:rPr>
                <w:rFonts w:hint="eastAsia"/>
                <w:sz w:val="18"/>
                <w:szCs w:val="18"/>
                <w:vertAlign w:val="subscript"/>
              </w:rPr>
              <w:t>∞</w:t>
            </w:r>
          </w:p>
          <w:p w14:paraId="383020A7"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(m/s)</w:t>
            </w:r>
          </w:p>
        </w:tc>
        <w:tc>
          <w:tcPr>
            <w:tcW w:w="507" w:type="dxa"/>
          </w:tcPr>
          <w:p w14:paraId="29616F5A" w14:textId="77777777" w:rsidR="00B51C24" w:rsidRDefault="00B51C24" w:rsidP="00FB4B76">
            <w:pPr>
              <w:adjustRightInd/>
              <w:ind w:leftChars="-25" w:left="-60" w:rightChars="-25" w:right="-60"/>
              <w:jc w:val="center"/>
              <w:textAlignment w:val="auto"/>
              <w:rPr>
                <w:rFonts w:hint="eastAsia"/>
                <w:sz w:val="18"/>
                <w:szCs w:val="18"/>
                <w:vertAlign w:val="subscript"/>
              </w:rPr>
            </w:pPr>
            <w:r>
              <w:rPr>
                <w:rFonts w:hint="eastAsia"/>
                <w:i/>
                <w:iCs/>
                <w:sz w:val="18"/>
                <w:szCs w:val="18"/>
              </w:rPr>
              <w:t>C</w:t>
            </w:r>
            <w:r>
              <w:rPr>
                <w:rFonts w:hint="eastAsia"/>
                <w:sz w:val="18"/>
                <w:szCs w:val="18"/>
                <w:vertAlign w:val="subscript"/>
              </w:rPr>
              <w:t>N2</w:t>
            </w:r>
          </w:p>
          <w:p w14:paraId="19F98A84"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w:t>
            </w:r>
          </w:p>
        </w:tc>
        <w:tc>
          <w:tcPr>
            <w:tcW w:w="507" w:type="dxa"/>
          </w:tcPr>
          <w:p w14:paraId="1543B3FC" w14:textId="77777777" w:rsidR="00B51C24" w:rsidRDefault="00B51C24" w:rsidP="00FB4B76">
            <w:pPr>
              <w:adjustRightInd/>
              <w:ind w:leftChars="-25" w:left="-60" w:rightChars="-25" w:right="-60"/>
              <w:jc w:val="center"/>
              <w:textAlignment w:val="auto"/>
              <w:rPr>
                <w:rFonts w:hint="eastAsia"/>
                <w:sz w:val="18"/>
                <w:szCs w:val="18"/>
                <w:vertAlign w:val="subscript"/>
              </w:rPr>
            </w:pPr>
            <w:r>
              <w:rPr>
                <w:rFonts w:hint="eastAsia"/>
                <w:i/>
                <w:iCs/>
                <w:sz w:val="18"/>
                <w:szCs w:val="18"/>
              </w:rPr>
              <w:t>C</w:t>
            </w:r>
            <w:r>
              <w:rPr>
                <w:rFonts w:hint="eastAsia"/>
                <w:sz w:val="18"/>
                <w:szCs w:val="18"/>
              </w:rPr>
              <w:t>o</w:t>
            </w:r>
            <w:r>
              <w:rPr>
                <w:rFonts w:hint="eastAsia"/>
                <w:sz w:val="18"/>
                <w:szCs w:val="18"/>
                <w:vertAlign w:val="subscript"/>
              </w:rPr>
              <w:t>2</w:t>
            </w:r>
          </w:p>
          <w:p w14:paraId="615C8FB4"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w:t>
            </w:r>
          </w:p>
        </w:tc>
        <w:tc>
          <w:tcPr>
            <w:tcW w:w="416" w:type="dxa"/>
          </w:tcPr>
          <w:p w14:paraId="3701DF55" w14:textId="77777777" w:rsidR="00B51C24" w:rsidRDefault="00B51C24" w:rsidP="00FB4B76">
            <w:pPr>
              <w:adjustRightInd/>
              <w:ind w:leftChars="-25" w:left="-60" w:rightChars="-25" w:right="-60"/>
              <w:jc w:val="center"/>
              <w:textAlignment w:val="auto"/>
              <w:rPr>
                <w:rFonts w:hint="eastAsia"/>
                <w:sz w:val="18"/>
                <w:szCs w:val="18"/>
                <w:vertAlign w:val="subscript"/>
              </w:rPr>
            </w:pPr>
            <w:r>
              <w:rPr>
                <w:rFonts w:hint="eastAsia"/>
                <w:i/>
                <w:iCs/>
                <w:sz w:val="18"/>
                <w:szCs w:val="18"/>
              </w:rPr>
              <w:t>C</w:t>
            </w:r>
            <w:r>
              <w:rPr>
                <w:rFonts w:hint="eastAsia"/>
                <w:sz w:val="18"/>
                <w:szCs w:val="18"/>
                <w:vertAlign w:val="subscript"/>
              </w:rPr>
              <w:t>NO</w:t>
            </w:r>
          </w:p>
          <w:p w14:paraId="5DE18BC8"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w:t>
            </w:r>
          </w:p>
        </w:tc>
        <w:tc>
          <w:tcPr>
            <w:tcW w:w="416" w:type="dxa"/>
          </w:tcPr>
          <w:p w14:paraId="30BC5192" w14:textId="77777777" w:rsidR="00B51C24" w:rsidRDefault="00B51C24" w:rsidP="00FB4B76">
            <w:pPr>
              <w:adjustRightInd/>
              <w:ind w:leftChars="-25" w:left="-60" w:rightChars="-25" w:right="-60"/>
              <w:jc w:val="center"/>
              <w:textAlignment w:val="auto"/>
              <w:rPr>
                <w:rFonts w:hint="eastAsia"/>
                <w:sz w:val="18"/>
                <w:szCs w:val="18"/>
                <w:vertAlign w:val="subscript"/>
              </w:rPr>
            </w:pPr>
            <w:r>
              <w:rPr>
                <w:rFonts w:hint="eastAsia"/>
                <w:i/>
                <w:iCs/>
                <w:sz w:val="18"/>
                <w:szCs w:val="18"/>
              </w:rPr>
              <w:t>C</w:t>
            </w:r>
            <w:r>
              <w:rPr>
                <w:rFonts w:hint="eastAsia"/>
                <w:sz w:val="18"/>
                <w:szCs w:val="18"/>
                <w:vertAlign w:val="subscript"/>
              </w:rPr>
              <w:t>O</w:t>
            </w:r>
          </w:p>
          <w:p w14:paraId="439226AE"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w:t>
            </w:r>
          </w:p>
        </w:tc>
        <w:tc>
          <w:tcPr>
            <w:tcW w:w="586" w:type="dxa"/>
          </w:tcPr>
          <w:p w14:paraId="58E2B67A" w14:textId="77777777" w:rsidR="00B51C24" w:rsidRDefault="00B51C24" w:rsidP="00FB4B76">
            <w:pPr>
              <w:adjustRightInd/>
              <w:ind w:leftChars="-25" w:left="-60" w:rightChars="-25" w:right="-60"/>
              <w:jc w:val="center"/>
              <w:textAlignment w:val="auto"/>
              <w:rPr>
                <w:rFonts w:hint="eastAsia"/>
                <w:sz w:val="18"/>
                <w:szCs w:val="18"/>
                <w:vertAlign w:val="subscript"/>
              </w:rPr>
            </w:pPr>
            <w:r>
              <w:rPr>
                <w:rFonts w:hint="eastAsia"/>
                <w:i/>
                <w:iCs/>
                <w:sz w:val="18"/>
                <w:szCs w:val="18"/>
              </w:rPr>
              <w:t>C</w:t>
            </w:r>
            <w:r>
              <w:rPr>
                <w:rFonts w:hint="eastAsia"/>
                <w:sz w:val="18"/>
                <w:szCs w:val="18"/>
                <w:vertAlign w:val="subscript"/>
              </w:rPr>
              <w:t>N</w:t>
            </w:r>
          </w:p>
          <w:p w14:paraId="0C7F5B49"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w:t>
            </w:r>
          </w:p>
        </w:tc>
      </w:tr>
      <w:tr w:rsidR="00B51C24" w14:paraId="0A85D149" w14:textId="77777777" w:rsidTr="00FB4B76">
        <w:tc>
          <w:tcPr>
            <w:tcW w:w="702" w:type="dxa"/>
          </w:tcPr>
          <w:p w14:paraId="3344EE7D" w14:textId="77777777" w:rsidR="00B51C24" w:rsidRDefault="00B51C24" w:rsidP="00FB4B76">
            <w:pPr>
              <w:adjustRightInd/>
              <w:textAlignment w:val="auto"/>
              <w:rPr>
                <w:rFonts w:hint="eastAsia"/>
                <w:sz w:val="18"/>
                <w:szCs w:val="18"/>
              </w:rPr>
            </w:pPr>
            <w:r>
              <w:rPr>
                <w:rFonts w:hint="eastAsia"/>
                <w:sz w:val="18"/>
                <w:szCs w:val="18"/>
              </w:rPr>
              <w:t>HEG</w:t>
            </w:r>
          </w:p>
        </w:tc>
        <w:tc>
          <w:tcPr>
            <w:tcW w:w="399" w:type="dxa"/>
          </w:tcPr>
          <w:p w14:paraId="767DEDCD"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713</w:t>
            </w:r>
          </w:p>
        </w:tc>
        <w:tc>
          <w:tcPr>
            <w:tcW w:w="370" w:type="dxa"/>
          </w:tcPr>
          <w:p w14:paraId="5818BABF"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694</w:t>
            </w:r>
          </w:p>
        </w:tc>
        <w:tc>
          <w:tcPr>
            <w:tcW w:w="476" w:type="dxa"/>
          </w:tcPr>
          <w:p w14:paraId="47C1132B"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4776</w:t>
            </w:r>
          </w:p>
        </w:tc>
        <w:tc>
          <w:tcPr>
            <w:tcW w:w="507" w:type="dxa"/>
          </w:tcPr>
          <w:p w14:paraId="55093408"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73.56</w:t>
            </w:r>
          </w:p>
        </w:tc>
        <w:tc>
          <w:tcPr>
            <w:tcW w:w="507" w:type="dxa"/>
          </w:tcPr>
          <w:p w14:paraId="5D1E07D2"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13.40</w:t>
            </w:r>
          </w:p>
        </w:tc>
        <w:tc>
          <w:tcPr>
            <w:tcW w:w="416" w:type="dxa"/>
          </w:tcPr>
          <w:p w14:paraId="641EF939"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5.09</w:t>
            </w:r>
          </w:p>
        </w:tc>
        <w:tc>
          <w:tcPr>
            <w:tcW w:w="416" w:type="dxa"/>
          </w:tcPr>
          <w:p w14:paraId="134BFC2A"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7.96</w:t>
            </w:r>
          </w:p>
        </w:tc>
        <w:tc>
          <w:tcPr>
            <w:tcW w:w="586" w:type="dxa"/>
          </w:tcPr>
          <w:p w14:paraId="6515A5C8"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1.0E-</w:t>
            </w:r>
            <w:r>
              <w:rPr>
                <w:sz w:val="18"/>
                <w:szCs w:val="18"/>
              </w:rPr>
              <w:t>8</w:t>
            </w:r>
          </w:p>
        </w:tc>
      </w:tr>
      <w:tr w:rsidR="00B51C24" w14:paraId="69076D6A" w14:textId="77777777" w:rsidTr="00FB4B76">
        <w:trPr>
          <w:trHeight w:val="90"/>
        </w:trPr>
        <w:tc>
          <w:tcPr>
            <w:tcW w:w="702" w:type="dxa"/>
          </w:tcPr>
          <w:p w14:paraId="4ABA9903" w14:textId="77777777" w:rsidR="00B51C24" w:rsidRDefault="00B51C24" w:rsidP="00FB4B76">
            <w:pPr>
              <w:adjustRightInd/>
              <w:ind w:leftChars="-25" w:left="-60" w:rightChars="-25" w:right="-60"/>
              <w:jc w:val="center"/>
              <w:textAlignment w:val="auto"/>
              <w:rPr>
                <w:sz w:val="18"/>
                <w:szCs w:val="18"/>
              </w:rPr>
            </w:pPr>
            <w:r>
              <w:rPr>
                <w:sz w:val="18"/>
                <w:szCs w:val="18"/>
              </w:rPr>
              <w:t>7S2T</w:t>
            </w:r>
          </w:p>
        </w:tc>
        <w:tc>
          <w:tcPr>
            <w:tcW w:w="399" w:type="dxa"/>
          </w:tcPr>
          <w:p w14:paraId="738CEA78"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701</w:t>
            </w:r>
          </w:p>
        </w:tc>
        <w:tc>
          <w:tcPr>
            <w:tcW w:w="370" w:type="dxa"/>
          </w:tcPr>
          <w:p w14:paraId="000BEA65"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723</w:t>
            </w:r>
          </w:p>
        </w:tc>
        <w:tc>
          <w:tcPr>
            <w:tcW w:w="476" w:type="dxa"/>
          </w:tcPr>
          <w:p w14:paraId="642BCE46"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4842</w:t>
            </w:r>
          </w:p>
        </w:tc>
        <w:tc>
          <w:tcPr>
            <w:tcW w:w="507" w:type="dxa"/>
          </w:tcPr>
          <w:p w14:paraId="7F954C5D"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74.</w:t>
            </w:r>
            <w:r>
              <w:rPr>
                <w:sz w:val="18"/>
                <w:szCs w:val="18"/>
              </w:rPr>
              <w:t>0</w:t>
            </w:r>
            <w:r>
              <w:rPr>
                <w:rFonts w:hint="eastAsia"/>
                <w:sz w:val="18"/>
                <w:szCs w:val="18"/>
              </w:rPr>
              <w:t>1</w:t>
            </w:r>
          </w:p>
        </w:tc>
        <w:tc>
          <w:tcPr>
            <w:tcW w:w="507" w:type="dxa"/>
          </w:tcPr>
          <w:p w14:paraId="1D9F79B5"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1</w:t>
            </w:r>
            <w:r>
              <w:rPr>
                <w:sz w:val="18"/>
                <w:szCs w:val="18"/>
              </w:rPr>
              <w:t>3</w:t>
            </w:r>
            <w:r>
              <w:rPr>
                <w:rFonts w:hint="eastAsia"/>
                <w:sz w:val="18"/>
                <w:szCs w:val="18"/>
              </w:rPr>
              <w:t>.</w:t>
            </w:r>
            <w:r>
              <w:rPr>
                <w:sz w:val="18"/>
                <w:szCs w:val="18"/>
              </w:rPr>
              <w:t>7</w:t>
            </w:r>
            <w:r>
              <w:rPr>
                <w:rFonts w:hint="eastAsia"/>
                <w:sz w:val="18"/>
                <w:szCs w:val="18"/>
              </w:rPr>
              <w:t>5</w:t>
            </w:r>
          </w:p>
        </w:tc>
        <w:tc>
          <w:tcPr>
            <w:tcW w:w="416" w:type="dxa"/>
          </w:tcPr>
          <w:p w14:paraId="0A0CDA37"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4.96</w:t>
            </w:r>
          </w:p>
        </w:tc>
        <w:tc>
          <w:tcPr>
            <w:tcW w:w="416" w:type="dxa"/>
          </w:tcPr>
          <w:p w14:paraId="2A1C3212" w14:textId="77777777" w:rsidR="00B51C24" w:rsidRDefault="00B51C24" w:rsidP="00FB4B76">
            <w:pPr>
              <w:adjustRightInd/>
              <w:ind w:leftChars="-25" w:left="-60" w:rightChars="-25" w:right="-60"/>
              <w:jc w:val="center"/>
              <w:textAlignment w:val="auto"/>
              <w:rPr>
                <w:sz w:val="18"/>
                <w:szCs w:val="18"/>
              </w:rPr>
            </w:pPr>
            <w:r>
              <w:rPr>
                <w:sz w:val="18"/>
                <w:szCs w:val="18"/>
              </w:rPr>
              <w:t>7</w:t>
            </w:r>
            <w:r>
              <w:rPr>
                <w:rFonts w:hint="eastAsia"/>
                <w:sz w:val="18"/>
                <w:szCs w:val="18"/>
              </w:rPr>
              <w:t>.</w:t>
            </w:r>
            <w:r>
              <w:rPr>
                <w:sz w:val="18"/>
                <w:szCs w:val="18"/>
              </w:rPr>
              <w:t>2</w:t>
            </w:r>
            <w:r>
              <w:rPr>
                <w:rFonts w:hint="eastAsia"/>
                <w:sz w:val="18"/>
                <w:szCs w:val="18"/>
              </w:rPr>
              <w:t>5</w:t>
            </w:r>
          </w:p>
        </w:tc>
        <w:tc>
          <w:tcPr>
            <w:tcW w:w="586" w:type="dxa"/>
          </w:tcPr>
          <w:p w14:paraId="16B997F6" w14:textId="77777777" w:rsidR="00B51C24" w:rsidRDefault="00B51C24" w:rsidP="00FB4B76">
            <w:pPr>
              <w:adjustRightInd/>
              <w:ind w:leftChars="-25" w:left="-60" w:rightChars="-25" w:right="-60"/>
              <w:jc w:val="center"/>
              <w:textAlignment w:val="auto"/>
              <w:rPr>
                <w:sz w:val="18"/>
                <w:szCs w:val="18"/>
              </w:rPr>
            </w:pPr>
            <w:r>
              <w:rPr>
                <w:rFonts w:hint="eastAsia"/>
                <w:sz w:val="18"/>
                <w:szCs w:val="18"/>
              </w:rPr>
              <w:t>1.4E-</w:t>
            </w:r>
            <w:r>
              <w:rPr>
                <w:sz w:val="18"/>
                <w:szCs w:val="18"/>
              </w:rPr>
              <w:t>7</w:t>
            </w:r>
          </w:p>
        </w:tc>
      </w:tr>
      <w:tr w:rsidR="00B51C24" w14:paraId="31071B27" w14:textId="77777777" w:rsidTr="00FB4B76">
        <w:trPr>
          <w:trHeight w:val="90"/>
        </w:trPr>
        <w:tc>
          <w:tcPr>
            <w:tcW w:w="702" w:type="dxa"/>
          </w:tcPr>
          <w:p w14:paraId="5CFD6C6C" w14:textId="77777777" w:rsidR="00B51C24" w:rsidRDefault="00B51C24" w:rsidP="00FB4B76">
            <w:pPr>
              <w:adjustRightInd/>
              <w:ind w:leftChars="-25" w:left="-60" w:rightChars="-25" w:right="-60"/>
              <w:jc w:val="center"/>
              <w:textAlignment w:val="auto"/>
              <w:rPr>
                <w:sz w:val="18"/>
                <w:szCs w:val="18"/>
              </w:rPr>
            </w:pPr>
            <w:r>
              <w:rPr>
                <w:sz w:val="18"/>
                <w:szCs w:val="18"/>
              </w:rPr>
              <w:t>5S2T</w:t>
            </w:r>
          </w:p>
        </w:tc>
        <w:tc>
          <w:tcPr>
            <w:tcW w:w="399" w:type="dxa"/>
          </w:tcPr>
          <w:p w14:paraId="0135612D" w14:textId="77777777" w:rsidR="00B51C24" w:rsidRDefault="00B51C24" w:rsidP="00FB4B76">
            <w:pPr>
              <w:adjustRightInd/>
              <w:ind w:leftChars="-25" w:left="-60" w:rightChars="-25" w:right="-60"/>
              <w:jc w:val="center"/>
              <w:textAlignment w:val="auto"/>
              <w:rPr>
                <w:sz w:val="18"/>
                <w:szCs w:val="18"/>
              </w:rPr>
            </w:pPr>
            <w:r>
              <w:rPr>
                <w:sz w:val="18"/>
                <w:szCs w:val="18"/>
              </w:rPr>
              <w:t>705</w:t>
            </w:r>
          </w:p>
        </w:tc>
        <w:tc>
          <w:tcPr>
            <w:tcW w:w="370" w:type="dxa"/>
          </w:tcPr>
          <w:p w14:paraId="77DDAB13" w14:textId="77777777" w:rsidR="00B51C24" w:rsidRDefault="00B51C24" w:rsidP="00FB4B76">
            <w:pPr>
              <w:adjustRightInd/>
              <w:ind w:leftChars="-25" w:left="-60" w:rightChars="-25" w:right="-60"/>
              <w:jc w:val="center"/>
              <w:textAlignment w:val="auto"/>
              <w:rPr>
                <w:sz w:val="18"/>
                <w:szCs w:val="18"/>
              </w:rPr>
            </w:pPr>
            <w:r>
              <w:rPr>
                <w:sz w:val="18"/>
                <w:szCs w:val="18"/>
              </w:rPr>
              <w:t>720</w:t>
            </w:r>
          </w:p>
        </w:tc>
        <w:tc>
          <w:tcPr>
            <w:tcW w:w="476" w:type="dxa"/>
          </w:tcPr>
          <w:p w14:paraId="0DF8ECCC" w14:textId="77777777" w:rsidR="00B51C24" w:rsidRDefault="00B51C24" w:rsidP="00FB4B76">
            <w:pPr>
              <w:adjustRightInd/>
              <w:ind w:leftChars="-25" w:left="-60" w:rightChars="-25" w:right="-60"/>
              <w:jc w:val="center"/>
              <w:textAlignment w:val="auto"/>
              <w:rPr>
                <w:sz w:val="18"/>
                <w:szCs w:val="18"/>
              </w:rPr>
            </w:pPr>
            <w:r>
              <w:rPr>
                <w:sz w:val="18"/>
                <w:szCs w:val="18"/>
              </w:rPr>
              <w:t>4823</w:t>
            </w:r>
          </w:p>
        </w:tc>
        <w:tc>
          <w:tcPr>
            <w:tcW w:w="507" w:type="dxa"/>
          </w:tcPr>
          <w:p w14:paraId="21A0F48D" w14:textId="77777777" w:rsidR="00B51C24" w:rsidRDefault="00B51C24" w:rsidP="00FB4B76">
            <w:pPr>
              <w:adjustRightInd/>
              <w:ind w:leftChars="-25" w:left="-60" w:rightChars="-25" w:right="-60"/>
              <w:jc w:val="center"/>
              <w:textAlignment w:val="auto"/>
              <w:rPr>
                <w:sz w:val="18"/>
                <w:szCs w:val="18"/>
              </w:rPr>
            </w:pPr>
            <w:r>
              <w:rPr>
                <w:sz w:val="18"/>
                <w:szCs w:val="18"/>
              </w:rPr>
              <w:t>73.94</w:t>
            </w:r>
          </w:p>
        </w:tc>
        <w:tc>
          <w:tcPr>
            <w:tcW w:w="507" w:type="dxa"/>
          </w:tcPr>
          <w:p w14:paraId="36D27FAB" w14:textId="77777777" w:rsidR="00B51C24" w:rsidRDefault="00B51C24" w:rsidP="00FB4B76">
            <w:pPr>
              <w:adjustRightInd/>
              <w:ind w:leftChars="-25" w:left="-60" w:rightChars="-25" w:right="-60"/>
              <w:jc w:val="center"/>
              <w:textAlignment w:val="auto"/>
              <w:rPr>
                <w:sz w:val="18"/>
                <w:szCs w:val="18"/>
              </w:rPr>
            </w:pPr>
            <w:r>
              <w:rPr>
                <w:sz w:val="18"/>
                <w:szCs w:val="18"/>
              </w:rPr>
              <w:t xml:space="preserve">13.48 </w:t>
            </w:r>
          </w:p>
        </w:tc>
        <w:tc>
          <w:tcPr>
            <w:tcW w:w="416" w:type="dxa"/>
          </w:tcPr>
          <w:p w14:paraId="447890AC" w14:textId="77777777" w:rsidR="00B51C24" w:rsidRDefault="00B51C24" w:rsidP="00FB4B76">
            <w:pPr>
              <w:adjustRightInd/>
              <w:ind w:leftChars="-25" w:left="-60" w:rightChars="-25" w:right="-60"/>
              <w:jc w:val="center"/>
              <w:textAlignment w:val="auto"/>
              <w:rPr>
                <w:sz w:val="18"/>
                <w:szCs w:val="18"/>
              </w:rPr>
            </w:pPr>
            <w:r>
              <w:rPr>
                <w:sz w:val="18"/>
                <w:szCs w:val="18"/>
              </w:rPr>
              <w:t>5.03</w:t>
            </w:r>
          </w:p>
        </w:tc>
        <w:tc>
          <w:tcPr>
            <w:tcW w:w="416" w:type="dxa"/>
          </w:tcPr>
          <w:p w14:paraId="6052F03F" w14:textId="77777777" w:rsidR="00B51C24" w:rsidRDefault="00B51C24" w:rsidP="00FB4B76">
            <w:pPr>
              <w:adjustRightInd/>
              <w:ind w:leftChars="-25" w:left="-60" w:rightChars="-25" w:right="-60"/>
              <w:jc w:val="center"/>
              <w:textAlignment w:val="auto"/>
              <w:rPr>
                <w:sz w:val="18"/>
                <w:szCs w:val="18"/>
              </w:rPr>
            </w:pPr>
            <w:r>
              <w:rPr>
                <w:sz w:val="18"/>
                <w:szCs w:val="18"/>
              </w:rPr>
              <w:t>7.83</w:t>
            </w:r>
          </w:p>
        </w:tc>
        <w:tc>
          <w:tcPr>
            <w:tcW w:w="586" w:type="dxa"/>
          </w:tcPr>
          <w:p w14:paraId="68D791F4" w14:textId="77777777" w:rsidR="00B51C24" w:rsidRDefault="00B51C24" w:rsidP="00FB4B76">
            <w:pPr>
              <w:adjustRightInd/>
              <w:ind w:leftChars="-25" w:left="-60" w:rightChars="-25" w:right="-60"/>
              <w:jc w:val="center"/>
              <w:textAlignment w:val="auto"/>
              <w:rPr>
                <w:sz w:val="18"/>
                <w:szCs w:val="18"/>
              </w:rPr>
            </w:pPr>
            <w:r>
              <w:rPr>
                <w:sz w:val="18"/>
                <w:szCs w:val="18"/>
              </w:rPr>
              <w:t>1.8E-8</w:t>
            </w:r>
          </w:p>
        </w:tc>
      </w:tr>
      <w:bookmarkEnd w:id="1"/>
    </w:tbl>
    <w:p w14:paraId="78A97504" w14:textId="77777777" w:rsidR="00B51C24" w:rsidRDefault="00B51C24" w:rsidP="00B51C24">
      <w:pPr>
        <w:ind w:firstLineChars="100" w:firstLine="200"/>
        <w:jc w:val="both"/>
        <w:rPr>
          <w:sz w:val="20"/>
        </w:rPr>
      </w:pPr>
    </w:p>
    <w:p w14:paraId="17FB1018" w14:textId="77777777" w:rsidR="00B51C24" w:rsidRDefault="00B51C24" w:rsidP="00B51C24">
      <w:pPr>
        <w:ind w:firstLineChars="200" w:firstLine="400"/>
        <w:jc w:val="both"/>
        <w:rPr>
          <w:sz w:val="20"/>
        </w:rPr>
      </w:pPr>
      <w:r>
        <w:rPr>
          <w:rFonts w:hint="eastAsia"/>
          <w:sz w:val="20"/>
          <w:szCs w:val="22"/>
        </w:rPr>
        <w:t>The calculation results</w:t>
      </w:r>
      <w:r>
        <w:rPr>
          <w:sz w:val="20"/>
          <w:szCs w:val="22"/>
        </w:rPr>
        <w:t xml:space="preserve"> o</w:t>
      </w:r>
      <w:r>
        <w:rPr>
          <w:rFonts w:hint="eastAsia"/>
          <w:sz w:val="20"/>
          <w:szCs w:val="22"/>
        </w:rPr>
        <w:t>f the nozzles of TCM2 and HEG in this paper agree well with the reference values</w:t>
      </w:r>
      <w:r>
        <w:rPr>
          <w:rFonts w:hint="eastAsia"/>
          <w:sz w:val="20"/>
          <w:szCs w:val="22"/>
          <w:vertAlign w:val="superscript"/>
        </w:rPr>
        <w:fldChar w:fldCharType="begin"/>
      </w:r>
      <w:r>
        <w:rPr>
          <w:rFonts w:hint="eastAsia"/>
          <w:sz w:val="20"/>
          <w:szCs w:val="22"/>
          <w:vertAlign w:val="superscript"/>
        </w:rPr>
        <w:instrText xml:space="preserve"> REF _Ref11193 \n \h </w:instrText>
      </w:r>
      <w:r>
        <w:rPr>
          <w:rFonts w:hint="eastAsia"/>
          <w:sz w:val="20"/>
          <w:szCs w:val="22"/>
          <w:vertAlign w:val="superscript"/>
        </w:rPr>
        <w:fldChar w:fldCharType="separate"/>
      </w:r>
      <w:r>
        <w:rPr>
          <w:sz w:val="20"/>
          <w:szCs w:val="22"/>
          <w:vertAlign w:val="superscript"/>
        </w:rPr>
        <w:t>4</w:t>
      </w:r>
      <w:r>
        <w:rPr>
          <w:rFonts w:hint="eastAsia"/>
          <w:sz w:val="20"/>
          <w:szCs w:val="22"/>
          <w:vertAlign w:val="superscript"/>
        </w:rPr>
        <w:fldChar w:fldCharType="end"/>
      </w:r>
      <w:r>
        <w:rPr>
          <w:rFonts w:hint="eastAsia"/>
          <w:sz w:val="20"/>
          <w:szCs w:val="22"/>
          <w:vertAlign w:val="superscript"/>
        </w:rPr>
        <w:t>,</w:t>
      </w:r>
      <w:r>
        <w:rPr>
          <w:rFonts w:hint="eastAsia"/>
          <w:sz w:val="20"/>
          <w:szCs w:val="22"/>
          <w:vertAlign w:val="superscript"/>
        </w:rPr>
        <w:fldChar w:fldCharType="begin"/>
      </w:r>
      <w:r>
        <w:rPr>
          <w:rFonts w:hint="eastAsia"/>
          <w:sz w:val="20"/>
          <w:szCs w:val="22"/>
          <w:vertAlign w:val="superscript"/>
        </w:rPr>
        <w:instrText xml:space="preserve"> REF _Ref4116 \n \h </w:instrText>
      </w:r>
      <w:r>
        <w:rPr>
          <w:rFonts w:hint="eastAsia"/>
          <w:sz w:val="20"/>
          <w:szCs w:val="22"/>
          <w:vertAlign w:val="superscript"/>
        </w:rPr>
        <w:fldChar w:fldCharType="separate"/>
      </w:r>
      <w:r>
        <w:rPr>
          <w:sz w:val="20"/>
          <w:szCs w:val="22"/>
          <w:vertAlign w:val="superscript"/>
        </w:rPr>
        <w:t>5</w:t>
      </w:r>
      <w:r>
        <w:rPr>
          <w:rFonts w:hint="eastAsia"/>
          <w:sz w:val="20"/>
          <w:szCs w:val="22"/>
          <w:vertAlign w:val="superscript"/>
        </w:rPr>
        <w:fldChar w:fldCharType="end"/>
      </w:r>
      <w:r>
        <w:rPr>
          <w:rFonts w:hint="eastAsia"/>
          <w:sz w:val="20"/>
          <w:szCs w:val="22"/>
        </w:rPr>
        <w:t xml:space="preserve">. The </w:t>
      </w:r>
      <w:r>
        <w:rPr>
          <w:sz w:val="20"/>
          <w:szCs w:val="22"/>
        </w:rPr>
        <w:t>discrepancy</w:t>
      </w:r>
      <w:r>
        <w:rPr>
          <w:rFonts w:hint="eastAsia"/>
          <w:sz w:val="20"/>
          <w:szCs w:val="22"/>
        </w:rPr>
        <w:t xml:space="preserve"> calculated by comparing the main reference values is nominally 5 percent or less for all the cases considered. The variation can be explained. There are three main reasons for these differences. First, by the different vibrational modeling. Second, by the different transport coefficients. The species NO</w:t>
      </w:r>
      <w:r>
        <w:rPr>
          <w:rFonts w:hint="eastAsia"/>
          <w:sz w:val="20"/>
          <w:szCs w:val="22"/>
          <w:vertAlign w:val="superscript"/>
        </w:rPr>
        <w:t>+</w:t>
      </w:r>
      <w:r>
        <w:rPr>
          <w:rFonts w:hint="eastAsia"/>
          <w:sz w:val="20"/>
          <w:szCs w:val="22"/>
        </w:rPr>
        <w:t xml:space="preserve"> and e</w:t>
      </w:r>
      <w:r>
        <w:rPr>
          <w:rFonts w:hint="eastAsia"/>
          <w:sz w:val="20"/>
          <w:szCs w:val="22"/>
          <w:vertAlign w:val="superscript"/>
        </w:rPr>
        <w:t>-</w:t>
      </w:r>
      <w:r>
        <w:rPr>
          <w:rFonts w:hint="eastAsia"/>
          <w:sz w:val="20"/>
          <w:szCs w:val="22"/>
        </w:rPr>
        <w:t xml:space="preserve"> belong to the micro-species. </w:t>
      </w:r>
      <w:r>
        <w:rPr>
          <w:rFonts w:hint="eastAsia"/>
          <w:sz w:val="20"/>
        </w:rPr>
        <w:t xml:space="preserve">The results </w:t>
      </w:r>
      <w:r>
        <w:rPr>
          <w:rFonts w:hint="eastAsia"/>
          <w:sz w:val="20"/>
          <w:szCs w:val="22"/>
        </w:rPr>
        <w:t>verify the positive determination of the relevant parameter settings and the accuracy of the pr</w:t>
      </w:r>
      <w:r>
        <w:rPr>
          <w:sz w:val="20"/>
          <w:szCs w:val="22"/>
        </w:rPr>
        <w:t>ocedure</w:t>
      </w:r>
      <w:r>
        <w:rPr>
          <w:rFonts w:hint="eastAsia"/>
          <w:sz w:val="20"/>
          <w:szCs w:val="22"/>
        </w:rPr>
        <w:t>.</w:t>
      </w:r>
      <w:r>
        <w:rPr>
          <w:sz w:val="20"/>
          <w:szCs w:val="22"/>
        </w:rPr>
        <w:t xml:space="preserve"> </w:t>
      </w:r>
      <w:r>
        <w:rPr>
          <w:rFonts w:hint="eastAsia"/>
          <w:sz w:val="20"/>
          <w:szCs w:val="22"/>
        </w:rPr>
        <w:t xml:space="preserve">Third, the turbulence energy could decrease some other energy in an isolated system. When the total temperature exceeds 6000K, there are trace species such as </w:t>
      </w:r>
      <w:proofErr w:type="spellStart"/>
      <w:proofErr w:type="gramStart"/>
      <w:r>
        <w:rPr>
          <w:rFonts w:hint="eastAsia"/>
          <w:sz w:val="20"/>
          <w:szCs w:val="22"/>
        </w:rPr>
        <w:t>electrons,NO</w:t>
      </w:r>
      <w:proofErr w:type="spellEnd"/>
      <w:proofErr w:type="gramEnd"/>
      <w:r>
        <w:rPr>
          <w:rFonts w:hint="eastAsia"/>
          <w:sz w:val="20"/>
          <w:szCs w:val="22"/>
        </w:rPr>
        <w:t>+. It is more appropriate to use 7-species, so the following calculation uses 7-species.</w:t>
      </w:r>
    </w:p>
    <w:p w14:paraId="4CF171CD" w14:textId="77777777" w:rsidR="00386883" w:rsidRDefault="00B51C24"/>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C24"/>
    <w:rsid w:val="00316534"/>
    <w:rsid w:val="00B51C24"/>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ED72A"/>
  <w15:chartTrackingRefBased/>
  <w15:docId w15:val="{0F6AD06C-8ADC-411C-9CAD-991126741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1C24"/>
    <w:pPr>
      <w:widowControl w:val="0"/>
      <w:adjustRightInd w:val="0"/>
      <w:spacing w:after="0" w:line="240" w:lineRule="auto"/>
      <w:textAlignment w:val="baseline"/>
    </w:pPr>
    <w:rPr>
      <w:rFonts w:ascii="Times New Roman" w:eastAsia="SimSun" w:hAnsi="Times New Roman" w:cs="Times New Roman"/>
      <w:kern w:val="2"/>
      <w:sz w:val="24"/>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tiff"/><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fontTable" Target="fontTable.xml"/><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797</Words>
  <Characters>4544</Characters>
  <Application>Microsoft Office Word</Application>
  <DocSecurity>0</DocSecurity>
  <Lines>37</Lines>
  <Paragraphs>10</Paragraphs>
  <ScaleCrop>false</ScaleCrop>
  <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2020-07-07T17:42:00Z</dcterms:created>
  <dcterms:modified xsi:type="dcterms:W3CDTF">2020-07-07T17:42:00Z</dcterms:modified>
</cp:coreProperties>
</file>