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778AF" w14:textId="55B650CD" w:rsidR="00A8785F" w:rsidRDefault="00A8785F" w:rsidP="00A8785F">
      <w:pPr>
        <w:spacing w:after="0" w:line="480" w:lineRule="auto"/>
        <w:rPr>
          <w:rFonts w:ascii="Arial" w:hAnsi="Arial" w:cs="Arial"/>
          <w:b/>
          <w:bCs/>
          <w:sz w:val="24"/>
          <w:szCs w:val="24"/>
        </w:rPr>
      </w:pPr>
      <w:r w:rsidRPr="00A8785F">
        <w:rPr>
          <w:rFonts w:ascii="Arial" w:hAnsi="Arial" w:cs="Arial"/>
          <w:b/>
          <w:bCs/>
          <w:sz w:val="24"/>
          <w:szCs w:val="24"/>
        </w:rPr>
        <w:t>Supplementary Text and Figures for “</w:t>
      </w:r>
      <w:r w:rsidRPr="00E04267">
        <w:rPr>
          <w:rFonts w:ascii="Arial" w:hAnsi="Arial" w:cs="Arial"/>
          <w:b/>
          <w:bCs/>
          <w:sz w:val="24"/>
          <w:szCs w:val="24"/>
        </w:rPr>
        <w:t xml:space="preserve">Genome-Wide Association Studies </w:t>
      </w:r>
      <w:r w:rsidR="00947C82">
        <w:rPr>
          <w:rFonts w:ascii="Arial" w:hAnsi="Arial" w:cs="Arial"/>
          <w:b/>
          <w:bCs/>
          <w:sz w:val="24"/>
          <w:szCs w:val="24"/>
        </w:rPr>
        <w:t>and fine</w:t>
      </w:r>
      <w:r w:rsidR="005E3018">
        <w:rPr>
          <w:rFonts w:ascii="Arial" w:hAnsi="Arial" w:cs="Arial"/>
          <w:b/>
          <w:bCs/>
          <w:sz w:val="24"/>
          <w:szCs w:val="24"/>
        </w:rPr>
        <w:t>-</w:t>
      </w:r>
      <w:r w:rsidR="00947C82">
        <w:rPr>
          <w:rFonts w:ascii="Arial" w:hAnsi="Arial" w:cs="Arial"/>
          <w:b/>
          <w:bCs/>
          <w:sz w:val="24"/>
          <w:szCs w:val="24"/>
        </w:rPr>
        <w:t xml:space="preserve">mapping </w:t>
      </w:r>
      <w:r w:rsidRPr="00E04267">
        <w:rPr>
          <w:rFonts w:ascii="Arial" w:hAnsi="Arial" w:cs="Arial"/>
          <w:b/>
          <w:bCs/>
          <w:sz w:val="24"/>
          <w:szCs w:val="24"/>
        </w:rPr>
        <w:t xml:space="preserve">of </w:t>
      </w:r>
      <w:r w:rsidR="00947C82">
        <w:rPr>
          <w:rFonts w:ascii="Arial" w:hAnsi="Arial" w:cs="Arial"/>
          <w:b/>
          <w:bCs/>
          <w:sz w:val="24"/>
          <w:szCs w:val="24"/>
        </w:rPr>
        <w:t xml:space="preserve">genomic loci for </w:t>
      </w:r>
      <w:r w:rsidRPr="00E04267">
        <w:rPr>
          <w:rFonts w:ascii="Arial" w:hAnsi="Arial" w:cs="Arial"/>
          <w:b/>
          <w:bCs/>
          <w:sz w:val="24"/>
          <w:szCs w:val="24"/>
        </w:rPr>
        <w:t>n-3 and n-6 Polyunsaturated Fatty Acids in African American and Hispanic American Cohorts</w:t>
      </w:r>
      <w:r w:rsidRPr="00A8785F">
        <w:rPr>
          <w:rFonts w:ascii="Arial" w:hAnsi="Arial" w:cs="Arial"/>
          <w:b/>
          <w:bCs/>
          <w:sz w:val="24"/>
          <w:szCs w:val="24"/>
        </w:rPr>
        <w:t>”</w:t>
      </w:r>
    </w:p>
    <w:p w14:paraId="673E4CD3" w14:textId="77777777" w:rsidR="00A8785F" w:rsidRDefault="00A8785F" w:rsidP="00A8785F">
      <w:pPr>
        <w:pStyle w:val="Heading1"/>
        <w:shd w:val="clear" w:color="auto" w:fill="FFFFFF"/>
        <w:spacing w:before="0" w:line="480" w:lineRule="auto"/>
        <w:textAlignment w:val="baseline"/>
        <w:rPr>
          <w:rFonts w:ascii="Arial" w:hAnsi="Arial" w:cs="Arial"/>
          <w:color w:val="auto"/>
          <w:sz w:val="22"/>
          <w:szCs w:val="22"/>
        </w:rPr>
      </w:pPr>
    </w:p>
    <w:p w14:paraId="2F422DE4" w14:textId="142A9850" w:rsidR="006A487B" w:rsidRPr="00216169" w:rsidRDefault="006A487B" w:rsidP="006A487B">
      <w:pPr>
        <w:spacing w:line="480" w:lineRule="auto"/>
        <w:rPr>
          <w:rFonts w:ascii="Arial" w:hAnsi="Arial" w:cs="Arial"/>
          <w:sz w:val="20"/>
          <w:szCs w:val="20"/>
        </w:rPr>
      </w:pPr>
      <w:proofErr w:type="spellStart"/>
      <w:r w:rsidRPr="00954AA5">
        <w:rPr>
          <w:rFonts w:ascii="Arial" w:hAnsi="Arial" w:cs="Arial"/>
          <w:sz w:val="20"/>
          <w:szCs w:val="20"/>
        </w:rPr>
        <w:t>Chaojie</w:t>
      </w:r>
      <w:proofErr w:type="spellEnd"/>
      <w:r w:rsidRPr="00954AA5">
        <w:rPr>
          <w:rFonts w:ascii="Arial" w:hAnsi="Arial" w:cs="Arial"/>
          <w:sz w:val="20"/>
          <w:szCs w:val="20"/>
        </w:rPr>
        <w:t xml:space="preserve"> Yang, </w:t>
      </w:r>
      <w:r w:rsidRPr="00CE2B13">
        <w:rPr>
          <w:rFonts w:ascii="Arial" w:hAnsi="Arial" w:cs="Arial"/>
          <w:sz w:val="20"/>
          <w:szCs w:val="20"/>
        </w:rPr>
        <w:t xml:space="preserve">Jenna </w:t>
      </w:r>
      <w:proofErr w:type="spellStart"/>
      <w:r w:rsidRPr="00CE2B13">
        <w:rPr>
          <w:rFonts w:ascii="Arial" w:hAnsi="Arial" w:cs="Arial"/>
          <w:sz w:val="20"/>
          <w:szCs w:val="20"/>
        </w:rPr>
        <w:t>Veenstra</w:t>
      </w:r>
      <w:proofErr w:type="spellEnd"/>
      <w:r w:rsidRPr="00954AA5">
        <w:rPr>
          <w:rFonts w:ascii="Arial" w:hAnsi="Arial" w:cs="Arial"/>
          <w:sz w:val="20"/>
          <w:szCs w:val="20"/>
        </w:rPr>
        <w:t xml:space="preserve">, </w:t>
      </w:r>
      <w:r w:rsidRPr="00CE2B13">
        <w:rPr>
          <w:rFonts w:ascii="Arial" w:hAnsi="Arial" w:cs="Arial"/>
          <w:sz w:val="20"/>
          <w:szCs w:val="20"/>
        </w:rPr>
        <w:t>Traci M. Bartz</w:t>
      </w:r>
      <w:r>
        <w:rPr>
          <w:rFonts w:ascii="Arial" w:hAnsi="Arial" w:cs="Arial"/>
          <w:sz w:val="20"/>
          <w:szCs w:val="20"/>
        </w:rPr>
        <w:t xml:space="preserve">, </w:t>
      </w:r>
      <w:r w:rsidRPr="002A15EC">
        <w:rPr>
          <w:rFonts w:ascii="Arial" w:hAnsi="Arial" w:cs="Arial"/>
          <w:sz w:val="20"/>
          <w:szCs w:val="20"/>
        </w:rPr>
        <w:t xml:space="preserve">Matthew C. </w:t>
      </w:r>
      <w:proofErr w:type="spellStart"/>
      <w:r w:rsidRPr="002A15EC">
        <w:rPr>
          <w:rFonts w:ascii="Arial" w:hAnsi="Arial" w:cs="Arial"/>
          <w:sz w:val="20"/>
          <w:szCs w:val="20"/>
        </w:rPr>
        <w:t>Pahl</w:t>
      </w:r>
      <w:proofErr w:type="spellEnd"/>
      <w:r>
        <w:rPr>
          <w:rFonts w:ascii="Arial" w:hAnsi="Arial" w:cs="Arial"/>
          <w:sz w:val="20"/>
          <w:szCs w:val="20"/>
        </w:rPr>
        <w:t xml:space="preserve">, </w:t>
      </w:r>
      <w:r w:rsidRPr="00CE2B13">
        <w:rPr>
          <w:rFonts w:ascii="Arial" w:hAnsi="Arial" w:cs="Arial"/>
          <w:sz w:val="20"/>
          <w:szCs w:val="20"/>
        </w:rPr>
        <w:t>Brian Hallmark</w:t>
      </w:r>
      <w:r>
        <w:rPr>
          <w:rFonts w:ascii="Arial" w:hAnsi="Arial" w:cs="Arial"/>
          <w:sz w:val="20"/>
          <w:szCs w:val="20"/>
        </w:rPr>
        <w:t xml:space="preserve">, </w:t>
      </w:r>
      <w:proofErr w:type="spellStart"/>
      <w:r w:rsidRPr="00CE2B13">
        <w:rPr>
          <w:rFonts w:ascii="Arial" w:hAnsi="Arial" w:cs="Arial"/>
          <w:sz w:val="20"/>
          <w:szCs w:val="20"/>
        </w:rPr>
        <w:t>Yii</w:t>
      </w:r>
      <w:proofErr w:type="spellEnd"/>
      <w:r w:rsidRPr="00CE2B13">
        <w:rPr>
          <w:rFonts w:ascii="Arial" w:hAnsi="Arial" w:cs="Arial"/>
          <w:sz w:val="20"/>
          <w:szCs w:val="20"/>
        </w:rPr>
        <w:t>-Der Ida Chen</w:t>
      </w:r>
      <w:r w:rsidRPr="00954AA5">
        <w:rPr>
          <w:rFonts w:ascii="Arial" w:hAnsi="Arial" w:cs="Arial"/>
          <w:sz w:val="20"/>
          <w:szCs w:val="20"/>
        </w:rPr>
        <w:t xml:space="preserve">, </w:t>
      </w:r>
      <w:r w:rsidRPr="00CE2B13">
        <w:rPr>
          <w:rFonts w:ascii="Arial" w:hAnsi="Arial" w:cs="Arial"/>
          <w:sz w:val="20"/>
          <w:szCs w:val="20"/>
        </w:rPr>
        <w:t>Jason Westra</w:t>
      </w:r>
      <w:r w:rsidRPr="00954AA5">
        <w:rPr>
          <w:rFonts w:ascii="Arial" w:hAnsi="Arial" w:cs="Arial"/>
          <w:sz w:val="20"/>
          <w:szCs w:val="20"/>
        </w:rPr>
        <w:t xml:space="preserve">, </w:t>
      </w:r>
      <w:r w:rsidRPr="00CE2B13">
        <w:rPr>
          <w:rFonts w:ascii="Arial" w:hAnsi="Arial" w:cs="Arial"/>
          <w:sz w:val="20"/>
          <w:szCs w:val="20"/>
        </w:rPr>
        <w:t xml:space="preserve">Lyn </w:t>
      </w:r>
      <w:r w:rsidRPr="008746FF">
        <w:rPr>
          <w:rFonts w:ascii="Arial" w:hAnsi="Arial" w:cs="Arial"/>
          <w:sz w:val="20"/>
          <w:szCs w:val="20"/>
        </w:rPr>
        <w:t>Steffen</w:t>
      </w:r>
      <w:r w:rsidRPr="00954AA5">
        <w:rPr>
          <w:rFonts w:ascii="Arial" w:hAnsi="Arial" w:cs="Arial"/>
          <w:sz w:val="20"/>
          <w:szCs w:val="20"/>
        </w:rPr>
        <w:t>,</w:t>
      </w:r>
      <w:r>
        <w:rPr>
          <w:rFonts w:ascii="Arial" w:hAnsi="Arial" w:cs="Arial"/>
          <w:sz w:val="20"/>
          <w:szCs w:val="20"/>
        </w:rPr>
        <w:t xml:space="preserve"> </w:t>
      </w:r>
      <w:r w:rsidRPr="002A15EC">
        <w:rPr>
          <w:rFonts w:ascii="Arial" w:hAnsi="Arial" w:cs="Arial"/>
          <w:sz w:val="20"/>
          <w:szCs w:val="20"/>
        </w:rPr>
        <w:t>Christopher D. Brown</w:t>
      </w:r>
      <w:r>
        <w:rPr>
          <w:rFonts w:ascii="Arial" w:hAnsi="Arial" w:cs="Arial"/>
          <w:sz w:val="20"/>
          <w:szCs w:val="20"/>
        </w:rPr>
        <w:t xml:space="preserve">, </w:t>
      </w:r>
      <w:r w:rsidRPr="00CE2B13">
        <w:rPr>
          <w:rFonts w:ascii="Arial" w:hAnsi="Arial" w:cs="Arial"/>
          <w:sz w:val="20"/>
          <w:szCs w:val="20"/>
        </w:rPr>
        <w:t>David Siscovick</w:t>
      </w:r>
      <w:r w:rsidRPr="00954AA5">
        <w:rPr>
          <w:rFonts w:ascii="Arial" w:hAnsi="Arial" w:cs="Arial"/>
          <w:sz w:val="20"/>
          <w:szCs w:val="20"/>
        </w:rPr>
        <w:t xml:space="preserve">, </w:t>
      </w:r>
      <w:r w:rsidRPr="00CE2B13">
        <w:rPr>
          <w:rFonts w:ascii="Arial" w:hAnsi="Arial" w:cs="Arial"/>
          <w:sz w:val="20"/>
          <w:szCs w:val="20"/>
        </w:rPr>
        <w:t>Michael Y Tsai</w:t>
      </w:r>
      <w:r w:rsidRPr="00954AA5">
        <w:rPr>
          <w:rFonts w:ascii="Arial" w:hAnsi="Arial" w:cs="Arial"/>
          <w:sz w:val="20"/>
          <w:szCs w:val="20"/>
        </w:rPr>
        <w:t xml:space="preserve">, </w:t>
      </w:r>
      <w:r w:rsidRPr="00CE2B13">
        <w:rPr>
          <w:rFonts w:ascii="Arial" w:hAnsi="Arial" w:cs="Arial"/>
          <w:sz w:val="20"/>
          <w:szCs w:val="20"/>
        </w:rPr>
        <w:t xml:space="preserve">Alexis C </w:t>
      </w:r>
      <w:r w:rsidRPr="008746FF">
        <w:rPr>
          <w:rFonts w:ascii="Arial" w:hAnsi="Arial" w:cs="Arial"/>
          <w:sz w:val="20"/>
          <w:szCs w:val="20"/>
        </w:rPr>
        <w:t>Wood</w:t>
      </w:r>
      <w:r w:rsidRPr="00954AA5">
        <w:rPr>
          <w:rFonts w:ascii="Arial" w:hAnsi="Arial" w:cs="Arial"/>
          <w:sz w:val="20"/>
          <w:szCs w:val="20"/>
        </w:rPr>
        <w:t>,</w:t>
      </w:r>
      <w:r w:rsidRPr="00965219">
        <w:rPr>
          <w:rFonts w:ascii="Arial" w:hAnsi="Arial" w:cs="Arial"/>
          <w:sz w:val="20"/>
          <w:szCs w:val="20"/>
        </w:rPr>
        <w:t xml:space="preserve"> </w:t>
      </w:r>
      <w:r w:rsidRPr="00CE2B13">
        <w:rPr>
          <w:rFonts w:ascii="Arial" w:hAnsi="Arial" w:cs="Arial"/>
          <w:sz w:val="20"/>
          <w:szCs w:val="20"/>
        </w:rPr>
        <w:t>Stephen S Rich</w:t>
      </w:r>
      <w:r w:rsidRPr="00954AA5">
        <w:rPr>
          <w:rFonts w:ascii="Arial" w:hAnsi="Arial" w:cs="Arial"/>
          <w:sz w:val="20"/>
          <w:szCs w:val="20"/>
        </w:rPr>
        <w:t>,</w:t>
      </w:r>
      <w:r>
        <w:rPr>
          <w:rFonts w:ascii="Arial" w:hAnsi="Arial" w:cs="Arial"/>
          <w:sz w:val="20"/>
          <w:szCs w:val="20"/>
        </w:rPr>
        <w:t xml:space="preserve"> </w:t>
      </w:r>
      <w:r w:rsidRPr="00CE2B13">
        <w:rPr>
          <w:rFonts w:ascii="Arial" w:hAnsi="Arial" w:cs="Arial"/>
          <w:sz w:val="20"/>
          <w:szCs w:val="20"/>
        </w:rPr>
        <w:t xml:space="preserve">Caren E </w:t>
      </w:r>
      <w:r w:rsidRPr="008746FF">
        <w:rPr>
          <w:rFonts w:ascii="Arial" w:hAnsi="Arial" w:cs="Arial"/>
          <w:sz w:val="20"/>
          <w:szCs w:val="20"/>
        </w:rPr>
        <w:t>Smith</w:t>
      </w:r>
      <w:r>
        <w:rPr>
          <w:rFonts w:ascii="Arial" w:hAnsi="Arial" w:cs="Arial"/>
          <w:sz w:val="20"/>
          <w:szCs w:val="20"/>
        </w:rPr>
        <w:t xml:space="preserve">, </w:t>
      </w:r>
      <w:r w:rsidRPr="00CE2B13">
        <w:rPr>
          <w:rFonts w:ascii="Arial" w:hAnsi="Arial" w:cs="Arial"/>
          <w:sz w:val="20"/>
          <w:szCs w:val="20"/>
        </w:rPr>
        <w:t>Timothy D. O’Connor</w:t>
      </w:r>
      <w:r w:rsidRPr="00954AA5">
        <w:rPr>
          <w:rFonts w:ascii="Arial" w:hAnsi="Arial" w:cs="Arial"/>
          <w:sz w:val="20"/>
          <w:szCs w:val="20"/>
        </w:rPr>
        <w:t xml:space="preserve">, </w:t>
      </w:r>
      <w:proofErr w:type="spellStart"/>
      <w:r w:rsidRPr="00CE2B13">
        <w:rPr>
          <w:rFonts w:ascii="Arial" w:hAnsi="Arial" w:cs="Arial"/>
          <w:sz w:val="20"/>
          <w:szCs w:val="20"/>
        </w:rPr>
        <w:t>Dariush</w:t>
      </w:r>
      <w:proofErr w:type="spellEnd"/>
      <w:r w:rsidRPr="00CE2B13">
        <w:rPr>
          <w:rFonts w:ascii="Arial" w:hAnsi="Arial" w:cs="Arial"/>
          <w:sz w:val="20"/>
          <w:szCs w:val="20"/>
        </w:rPr>
        <w:t xml:space="preserve"> </w:t>
      </w:r>
      <w:proofErr w:type="spellStart"/>
      <w:r w:rsidRPr="00CE2B13">
        <w:rPr>
          <w:rFonts w:ascii="Arial" w:hAnsi="Arial" w:cs="Arial"/>
          <w:sz w:val="20"/>
          <w:szCs w:val="20"/>
        </w:rPr>
        <w:t>Mozaffarian</w:t>
      </w:r>
      <w:proofErr w:type="spellEnd"/>
      <w:r>
        <w:rPr>
          <w:rFonts w:ascii="Arial" w:hAnsi="Arial" w:cs="Arial"/>
          <w:sz w:val="20"/>
          <w:szCs w:val="20"/>
        </w:rPr>
        <w:t xml:space="preserve">, </w:t>
      </w:r>
      <w:r w:rsidRPr="002A15EC">
        <w:rPr>
          <w:rFonts w:ascii="Arial" w:hAnsi="Arial" w:cs="Arial"/>
          <w:sz w:val="20"/>
          <w:szCs w:val="20"/>
        </w:rPr>
        <w:t>Struan F.A. Grant</w:t>
      </w:r>
      <w:r>
        <w:rPr>
          <w:rFonts w:ascii="Arial" w:hAnsi="Arial" w:cs="Arial"/>
          <w:sz w:val="20"/>
          <w:szCs w:val="20"/>
        </w:rPr>
        <w:t xml:space="preserve">, </w:t>
      </w:r>
      <w:r w:rsidRPr="00CE2B13">
        <w:rPr>
          <w:rFonts w:ascii="Arial" w:hAnsi="Arial" w:cs="Arial"/>
          <w:sz w:val="20"/>
          <w:szCs w:val="20"/>
        </w:rPr>
        <w:t>Floyd H Chilton</w:t>
      </w:r>
      <w:r w:rsidRPr="00954AA5">
        <w:rPr>
          <w:rFonts w:ascii="Arial" w:hAnsi="Arial" w:cs="Arial"/>
          <w:sz w:val="20"/>
          <w:szCs w:val="20"/>
        </w:rPr>
        <w:t xml:space="preserve">, </w:t>
      </w:r>
      <w:r w:rsidRPr="00CE2B13">
        <w:rPr>
          <w:rFonts w:ascii="Arial" w:hAnsi="Arial" w:cs="Arial"/>
          <w:sz w:val="20"/>
          <w:szCs w:val="20"/>
        </w:rPr>
        <w:t xml:space="preserve">Nathan L. </w:t>
      </w:r>
      <w:r w:rsidRPr="008746FF">
        <w:rPr>
          <w:rFonts w:ascii="Arial" w:hAnsi="Arial" w:cs="Arial"/>
          <w:sz w:val="20"/>
          <w:szCs w:val="20"/>
        </w:rPr>
        <w:t>Tintle</w:t>
      </w:r>
      <w:r w:rsidRPr="00954AA5">
        <w:rPr>
          <w:rFonts w:ascii="Arial" w:hAnsi="Arial" w:cs="Arial"/>
          <w:sz w:val="20"/>
          <w:szCs w:val="20"/>
        </w:rPr>
        <w:t xml:space="preserve">, </w:t>
      </w:r>
      <w:r w:rsidRPr="00CE2B13">
        <w:rPr>
          <w:rFonts w:ascii="Arial" w:hAnsi="Arial" w:cs="Arial"/>
          <w:sz w:val="20"/>
          <w:szCs w:val="20"/>
        </w:rPr>
        <w:t>Rozenn N. Lemaitre</w:t>
      </w:r>
      <w:r w:rsidRPr="00954AA5">
        <w:rPr>
          <w:rFonts w:ascii="Arial" w:hAnsi="Arial" w:cs="Arial"/>
          <w:sz w:val="20"/>
          <w:szCs w:val="20"/>
        </w:rPr>
        <w:t xml:space="preserve">, </w:t>
      </w:r>
      <w:r w:rsidRPr="00CE2B13">
        <w:rPr>
          <w:rFonts w:ascii="Arial" w:hAnsi="Arial" w:cs="Arial"/>
          <w:sz w:val="20"/>
          <w:szCs w:val="20"/>
        </w:rPr>
        <w:t>Ani Manichaikul</w:t>
      </w:r>
    </w:p>
    <w:p w14:paraId="6E5C6F7D" w14:textId="6B2DF609" w:rsidR="00A8785F" w:rsidRDefault="00A8785F" w:rsidP="00A8785F"/>
    <w:p w14:paraId="7C58369C" w14:textId="77777777" w:rsidR="00A8785F" w:rsidRDefault="00A8785F" w:rsidP="00A8785F">
      <w:pPr>
        <w:spacing w:after="0" w:line="480" w:lineRule="auto"/>
        <w:rPr>
          <w:rFonts w:ascii="Arial" w:hAnsi="Arial" w:cs="Arial"/>
          <w:b/>
          <w:bCs/>
          <w:sz w:val="24"/>
          <w:szCs w:val="24"/>
        </w:rPr>
      </w:pPr>
    </w:p>
    <w:p w14:paraId="661F47A4" w14:textId="77777777" w:rsidR="00A8785F" w:rsidRDefault="00A8785F" w:rsidP="00A8785F">
      <w:pPr>
        <w:spacing w:after="0" w:line="480" w:lineRule="auto"/>
        <w:rPr>
          <w:rFonts w:ascii="Arial" w:hAnsi="Arial" w:cs="Arial"/>
          <w:b/>
          <w:bCs/>
          <w:sz w:val="24"/>
          <w:szCs w:val="24"/>
        </w:rPr>
      </w:pPr>
    </w:p>
    <w:p w14:paraId="47DCB003" w14:textId="77777777" w:rsidR="00A8785F" w:rsidRDefault="00A8785F" w:rsidP="00A8785F">
      <w:pPr>
        <w:spacing w:after="0" w:line="480" w:lineRule="auto"/>
        <w:rPr>
          <w:rFonts w:ascii="Arial" w:hAnsi="Arial" w:cs="Arial"/>
          <w:b/>
          <w:bCs/>
          <w:sz w:val="24"/>
          <w:szCs w:val="24"/>
        </w:rPr>
      </w:pPr>
    </w:p>
    <w:p w14:paraId="144693D5" w14:textId="77777777" w:rsidR="00A8785F" w:rsidRDefault="00A8785F" w:rsidP="00A8785F">
      <w:pPr>
        <w:spacing w:after="0" w:line="480" w:lineRule="auto"/>
        <w:rPr>
          <w:rFonts w:ascii="Arial" w:hAnsi="Arial" w:cs="Arial"/>
          <w:b/>
          <w:bCs/>
          <w:sz w:val="24"/>
          <w:szCs w:val="24"/>
        </w:rPr>
      </w:pPr>
    </w:p>
    <w:p w14:paraId="4D7F6BF4" w14:textId="77777777" w:rsidR="00A8785F" w:rsidRDefault="00A8785F" w:rsidP="00A8785F">
      <w:pPr>
        <w:spacing w:after="0" w:line="480" w:lineRule="auto"/>
        <w:rPr>
          <w:rFonts w:ascii="Arial" w:hAnsi="Arial" w:cs="Arial"/>
          <w:b/>
          <w:bCs/>
          <w:sz w:val="24"/>
          <w:szCs w:val="24"/>
        </w:rPr>
      </w:pPr>
    </w:p>
    <w:p w14:paraId="12853D99" w14:textId="77777777" w:rsidR="00A8785F" w:rsidRDefault="00A8785F" w:rsidP="00A8785F">
      <w:pPr>
        <w:spacing w:after="0" w:line="480" w:lineRule="auto"/>
        <w:rPr>
          <w:rFonts w:ascii="Arial" w:hAnsi="Arial" w:cs="Arial"/>
          <w:b/>
          <w:bCs/>
          <w:sz w:val="24"/>
          <w:szCs w:val="24"/>
        </w:rPr>
      </w:pPr>
    </w:p>
    <w:p w14:paraId="2FAB8F2B" w14:textId="77777777" w:rsidR="00A8785F" w:rsidRDefault="00A8785F" w:rsidP="00A8785F">
      <w:pPr>
        <w:spacing w:after="0" w:line="480" w:lineRule="auto"/>
        <w:rPr>
          <w:rFonts w:ascii="Arial" w:hAnsi="Arial" w:cs="Arial"/>
          <w:b/>
          <w:bCs/>
          <w:sz w:val="24"/>
          <w:szCs w:val="24"/>
        </w:rPr>
      </w:pPr>
    </w:p>
    <w:p w14:paraId="1640FE44" w14:textId="77777777" w:rsidR="00A8785F" w:rsidRDefault="00A8785F" w:rsidP="00A8785F">
      <w:pPr>
        <w:spacing w:after="0" w:line="480" w:lineRule="auto"/>
        <w:rPr>
          <w:rFonts w:ascii="Arial" w:hAnsi="Arial" w:cs="Arial"/>
          <w:b/>
          <w:bCs/>
          <w:sz w:val="24"/>
          <w:szCs w:val="24"/>
        </w:rPr>
      </w:pPr>
    </w:p>
    <w:p w14:paraId="4F70B0E2" w14:textId="77777777" w:rsidR="00A8785F" w:rsidRDefault="00A8785F" w:rsidP="00A8785F">
      <w:pPr>
        <w:spacing w:after="0" w:line="480" w:lineRule="auto"/>
        <w:rPr>
          <w:rFonts w:ascii="Arial" w:hAnsi="Arial" w:cs="Arial"/>
          <w:b/>
          <w:bCs/>
          <w:sz w:val="24"/>
          <w:szCs w:val="24"/>
        </w:rPr>
      </w:pPr>
    </w:p>
    <w:p w14:paraId="4A592A42" w14:textId="77777777" w:rsidR="00A8785F" w:rsidRDefault="00A8785F" w:rsidP="00A8785F">
      <w:pPr>
        <w:spacing w:after="0" w:line="480" w:lineRule="auto"/>
        <w:rPr>
          <w:rFonts w:ascii="Arial" w:hAnsi="Arial" w:cs="Arial"/>
          <w:b/>
          <w:bCs/>
          <w:sz w:val="24"/>
          <w:szCs w:val="24"/>
        </w:rPr>
      </w:pPr>
    </w:p>
    <w:p w14:paraId="5E46F22A" w14:textId="77777777" w:rsidR="00A8785F" w:rsidRDefault="00A8785F" w:rsidP="00A8785F">
      <w:pPr>
        <w:spacing w:after="0" w:line="480" w:lineRule="auto"/>
        <w:rPr>
          <w:rFonts w:ascii="Arial" w:hAnsi="Arial" w:cs="Arial"/>
          <w:b/>
          <w:bCs/>
          <w:sz w:val="24"/>
          <w:szCs w:val="24"/>
        </w:rPr>
      </w:pPr>
    </w:p>
    <w:p w14:paraId="3CF802B8" w14:textId="77777777" w:rsidR="00A8785F" w:rsidRDefault="00A8785F" w:rsidP="00A8785F">
      <w:pPr>
        <w:spacing w:after="0" w:line="480" w:lineRule="auto"/>
        <w:rPr>
          <w:rFonts w:ascii="Arial" w:hAnsi="Arial" w:cs="Arial"/>
          <w:b/>
          <w:bCs/>
          <w:sz w:val="24"/>
          <w:szCs w:val="24"/>
        </w:rPr>
      </w:pPr>
    </w:p>
    <w:p w14:paraId="6FCF90B5" w14:textId="77777777" w:rsidR="00A8785F" w:rsidRDefault="00A8785F" w:rsidP="00A8785F">
      <w:pPr>
        <w:spacing w:after="0" w:line="480" w:lineRule="auto"/>
        <w:rPr>
          <w:rFonts w:ascii="Arial" w:hAnsi="Arial" w:cs="Arial"/>
          <w:b/>
          <w:bCs/>
          <w:sz w:val="24"/>
          <w:szCs w:val="24"/>
        </w:rPr>
      </w:pPr>
    </w:p>
    <w:p w14:paraId="64116279" w14:textId="77777777" w:rsidR="00A8785F" w:rsidRDefault="00A8785F" w:rsidP="00A8785F">
      <w:pPr>
        <w:spacing w:after="0" w:line="480" w:lineRule="auto"/>
        <w:rPr>
          <w:rFonts w:ascii="Arial" w:hAnsi="Arial" w:cs="Arial"/>
          <w:b/>
          <w:bCs/>
          <w:sz w:val="24"/>
          <w:szCs w:val="24"/>
        </w:rPr>
      </w:pPr>
    </w:p>
    <w:p w14:paraId="1806F2BC" w14:textId="77777777" w:rsidR="00A8785F" w:rsidRDefault="00A8785F" w:rsidP="00A8785F">
      <w:pPr>
        <w:spacing w:after="0" w:line="480" w:lineRule="auto"/>
        <w:rPr>
          <w:rFonts w:ascii="Arial" w:hAnsi="Arial" w:cs="Arial"/>
          <w:b/>
          <w:bCs/>
          <w:sz w:val="24"/>
          <w:szCs w:val="24"/>
        </w:rPr>
      </w:pPr>
    </w:p>
    <w:p w14:paraId="0567B3ED" w14:textId="6C8697A7" w:rsidR="00A8785F" w:rsidRDefault="00A8785F" w:rsidP="00A8785F">
      <w:pPr>
        <w:spacing w:after="0" w:line="480" w:lineRule="auto"/>
        <w:rPr>
          <w:rFonts w:ascii="Arial" w:hAnsi="Arial" w:cs="Arial"/>
          <w:b/>
          <w:bCs/>
          <w:sz w:val="24"/>
          <w:szCs w:val="24"/>
        </w:rPr>
      </w:pPr>
      <w:r w:rsidRPr="00E04267">
        <w:rPr>
          <w:rFonts w:ascii="Arial" w:hAnsi="Arial" w:cs="Arial"/>
          <w:b/>
          <w:bCs/>
          <w:sz w:val="24"/>
          <w:szCs w:val="24"/>
        </w:rPr>
        <w:lastRenderedPageBreak/>
        <w:t xml:space="preserve">Methods. </w:t>
      </w:r>
    </w:p>
    <w:p w14:paraId="597FD461" w14:textId="77777777" w:rsidR="00A8785F" w:rsidRPr="00E04267" w:rsidRDefault="00A8785F" w:rsidP="00A8785F">
      <w:pPr>
        <w:widowControl w:val="0"/>
        <w:autoSpaceDE w:val="0"/>
        <w:autoSpaceDN w:val="0"/>
        <w:adjustRightInd w:val="0"/>
        <w:spacing w:after="0" w:line="480" w:lineRule="auto"/>
        <w:outlineLvl w:val="0"/>
        <w:rPr>
          <w:rFonts w:ascii="Arial" w:hAnsi="Arial" w:cs="Arial"/>
          <w:b/>
        </w:rPr>
      </w:pPr>
      <w:r w:rsidRPr="00E04267">
        <w:rPr>
          <w:rFonts w:ascii="Arial" w:hAnsi="Arial" w:cs="Arial"/>
          <w:b/>
        </w:rPr>
        <w:t>Study participants</w:t>
      </w:r>
    </w:p>
    <w:p w14:paraId="592DE387" w14:textId="69D624BD" w:rsidR="00A8785F" w:rsidRPr="00E04267" w:rsidRDefault="00A8785F" w:rsidP="00A8785F">
      <w:pPr>
        <w:widowControl w:val="0"/>
        <w:autoSpaceDE w:val="0"/>
        <w:autoSpaceDN w:val="0"/>
        <w:adjustRightInd w:val="0"/>
        <w:spacing w:after="0" w:line="480" w:lineRule="auto"/>
        <w:ind w:firstLine="720"/>
        <w:outlineLvl w:val="0"/>
        <w:rPr>
          <w:rFonts w:ascii="Arial" w:hAnsi="Arial" w:cs="Arial"/>
        </w:rPr>
      </w:pPr>
      <w:r w:rsidRPr="00E04267">
        <w:rPr>
          <w:rFonts w:ascii="Arial" w:hAnsi="Arial" w:cs="Arial"/>
        </w:rPr>
        <w:t>MESA is a longitudinal cohort study of subclinical cardiovascular disease and risk factors that predict progression to clinically overt cardiovascular disease or progression of subclinical disease</w:t>
      </w:r>
      <w:r w:rsidR="00C34C24">
        <w:rPr>
          <w:rFonts w:ascii="Arial" w:hAnsi="Arial" w:cs="Arial"/>
        </w:rPr>
        <w:t>.</w:t>
      </w:r>
      <w:r w:rsidR="00F13373">
        <w:rPr>
          <w:rFonts w:ascii="Arial" w:hAnsi="Arial" w:cs="Arial"/>
        </w:rPr>
        <w:fldChar w:fldCharType="begin"/>
      </w:r>
      <w:r w:rsidR="00F13373">
        <w:rPr>
          <w:rFonts w:ascii="Arial" w:hAnsi="Arial" w:cs="Arial"/>
        </w:rPr>
        <w:instrText xml:space="preserve"> ADDIN ZOTERO_ITEM CSL_CITATION {"citationID":"e81tTqWg","properties":{"formattedCitation":"\\super 1\\nosupersub{}","plainCitation":"1","noteIndex":0},"citationItems":[{"id":26,"uris":["http://zotero.org/groups/2365132/items/DF9E9MLY"],"uri":["http://zotero.org/groups/2365132/items/DF9E9MLY"],"itemData":{"id":26,"type":"article-journal","abstract":"The Multi-Ethnic Study of Atherosclerosis was initiated in July 2000 to investigate the prevalence, correlates, and progression of subclinical cardiovascular disease (CVD) in a population-based sample of 6,500 men and women aged 45-84 years. The cohort will be selected from six US field centers. Approximately 38% of the cohort will be White, 28% African-American, 23% Hispanic, and 11% Asian (of Chinese descent). Baseline measurements will include measurement of coronary calcium using computed tomography; measurement of ventricular mass and function using cardiac magnetic resonance imaging; measurement of flow-mediated brachial artery endothelial vasodilation, carotid intimal-medial wall thickness, and distensibility of the carotid arteries using ultrasonography; measurement of peripheral vascular disease using ankle and brachial blood pressures; electrocardiography; and assessments of microalbuminuria, standard CVD risk factors, sociodemographic factors, life habits, and psychosocial factors. Blood samples will be assayed for putative biochemical risk factors and stored for use in nested case-control studies. DNA will be extracted and lymphocytes will be immortalized for genetic studies. Measurement of selected subclinical disease indicators and risk factors will be repeated for the study of progression over 7 years. Participants will be followed through 2008 for identification and characterization of CVD events, including acute myocardial infarction and other coronary heart disease, stroke, peripheral vascular disease, and congestive heart failure; therapeutic interventions for CVD; and mortality.","container-title":"American Journal of Epidemiology","DOI":"10.1093/aje/kwf113","ISSN":"0002-9262","issue":"9","journalAbbreviation":"Am. J. Epidemiol.","language":"eng","note":"PMID: 12397006","page":"871-881","source":"PubMed","title":"Multi-Ethnic Study of Atherosclerosis: objectives and design","title-short":"Multi-Ethnic Study of Atherosclerosis","volume":"156","author":[{"family":"Bild","given":"Diane E."},{"family":"Bluemke","given":"David A."},{"family":"Burke","given":"Gregory L."},{"family":"Detrano","given":"Robert"},{"family":"Diez Roux","given":"Ana V."},{"family":"Folsom","given":"Aaron R."},{"family":"Greenland","given":"Philip"},{"family":"Jacob","given":"David R."},{"family":"Kronmal","given":"Richard"},{"family":"Liu","given":"Kiang"},{"family":"Nelson","given":"Jennifer Clark"},{"family":"O'Leary","given":"Daniel"},{"family":"Saad","given":"Mohammed F."},{"family":"Shea","given":"Steven"},{"family":"Szklo","given":"Moyses"},{"family":"Tracy","given":"Russell P."}],"issued":{"date-parts":[["2002",11,1]]}}}],"schema":"https://github.com/citation-style-language/schema/raw/master/csl-citation.json"} </w:instrText>
      </w:r>
      <w:r w:rsidR="00F13373">
        <w:rPr>
          <w:rFonts w:ascii="Arial" w:hAnsi="Arial" w:cs="Arial"/>
        </w:rPr>
        <w:fldChar w:fldCharType="separate"/>
      </w:r>
      <w:r w:rsidR="00F13373" w:rsidRPr="00F13373">
        <w:rPr>
          <w:rFonts w:ascii="Arial" w:hAnsi="Arial" w:cs="Arial"/>
          <w:szCs w:val="24"/>
          <w:vertAlign w:val="superscript"/>
        </w:rPr>
        <w:t>1</w:t>
      </w:r>
      <w:r w:rsidR="00F13373">
        <w:rPr>
          <w:rFonts w:ascii="Arial" w:hAnsi="Arial" w:cs="Arial"/>
        </w:rPr>
        <w:fldChar w:fldCharType="end"/>
      </w:r>
      <w:r w:rsidRPr="00E04267">
        <w:rPr>
          <w:rFonts w:ascii="Arial" w:hAnsi="Arial" w:cs="Arial"/>
        </w:rPr>
        <w:t xml:space="preserve"> Between 2000 and 2002, MESA recruited 6,814 men and women 45 to 84 years of age from Forsyth County, North Carolina; New York City; Baltimore; St. Paul, Minnesota; Chicago; and Los Angeles. Participants at baseline were 38% White, 28% African American, 22% Hispanic and 12% Asian (primarily Chinese) ancestry.</w:t>
      </w:r>
    </w:p>
    <w:p w14:paraId="507E9F5D" w14:textId="481CA527" w:rsidR="00A8785F" w:rsidRPr="00E04267" w:rsidRDefault="00A8785F" w:rsidP="00A8785F">
      <w:pPr>
        <w:widowControl w:val="0"/>
        <w:autoSpaceDE w:val="0"/>
        <w:autoSpaceDN w:val="0"/>
        <w:adjustRightInd w:val="0"/>
        <w:spacing w:after="0" w:line="480" w:lineRule="auto"/>
        <w:outlineLvl w:val="0"/>
        <w:rPr>
          <w:rFonts w:ascii="Arial" w:hAnsi="Arial" w:cs="Arial"/>
        </w:rPr>
      </w:pPr>
      <w:r w:rsidRPr="00E04267">
        <w:rPr>
          <w:rFonts w:ascii="Arial" w:hAnsi="Arial" w:cs="Arial"/>
        </w:rPr>
        <w:tab/>
        <w:t>CHS is a population-based cohort study of risk factors for coronary heart disease and stroke in adults ≥65 years conducted across four field centers</w:t>
      </w:r>
      <w:r w:rsidR="00C34C24">
        <w:rPr>
          <w:rFonts w:ascii="Arial" w:hAnsi="Arial" w:cs="Arial"/>
        </w:rPr>
        <w:t>.</w:t>
      </w:r>
      <w:r w:rsidR="00F13373">
        <w:rPr>
          <w:rFonts w:ascii="Arial" w:hAnsi="Arial" w:cs="Arial"/>
        </w:rPr>
        <w:fldChar w:fldCharType="begin"/>
      </w:r>
      <w:r w:rsidR="00F13373">
        <w:rPr>
          <w:rFonts w:ascii="Arial" w:hAnsi="Arial" w:cs="Arial"/>
        </w:rPr>
        <w:instrText xml:space="preserve"> ADDIN ZOTERO_ITEM CSL_CITATION {"citationID":"MRoE3QIM","properties":{"formattedCitation":"\\super 2\\nosupersub{}","plainCitation":"2","noteIndex":0},"citationItems":[{"id":826,"uris":["http://zotero.org/groups/2365132/items/BGLT7TWT"],"uri":["http://zotero.org/groups/2365132/items/BGLT7TWT"],"itemData":{"id":826,"type":"article-journal","abstract":"The Cardiovascular Health Study (CHS) is a population-based, longitudinal study of coronary heart disease and stroke in adults aged 65 years and older. The main objective of the study is to identify factors related to the onset and course of coronary heart disease and stroke. CHS is designed to determine the importance of conventional cardiovascular disease (CVD) risk factors in older adults, and to identify new risk factors in this age group, especially those that may be protective and modifiable. The study design called for enrollment of 1250 men and women in each of four communities: Forsyth County, North Carolina; Sacramento County, California; Washington County, Maryland; and Pittsburgh, Pennsylvania. Eligible participants were sampled from Medicare eligibility lists in each area. Extensive physical and laboratory evaluations were performed at baseline to identify the presence and severity of CVD risk factors such as hypertension, hypercholesterolemia and glucose intolerance; subclinical disease such as carotid artery atherosclerosis, left ventricular enlargement, and transient ischemia; and clinically overt CVD. These examinations in CHS permit evaluation of CVD risk factors in older adults, particularly in groups previously under-represented in epidemiologic studies, such as women and the very old. The first of two examination cycles began in June 1989. A second comprehensive examination will be repeated three years later. Periodic interim contacts are scheduled to ascertain and verify the incidence of CVD events, the frequency of recurrent events, and the sequellae of CVD.","container-title":"Annals of Epidemiology","DOI":"10.1016/1047-2797(91)90005-w","ISSN":"1047-2797","issue":"3","journalAbbreviation":"Ann Epidemiol","language":"eng","note":"PMID: 1669507","page":"263-276","source":"PubMed","title":"The Cardiovascular Health Study: design and rationale","title-short":"The Cardiovascular Health Study","volume":"1","author":[{"family":"Fried","given":"L. P."},{"family":"Borhani","given":"N. O."},{"family":"Enright","given":"P."},{"family":"Furberg","given":"C. D."},{"family":"Gardin","given":"J. M."},{"family":"Kronmal","given":"R. A."},{"family":"Kuller","given":"L. H."},{"family":"Manolio","given":"T. A."},{"family":"Mittelmark","given":"M. B."},{"family":"Newman","given":"A."}],"issued":{"date-parts":[["1991",2]]}}}],"schema":"https://github.com/citation-style-language/schema/raw/master/csl-citation.json"} </w:instrText>
      </w:r>
      <w:r w:rsidR="00F13373">
        <w:rPr>
          <w:rFonts w:ascii="Arial" w:hAnsi="Arial" w:cs="Arial"/>
        </w:rPr>
        <w:fldChar w:fldCharType="separate"/>
      </w:r>
      <w:r w:rsidR="00F13373" w:rsidRPr="00F13373">
        <w:rPr>
          <w:rFonts w:ascii="Arial" w:hAnsi="Arial" w:cs="Arial"/>
          <w:szCs w:val="24"/>
          <w:vertAlign w:val="superscript"/>
        </w:rPr>
        <w:t>2</w:t>
      </w:r>
      <w:r w:rsidR="00F13373">
        <w:rPr>
          <w:rFonts w:ascii="Arial" w:hAnsi="Arial" w:cs="Arial"/>
        </w:rPr>
        <w:fldChar w:fldCharType="end"/>
      </w:r>
      <w:r w:rsidRPr="00E04267">
        <w:rPr>
          <w:rFonts w:ascii="Arial" w:hAnsi="Arial" w:cs="Arial"/>
        </w:rPr>
        <w:t xml:space="preserve"> The original predominantly European ancestry cohort of 5,201 persons was recruited in 1989-1990 from random samples of the Medicare eligibility lists; subsequently, an additional predominantly African-American cohort of 687 persons was enrolled in 1992-1993 for a total sample of 5,888.</w:t>
      </w:r>
      <w:r w:rsidR="008903F1">
        <w:rPr>
          <w:rFonts w:ascii="Arial" w:hAnsi="Arial" w:cs="Arial"/>
        </w:rPr>
        <w:t xml:space="preserve"> </w:t>
      </w:r>
      <w:r w:rsidR="008903F1" w:rsidRPr="008903F1">
        <w:rPr>
          <w:rFonts w:ascii="Arial" w:hAnsi="Arial" w:cs="Arial"/>
        </w:rPr>
        <w:t>Analyses were limited to those with available DNA who consented to genetic studies</w:t>
      </w:r>
      <w:r w:rsidR="008903F1">
        <w:rPr>
          <w:rFonts w:ascii="Arial" w:hAnsi="Arial" w:cs="Arial"/>
        </w:rPr>
        <w:t>.</w:t>
      </w:r>
    </w:p>
    <w:p w14:paraId="24B48D27" w14:textId="155BE35E" w:rsidR="00A8785F" w:rsidRPr="00E04267" w:rsidRDefault="00A8785F" w:rsidP="00A8785F">
      <w:pPr>
        <w:spacing w:after="0" w:line="480" w:lineRule="auto"/>
        <w:rPr>
          <w:rFonts w:ascii="Arial" w:eastAsia="Times New Roman" w:hAnsi="Arial" w:cs="Arial"/>
          <w:b/>
        </w:rPr>
      </w:pPr>
      <w:r w:rsidRPr="00E04267">
        <w:rPr>
          <w:rFonts w:ascii="Arial" w:eastAsia="Times New Roman" w:hAnsi="Arial" w:cs="Arial"/>
          <w:b/>
        </w:rPr>
        <w:tab/>
      </w:r>
      <w:r w:rsidRPr="00E04267">
        <w:rPr>
          <w:rFonts w:ascii="Arial" w:hAnsi="Arial" w:cs="Arial"/>
        </w:rPr>
        <w:t>FHS is a population-based longitudinal study of families living in Framingham, Massachusetts which originated in 1948 and consisted of individuals of predominantly European ancestry</w:t>
      </w:r>
      <w:r w:rsidR="00C34C24">
        <w:rPr>
          <w:rFonts w:ascii="Arial" w:hAnsi="Arial" w:cs="Arial"/>
        </w:rPr>
        <w:t>.</w:t>
      </w:r>
      <w:r w:rsidR="00F13373">
        <w:rPr>
          <w:rFonts w:ascii="Arial" w:hAnsi="Arial" w:cs="Arial"/>
        </w:rPr>
        <w:fldChar w:fldCharType="begin"/>
      </w:r>
      <w:r w:rsidR="00F13373">
        <w:rPr>
          <w:rFonts w:ascii="Arial" w:hAnsi="Arial" w:cs="Arial"/>
        </w:rPr>
        <w:instrText xml:space="preserve"> ADDIN ZOTERO_ITEM CSL_CITATION {"citationID":"o7UkwnJA","properties":{"formattedCitation":"\\super 3\\nosupersub{}","plainCitation":"3","noteIndex":0},"citationItems":[{"id":828,"uris":["http://zotero.org/groups/2365132/items/HVRWLJAP"],"uri":["http://zotero.org/groups/2365132/items/HVRWLJAP"],"itemData":{"id":828,"type":"article-journal","abstract":"On Sept 29, 2013, the Framingham Heart Study will celebrate 65 years since the examination of the first volunteer in 1948. During this period, the study has provided substantial insight into the epidemiology and risk factors of cardiovascular disease. The origins of the study are closely linked to the cardiovascular health of President Franklin D Roosevelt and his premature death from hypertensive heart disease and stroke in 1945. In this Review we describe the events leading to the foundation of the Framingham Heart Study, and provide a brief historical overview of selected contributions from the study.","container-title":"Lancet (London, England)","DOI":"10.1016/S0140-6736(13)61752-3","ISSN":"1474-547X","issue":"9921","journalAbbreviation":"Lancet","language":"eng","note":"PMID: 24084292\nPMCID: PMC4159698","page":"999-1008","source":"PubMed","title":"The Framingham Heart Study and the epidemiology of cardiovascular disease: a historical perspective","title-short":"The Framingham Heart Study and the epidemiology of cardiovascular disease","volume":"383","author":[{"family":"Mahmood","given":"Syed S."},{"family":"Levy","given":"Daniel"},{"family":"Vasan","given":"Ramachandran S."},{"family":"Wang","given":"Thomas J."}],"issued":{"date-parts":[["2014",3,15]]}}}],"schema":"https://github.com/citation-style-language/schema/raw/master/csl-citation.json"} </w:instrText>
      </w:r>
      <w:r w:rsidR="00F13373">
        <w:rPr>
          <w:rFonts w:ascii="Arial" w:hAnsi="Arial" w:cs="Arial"/>
        </w:rPr>
        <w:fldChar w:fldCharType="separate"/>
      </w:r>
      <w:r w:rsidR="00F13373" w:rsidRPr="00F13373">
        <w:rPr>
          <w:rFonts w:ascii="Arial" w:hAnsi="Arial" w:cs="Arial"/>
          <w:szCs w:val="24"/>
          <w:vertAlign w:val="superscript"/>
        </w:rPr>
        <w:t>3</w:t>
      </w:r>
      <w:r w:rsidR="00F13373">
        <w:rPr>
          <w:rFonts w:ascii="Arial" w:hAnsi="Arial" w:cs="Arial"/>
        </w:rPr>
        <w:fldChar w:fldCharType="end"/>
      </w:r>
      <w:r w:rsidRPr="00E04267">
        <w:rPr>
          <w:rFonts w:ascii="Arial" w:hAnsi="Arial" w:cs="Arial"/>
        </w:rPr>
        <w:t xml:space="preserve"> In 1994, the Omni Cohort 1 enrolled 507 men and women of African-American, Hispanic, Asian, Indian, Pacific Islander and Native American origins, who at the time of enrollment were residents of Framingham and the surrounding towns.</w:t>
      </w:r>
      <w:r w:rsidR="008903F1">
        <w:rPr>
          <w:rFonts w:ascii="Arial" w:hAnsi="Arial" w:cs="Arial"/>
        </w:rPr>
        <w:t xml:space="preserve"> </w:t>
      </w:r>
    </w:p>
    <w:p w14:paraId="0274E4F2" w14:textId="77777777" w:rsidR="00A8785F" w:rsidRPr="00E04267" w:rsidRDefault="00A8785F" w:rsidP="00A8785F">
      <w:pPr>
        <w:spacing w:after="0" w:line="480" w:lineRule="auto"/>
        <w:rPr>
          <w:rFonts w:ascii="Arial" w:hAnsi="Arial" w:cs="Arial"/>
          <w:b/>
          <w:bCs/>
          <w:sz w:val="24"/>
          <w:szCs w:val="24"/>
        </w:rPr>
      </w:pPr>
    </w:p>
    <w:p w14:paraId="063200A6" w14:textId="77777777" w:rsidR="00FA2B2E" w:rsidRPr="00E04267" w:rsidRDefault="00FA2B2E" w:rsidP="00FA2B2E">
      <w:pPr>
        <w:spacing w:after="0" w:line="480" w:lineRule="auto"/>
        <w:jc w:val="both"/>
        <w:outlineLvl w:val="0"/>
        <w:rPr>
          <w:rFonts w:ascii="Arial" w:eastAsia="Times New Roman" w:hAnsi="Arial" w:cs="Arial"/>
          <w:b/>
        </w:rPr>
      </w:pPr>
      <w:r w:rsidRPr="00E04267">
        <w:rPr>
          <w:rFonts w:ascii="Arial" w:eastAsia="Times New Roman" w:hAnsi="Arial" w:cs="Arial"/>
          <w:b/>
        </w:rPr>
        <w:t>Fatty Acid measurements</w:t>
      </w:r>
    </w:p>
    <w:p w14:paraId="688EF69C" w14:textId="1C0FF58B" w:rsidR="00FA2B2E" w:rsidRPr="00E04267" w:rsidRDefault="00FA2B2E" w:rsidP="00FA2B2E">
      <w:pPr>
        <w:widowControl w:val="0"/>
        <w:autoSpaceDE w:val="0"/>
        <w:autoSpaceDN w:val="0"/>
        <w:adjustRightInd w:val="0"/>
        <w:spacing w:after="0" w:line="480" w:lineRule="auto"/>
        <w:ind w:firstLine="720"/>
        <w:outlineLvl w:val="0"/>
        <w:rPr>
          <w:rFonts w:ascii="Arial" w:hAnsi="Arial" w:cs="Arial"/>
        </w:rPr>
      </w:pPr>
      <w:r w:rsidRPr="00E04267">
        <w:rPr>
          <w:rFonts w:ascii="Arial" w:hAnsi="Arial" w:cs="Arial"/>
        </w:rPr>
        <w:t>MESA: The fatty acids were measured in EDTA plasma, frozen at –70°C, using methods previously described by Cao</w:t>
      </w:r>
      <w:r w:rsidR="00C34C24">
        <w:rPr>
          <w:rFonts w:ascii="Arial" w:hAnsi="Arial" w:cs="Arial"/>
        </w:rPr>
        <w:t>.</w:t>
      </w:r>
      <w:r w:rsidRPr="00E04267">
        <w:rPr>
          <w:rFonts w:ascii="Arial" w:hAnsi="Arial" w:cs="Arial"/>
        </w:rPr>
        <w:fldChar w:fldCharType="begin"/>
      </w:r>
      <w:r>
        <w:rPr>
          <w:rFonts w:ascii="Arial" w:hAnsi="Arial" w:cs="Arial"/>
        </w:rPr>
        <w:instrText xml:space="preserve"> ADDIN ZOTERO_ITEM CSL_CITATION {"citationID":"ZDDyuIcF","properties":{"formattedCitation":"\\super 4\\nosupersub{}","plainCitation":"4","noteIndex":0},"citationItems":[{"id":25,"uris":["http://zotero.org/groups/2365132/items/JJNF7P69"],"uri":["http://zotero.org/groups/2365132/items/JJNF7P69"],"itemData":{"id":25,"type":"article-journal","abstract":"BACKGROUND: The sum of eicosapentaenoic acid (EPA, 20:5 omega3) and docosahexaenoic acid (DHA, 22:6 omega3) in erythrocyte membranes, termed the omega-3 index, can indicate suboptimal intake of omega-3 fatty acids, a risk factor for cardiovascular disease (CVD). To study the effects of fatty acid supplementation, we investigated the rate of incorporation and clearance of these fatty acids in erythrocyte membranes and plasma after intake of supplements.\nMETHODS: Twenty study participants received supplementation with either fish oil (1296 mg EPA + 864 mg DHA/day) or flaxseed oil (3510 mg alpha-linolenic acid + 900 mg linoleic acid/day) for 8 weeks. We obtained erythrocyte membrane and plasma samples at weeks 0, 4, 8, 10, 12, 14, 16, and 24 and extracted and analyzed fatty acids by gas chromatography.\nRESULTS: After 8 weeks of fish oil supplementation, erythrocyte membrane EPA and DHA increased 300% (P &lt; 0.001) and 42% (P &lt; 0.001), respectively. The mean erythrocyte omega-3 index reached a near optimal value of 7.8%, and remained relatively high until week 12. EPA and DHA showed greater increases and more rapid washout period decreases in plasma phospholipids than in erythrocyte membranes. Flaxseed oil supplementation increased erythrocyte membrane EPA to 133% (P &lt; 0.05) and docosapentaenoic acid (DPA, 22:5 omega3) to 120% (P &lt; 0.01) of baseline, but DHA was unchanged. In plasma phospholipids, EPA, DPA, and DHA showed a slight but statistically insignificant increase.\nCONCLUSIONS: Erythrocyte membrane EPA+DHA increases during relatively short intervals in response to supplementation at rates related to amount of supplementation. These results may be useful to establish appropriate dosage for omega-3 fatty acid supplementation.","container-title":"Clinical Chemistry","DOI":"10.1373/clinchem.2006.072322","ISSN":"0009-9147","issue":"12","journalAbbreviation":"Clin. Chem.","language":"eng","note":"PMID: 17053155","page":"2265-2272","source":"PubMed","title":"Incorporation and clearance of omega-3 fatty acids in erythrocyte membranes and plasma phospholipids","volume":"52","author":[{"family":"Cao","given":"Jing"},{"family":"Schwichtenberg","given":"Kerry A."},{"family":"Hanson","given":"Naomi Q."},{"family":"Tsai","given":"Michael Y."}],"issued":{"date-parts":[["2006",12]]}}}],"schema":"https://github.com/citation-style-language/schema/raw/master/csl-citation.json"} </w:instrText>
      </w:r>
      <w:r w:rsidRPr="00E04267">
        <w:rPr>
          <w:rFonts w:ascii="Arial" w:hAnsi="Arial" w:cs="Arial"/>
        </w:rPr>
        <w:fldChar w:fldCharType="separate"/>
      </w:r>
      <w:r w:rsidRPr="00FA2B2E">
        <w:rPr>
          <w:rFonts w:ascii="Arial" w:hAnsi="Arial" w:cs="Arial"/>
          <w:szCs w:val="24"/>
          <w:vertAlign w:val="superscript"/>
        </w:rPr>
        <w:t>4</w:t>
      </w:r>
      <w:r w:rsidRPr="00E04267">
        <w:rPr>
          <w:rFonts w:ascii="Arial" w:hAnsi="Arial" w:cs="Arial"/>
        </w:rPr>
        <w:fldChar w:fldCharType="end"/>
      </w:r>
      <w:r w:rsidRPr="00E04267">
        <w:rPr>
          <w:rFonts w:ascii="Arial" w:hAnsi="Arial" w:cs="Arial"/>
        </w:rPr>
        <w:t xml:space="preserve"> Lipids were extracted from the plasma using a chloroform/methanol extraction method and the cholesterol esters, triglyceride, phospholipids and free fatty acids are separated by thin layer chromatography. The fatty acid methyl esters </w:t>
      </w:r>
      <w:r w:rsidRPr="00E04267">
        <w:rPr>
          <w:rFonts w:ascii="Arial" w:hAnsi="Arial" w:cs="Arial"/>
        </w:rPr>
        <w:lastRenderedPageBreak/>
        <w:t>were obtained from the phospholipids and were detected by gas chromatography flame ionization. Individual fatty acids were expressed as a percent of total fatty acids. A total of 28 fatty acids were identified.</w:t>
      </w:r>
    </w:p>
    <w:p w14:paraId="4F97B44F" w14:textId="2678276D" w:rsidR="00FA2B2E" w:rsidRPr="004C5953" w:rsidRDefault="00FA2B2E" w:rsidP="00FA2B2E">
      <w:pPr>
        <w:spacing w:after="0" w:line="480" w:lineRule="auto"/>
        <w:rPr>
          <w:rFonts w:ascii="Arial" w:hAnsi="Arial" w:cs="Arial"/>
        </w:rPr>
      </w:pPr>
      <w:r w:rsidRPr="00E04267">
        <w:rPr>
          <w:rFonts w:ascii="Arial" w:hAnsi="Arial" w:cs="Arial"/>
        </w:rPr>
        <w:tab/>
      </w:r>
      <w:r w:rsidRPr="004C5953">
        <w:rPr>
          <w:rFonts w:ascii="Arial" w:hAnsi="Arial" w:cs="Arial"/>
        </w:rPr>
        <w:t xml:space="preserve">CHS:  </w:t>
      </w:r>
      <w:r w:rsidRPr="00E04267">
        <w:rPr>
          <w:rFonts w:ascii="Arial" w:hAnsi="Arial" w:cs="Arial"/>
        </w:rPr>
        <w:t>Blood was drawn after a 12-hour fast and stored at –70°C. Total lipids were extracted from plasma using methods of Folch</w:t>
      </w:r>
      <w:r w:rsidRPr="00E04267">
        <w:rPr>
          <w:rFonts w:ascii="Arial" w:hAnsi="Arial" w:cs="Arial"/>
        </w:rPr>
        <w:fldChar w:fldCharType="begin"/>
      </w:r>
      <w:r>
        <w:rPr>
          <w:rFonts w:ascii="Arial" w:hAnsi="Arial" w:cs="Arial"/>
        </w:rPr>
        <w:instrText xml:space="preserve"> ADDIN ZOTERO_ITEM CSL_CITATION {"citationID":"VbDfUa1T","properties":{"formattedCitation":"\\super 5\\nosupersub{}","plainCitation":"5","noteIndex":0},"citationItems":[{"id":806,"uris":["http://zotero.org/groups/2365132/items/DFVHKXSH"],"uri":["http://zotero.org/groups/2365132/items/DFVHKXSH"],"itemData":{"id":806,"type":"article-journal","container-title":"The Journal of Biological Chemistry","ISSN":"0021-9258","issue":"1","journalAbbreviation":"J Biol Chem","language":"eng","note":"PMID: 13428781","page":"497-509","source":"PubMed","title":"A simple method for the isolation and purification of total lipides from animal tissues","volume":"226","author":[{"family":"Folch","given":"J."},{"family":"Lees","given":"M."},{"family":"Sloane Stanley","given":"G. H."}],"issued":{"date-parts":[["1957",5]]}}}],"schema":"https://github.com/citation-style-language/schema/raw/master/csl-citation.json"} </w:instrText>
      </w:r>
      <w:r w:rsidRPr="00E04267">
        <w:rPr>
          <w:rFonts w:ascii="Arial" w:hAnsi="Arial" w:cs="Arial"/>
        </w:rPr>
        <w:fldChar w:fldCharType="separate"/>
      </w:r>
      <w:r w:rsidRPr="00FA2B2E">
        <w:rPr>
          <w:rFonts w:ascii="Arial" w:hAnsi="Arial" w:cs="Arial"/>
          <w:szCs w:val="24"/>
          <w:vertAlign w:val="superscript"/>
        </w:rPr>
        <w:t>5</w:t>
      </w:r>
      <w:r w:rsidRPr="00E04267">
        <w:rPr>
          <w:rFonts w:ascii="Arial" w:hAnsi="Arial" w:cs="Arial"/>
        </w:rPr>
        <w:fldChar w:fldCharType="end"/>
      </w:r>
      <w:r w:rsidRPr="00E04267">
        <w:rPr>
          <w:rFonts w:ascii="Arial" w:hAnsi="Arial" w:cs="Arial"/>
        </w:rPr>
        <w:t>, and phospholipids separated from neutral lipids by one-dimensional TLC. Fatty-acid-methyl-ester (FAME) samples were prepared by direct transesterification using methods of Lepage and Roy</w:t>
      </w:r>
      <w:r w:rsidRPr="00E04267">
        <w:rPr>
          <w:rFonts w:ascii="Arial" w:hAnsi="Arial" w:cs="Arial"/>
        </w:rPr>
        <w:fldChar w:fldCharType="begin"/>
      </w:r>
      <w:r>
        <w:rPr>
          <w:rFonts w:ascii="Arial" w:hAnsi="Arial" w:cs="Arial"/>
        </w:rPr>
        <w:instrText xml:space="preserve"> ADDIN ZOTERO_ITEM CSL_CITATION {"citationID":"NK5nBxhN","properties":{"formattedCitation":"\\super 6\\nosupersub{}","plainCitation":"6","noteIndex":0},"citationItems":[{"id":808,"uris":["http://zotero.org/groups/2365132/items/EVPI2WYZ"],"uri":["http://zotero.org/groups/2365132/items/EVPI2WYZ"],"itemData":{"id":808,"type":"article-journal","abstract":"Conventional techniques for the determination of fatty acid composition of lipids require solvent extraction, purification, hydrolysis, and derivatization procedures that are both lengthy and cumbersome. A 1-hr direct transesterification procedure carried out in methanol-benzene 4:1 with acetyl chloride circumvented all these steps and was applicable for analysis of both simple (triglycerides) and complex lipids (cholesteryl esters, phospholipids, and sphingomyelin). Recoveries (greater than 95%) of standards unaffected by the presence of 5% water and 200 mg of silica suggested that the technique could be used for the quantitative analysis of total fatty acids as well as of fatty acids in classes of lipids separated on silica from biological samples. When compared to the Folch procedure, the technique led to a 20.1% increase in total fatty acids for plasma, 3.9% for feces, 7.4% for bile, and 9.7% for rat liver. We therefore conclude that this one-step direct transesterification procedure is superior to currently used methods, not only because of its simplicity and speed, but also because of its added precision.","container-title":"Journal of Lipid Research","ISSN":"0022-2275","issue":"1","journalAbbreviation":"J Lipid Res","language":"eng","note":"PMID: 3958609","page":"114-120","source":"PubMed","title":"Direct transesterification of all classes of lipids in a one-step reaction","volume":"27","author":[{"family":"Lepage","given":"G."},{"family":"Roy","given":"C. C."}],"issued":{"date-parts":[["1986",1]]}}}],"schema":"https://github.com/citation-style-language/schema/raw/master/csl-citation.json"} </w:instrText>
      </w:r>
      <w:r w:rsidRPr="00E04267">
        <w:rPr>
          <w:rFonts w:ascii="Arial" w:hAnsi="Arial" w:cs="Arial"/>
        </w:rPr>
        <w:fldChar w:fldCharType="separate"/>
      </w:r>
      <w:r w:rsidRPr="00FA2B2E">
        <w:rPr>
          <w:rFonts w:ascii="Arial" w:hAnsi="Arial" w:cs="Arial"/>
          <w:szCs w:val="24"/>
          <w:vertAlign w:val="superscript"/>
        </w:rPr>
        <w:t>6</w:t>
      </w:r>
      <w:r w:rsidRPr="00E04267">
        <w:rPr>
          <w:rFonts w:ascii="Arial" w:hAnsi="Arial" w:cs="Arial"/>
        </w:rPr>
        <w:fldChar w:fldCharType="end"/>
      </w:r>
      <w:r w:rsidRPr="00E04267">
        <w:rPr>
          <w:rFonts w:ascii="Arial" w:hAnsi="Arial" w:cs="Arial"/>
        </w:rPr>
        <w:t xml:space="preserve">, and separated using gas chromatography (Agilent5890 gas- chromatograph-FID-detector; </w:t>
      </w:r>
      <w:proofErr w:type="spellStart"/>
      <w:r w:rsidRPr="00E04267">
        <w:rPr>
          <w:rFonts w:ascii="Arial" w:hAnsi="Arial" w:cs="Arial"/>
        </w:rPr>
        <w:t>Supelco</w:t>
      </w:r>
      <w:proofErr w:type="spellEnd"/>
      <w:r w:rsidRPr="00E04267">
        <w:rPr>
          <w:rFonts w:ascii="Arial" w:hAnsi="Arial" w:cs="Arial"/>
        </w:rPr>
        <w:t xml:space="preserve"> fused-silica 100m capillary column SP-2560; initial 160°C 16 min, ramp 3.0°C/min to 240°C, hold 15 min)</w:t>
      </w:r>
      <w:r w:rsidR="00C34C24">
        <w:rPr>
          <w:rFonts w:ascii="Arial" w:hAnsi="Arial" w:cs="Arial"/>
        </w:rPr>
        <w:t>.</w:t>
      </w:r>
      <w:r w:rsidRPr="00E04267">
        <w:rPr>
          <w:rFonts w:ascii="Arial" w:hAnsi="Arial" w:cs="Arial"/>
        </w:rPr>
        <w:fldChar w:fldCharType="begin"/>
      </w:r>
      <w:r>
        <w:rPr>
          <w:rFonts w:ascii="Arial" w:hAnsi="Arial" w:cs="Arial"/>
        </w:rPr>
        <w:instrText xml:space="preserve"> ADDIN ZOTERO_ITEM CSL_CITATION {"citationID":"MZg3mzYc","properties":{"formattedCitation":"\\super 7\\nosupersub{}","plainCitation":"7","noteIndex":0},"citationItems":[{"id":810,"uris":["http://zotero.org/groups/2365132/items/LDYMMEPD"],"uri":["http://zotero.org/groups/2365132/items/LDYMMEPD"],"itemData":{"id":810,"type":"article-journal","abstract":"BACKGROUND: Animal experiments suggest that circulating palmitoleic acid (cis-16:1n-7) from adipocyte de novo fatty acid synthesis may directly regulate insulin resistance and metabolic dysregulation.\nOBJECTIVE: We investigated the independent determinants of circulating palmitoleate in free-living humans and whether palmitoleate is related to lower metabolic risk and the incidence of diabetes.\nDESIGN: In a prospective cohort of 3630 US men and women in the Cardiovascular Health Study, plasma phospholipid fatty acids, anthropometric variables, blood lipids, inflammatory markers, and glucose and insulin concentrations were measured between 1992 and 2006 by using standardized methods. Independent determinants of plasma phospholipid palmitoleate and relations of palmitoleate with metabolic risk factors were investigated by using multivariable-adjusted linear regression. Relations with incident diabetes (296 incident cases) were investigated by using Cox proportional hazards.\nRESULTS: The mean (± SD) palmitoleate value was 0.49 ± 0.20% (range: 0.11-2.55%) of total fatty acids. Greater body mass index, carbohydrate intake, protein intake, and alcohol use were each independent lifestyle correlates of higher palmitoleate concentrations. In multivariable analyses that adjusted for these factors and other potential confounders, higher palmitoleate concentrations were independently associated with lower LDL cholesterol (P &lt; 0.001), higher HDL cholesterol (P &lt; 0.001), lower total:HDL-cholesterol ratio (P = 0.04), and lower fibrinogen (P &lt; 0.001). However, palmitoleate was also associated with higher triglycerides (P &lt; 0.001) and (in men only) with greater insulin resistance (P &lt; 0.001). Palmitoleate was not significantly associated with incident diabetes.\nCONCLUSIONS: Adiposity (energy imbalance), carbohydrate consumption, and alcohol use-even within typical ranges-are associated with higher circulating palmitoleate concentrations. Circulating palmitoleate is robustly associated with multiple metabolic risk factors but in mixed directions, perhaps related to divergent lifestyle determinants or endogenous sources (liver, adipose tissue) of fatty acid synthesis.","container-title":"The American Journal of Clinical Nutrition","DOI":"10.3945/ajcn.110.003970","ISSN":"1938-3207","issue":"6","journalAbbreviation":"Am J Clin Nutr","language":"eng","note":"PMID: 20943795\nPMCID: PMC2980960","page":"1350-1358","source":"PubMed","title":"Circulating palmitoleic acid and risk of metabolic abnormalities and new-onset diabetes","volume":"92","author":[{"family":"Mozaffarian","given":"Dariush"},{"family":"Cao","given":"Haiming"},{"family":"King","given":"Irena B."},{"family":"Lemaitre","given":"Rozenn N."},{"family":"Song","given":"Xiaoling"},{"family":"Siscovick","given":"David S."},{"family":"Hotamisligil","given":"Gökhan S."}],"issued":{"date-parts":[["2010",12]]}}}],"schema":"https://github.com/citation-style-language/schema/raw/master/csl-citation.json"} </w:instrText>
      </w:r>
      <w:r w:rsidRPr="00E04267">
        <w:rPr>
          <w:rFonts w:ascii="Arial" w:hAnsi="Arial" w:cs="Arial"/>
        </w:rPr>
        <w:fldChar w:fldCharType="separate"/>
      </w:r>
      <w:r w:rsidRPr="00FA2B2E">
        <w:rPr>
          <w:rFonts w:ascii="Arial" w:hAnsi="Arial" w:cs="Arial"/>
          <w:szCs w:val="24"/>
          <w:vertAlign w:val="superscript"/>
        </w:rPr>
        <w:t>7</w:t>
      </w:r>
      <w:r w:rsidRPr="00E04267">
        <w:rPr>
          <w:rFonts w:ascii="Arial" w:hAnsi="Arial" w:cs="Arial"/>
        </w:rPr>
        <w:fldChar w:fldCharType="end"/>
      </w:r>
      <w:r w:rsidRPr="00E04267">
        <w:rPr>
          <w:rFonts w:ascii="Arial" w:hAnsi="Arial" w:cs="Arial"/>
        </w:rPr>
        <w:t xml:space="preserve"> Identification, precision, and accuracy were continuously evaluated using model mixtures of known FAMEs and established in-house controls, with identification confirmed by GC-MS at USDA (Peoria, IL). A total of 42 fatty acids were identified. Fatty acid levels were expressed as percent of total fatty acids. CVs were &lt;3% for most fatty acids.</w:t>
      </w:r>
    </w:p>
    <w:p w14:paraId="09ED1B49" w14:textId="73A4F201" w:rsidR="00FA2B2E" w:rsidRDefault="00FA2B2E" w:rsidP="00FA2B2E">
      <w:pPr>
        <w:widowControl w:val="0"/>
        <w:autoSpaceDE w:val="0"/>
        <w:autoSpaceDN w:val="0"/>
        <w:adjustRightInd w:val="0"/>
        <w:spacing w:after="0" w:line="480" w:lineRule="auto"/>
        <w:outlineLvl w:val="0"/>
        <w:rPr>
          <w:rFonts w:ascii="Arial" w:hAnsi="Arial" w:cs="Arial"/>
        </w:rPr>
      </w:pPr>
      <w:r w:rsidRPr="00E04267">
        <w:rPr>
          <w:rFonts w:ascii="Arial" w:hAnsi="Arial" w:cs="Arial"/>
        </w:rPr>
        <w:tab/>
      </w:r>
      <w:r w:rsidR="00A623C0" w:rsidRPr="004C5953">
        <w:rPr>
          <w:rFonts w:ascii="Arial" w:hAnsi="Arial" w:cs="Arial"/>
        </w:rPr>
        <w:t>F</w:t>
      </w:r>
      <w:r w:rsidR="00A623C0">
        <w:rPr>
          <w:rFonts w:ascii="Arial" w:hAnsi="Arial" w:cs="Arial"/>
        </w:rPr>
        <w:t>HS</w:t>
      </w:r>
      <w:r w:rsidRPr="004C5953">
        <w:rPr>
          <w:rFonts w:ascii="Arial" w:hAnsi="Arial" w:cs="Arial"/>
        </w:rPr>
        <w:t xml:space="preserve">: </w:t>
      </w:r>
      <w:r w:rsidRPr="00E04267">
        <w:rPr>
          <w:rFonts w:ascii="Arial" w:hAnsi="Arial" w:cs="Arial"/>
        </w:rPr>
        <w:t>Red blood cells (RBCs) were isolated from blood drawn after a 10–12 h fast and frozen at −80 °C immediately after collection. RBC fatty acid composition was analyzed by gas chromatography (GC) with flame ionization detection as previously described</w:t>
      </w:r>
      <w:r w:rsidR="00C34C24">
        <w:rPr>
          <w:rFonts w:ascii="Arial" w:hAnsi="Arial" w:cs="Arial"/>
        </w:rPr>
        <w:t>.</w:t>
      </w:r>
      <w:r w:rsidRPr="00E04267">
        <w:rPr>
          <w:rFonts w:ascii="Arial" w:hAnsi="Arial" w:cs="Arial"/>
        </w:rPr>
        <w:fldChar w:fldCharType="begin"/>
      </w:r>
      <w:r>
        <w:rPr>
          <w:rFonts w:ascii="Arial" w:hAnsi="Arial" w:cs="Arial"/>
        </w:rPr>
        <w:instrText xml:space="preserve"> ADDIN ZOTERO_ITEM CSL_CITATION {"citationID":"MfJdb3u0","properties":{"formattedCitation":"\\super 8\\nosupersub{}","plainCitation":"8","noteIndex":0},"citationItems":[{"id":816,"uris":["http://zotero.org/groups/2365132/items/M3A8EMMA"],"uri":["http://zotero.org/groups/2365132/items/M3A8EMMA"],"itemData":{"id":816,"type":"article-journal","abstract":"Over the last several years, national programs to lower the content of industrially produced (IP) C18:1 and C18:2 trans fatty acids in foods have been implemented, but whether this has resulted in lower blood trans fatty acid levels is unknown. Likewise, an increased perception of the health benefits of fish oils rich in EPA and DHA may have resulted in an increase in consumption and blood levels of these fatty acids. To explore these issues, we analyzed the changes in RBC fatty acid composition between the 7th (1998-2001) and 8th (2005-2007) examination cycles in a random sample of the Framingham Offspring cohort. This was a retrospective cohort study of 291 participants from whom blood was drawn at both examinations and for whom complete covariate data were available. Overall, the proportion of trans fatty acids in RBC changed by -23% (95% CI: -26 to -21%). RBC EPA+DHA proportions increased by 41% (95% CI: 31 to 52%) in 38 individuals who were taking fish oil supplements at examination 8, but in 253 participants not taking fish oil, the proportion of RBC EPA+DHA did not change. In conclusion, in a random subsample of Framingham Offspring participants with serial observations over 6.7 y, the proportion of trans fatty acids in RBC decreased. Those of EPA+DHA increased in people taking fish oil supplements. These changes could potentially translate into a lower risk for cardiovascular disease.","container-title":"The Journal of Nutrition","DOI":"10.3945/jn.112.158295","ISSN":"1541-6100","issue":"7","journalAbbreviation":"J Nutr","language":"eng","note":"PMID: 22623386\nPMCID: PMC3374668","page":"1297-1303","source":"PubMed","title":"Changes in erythrocyte membrane trans and marine fatty acids between 1999 and 2006 in older Americans","volume":"142","author":[{"family":"Harris","given":"William S."},{"family":"Pottala","given":"James V."},{"family":"Vasan","given":"Ramachandran S."},{"family":"Larson","given":"Martin G."},{"family":"Robins","given":"Sander J."}],"issued":{"date-parts":[["2012",7]]}}}],"schema":"https://github.com/citation-style-language/schema/raw/master/csl-citation.json"} </w:instrText>
      </w:r>
      <w:r w:rsidRPr="00E04267">
        <w:rPr>
          <w:rFonts w:ascii="Arial" w:hAnsi="Arial" w:cs="Arial"/>
        </w:rPr>
        <w:fldChar w:fldCharType="separate"/>
      </w:r>
      <w:r w:rsidRPr="00FA2B2E">
        <w:rPr>
          <w:rFonts w:ascii="Arial" w:hAnsi="Arial" w:cs="Arial"/>
          <w:szCs w:val="24"/>
          <w:vertAlign w:val="superscript"/>
        </w:rPr>
        <w:t>8</w:t>
      </w:r>
      <w:r w:rsidRPr="00E04267">
        <w:rPr>
          <w:rFonts w:ascii="Arial" w:hAnsi="Arial" w:cs="Arial"/>
        </w:rPr>
        <w:fldChar w:fldCharType="end"/>
      </w:r>
      <w:r w:rsidRPr="00E04267">
        <w:rPr>
          <w:rFonts w:ascii="Arial" w:hAnsi="Arial" w:cs="Arial"/>
        </w:rPr>
        <w:t xml:space="preserve"> Briefly, unwashed, packed RBCs were directly methylated with boron trifluoride and hexane at 100 °C for 10 min. The fatty acid methyl esters thus generated were analyzed using a GC2010 Gas Chromatograph (Shimadzu Corporation, Columbia, MD) equipped with an SP2560, fused silica capillary column (</w:t>
      </w:r>
      <w:proofErr w:type="spellStart"/>
      <w:r w:rsidRPr="00E04267">
        <w:rPr>
          <w:rFonts w:ascii="Arial" w:hAnsi="Arial" w:cs="Arial"/>
        </w:rPr>
        <w:t>Supelco</w:t>
      </w:r>
      <w:proofErr w:type="spellEnd"/>
      <w:r w:rsidRPr="00E04267">
        <w:rPr>
          <w:rFonts w:ascii="Arial" w:hAnsi="Arial" w:cs="Arial"/>
        </w:rPr>
        <w:t xml:space="preserve">, Bellefonte, PA). Fatty acids were identified by comparison with a standard mixture of fatty acids characteristic of RBC (GLC 727, </w:t>
      </w:r>
      <w:proofErr w:type="spellStart"/>
      <w:r w:rsidRPr="00E04267">
        <w:rPr>
          <w:rFonts w:ascii="Arial" w:hAnsi="Arial" w:cs="Arial"/>
        </w:rPr>
        <w:t>NuCheck</w:t>
      </w:r>
      <w:proofErr w:type="spellEnd"/>
      <w:r w:rsidRPr="00E04267">
        <w:rPr>
          <w:rFonts w:ascii="Arial" w:hAnsi="Arial" w:cs="Arial"/>
        </w:rPr>
        <w:t xml:space="preserve"> Prep, Elysian, MN) which was also used to determine individual fatty acid response factors. The omega-3 index is defined as the sum of EPA and DHA expressed as a percent of total identified fatty acids. The coefficients of variation were 6.2% for EPA, 4.4% for DHA and 3.2% for the omega-3 index. All fatty acids present at &gt;1% abundance had CVs of ≤7%.</w:t>
      </w:r>
    </w:p>
    <w:p w14:paraId="0F86804E" w14:textId="093DB52A" w:rsidR="00FA2B2E" w:rsidRDefault="00FA2B2E" w:rsidP="00FA2B2E">
      <w:pPr>
        <w:widowControl w:val="0"/>
        <w:autoSpaceDE w:val="0"/>
        <w:autoSpaceDN w:val="0"/>
        <w:adjustRightInd w:val="0"/>
        <w:spacing w:after="0" w:line="480" w:lineRule="auto"/>
        <w:outlineLvl w:val="0"/>
        <w:rPr>
          <w:rFonts w:ascii="Arial" w:hAnsi="Arial" w:cs="Arial"/>
        </w:rPr>
      </w:pPr>
    </w:p>
    <w:p w14:paraId="1F5BB34C" w14:textId="1BFA3670" w:rsidR="00DE21DF" w:rsidRDefault="00DE21DF" w:rsidP="00FA2B2E">
      <w:pPr>
        <w:widowControl w:val="0"/>
        <w:autoSpaceDE w:val="0"/>
        <w:autoSpaceDN w:val="0"/>
        <w:adjustRightInd w:val="0"/>
        <w:spacing w:after="0" w:line="480" w:lineRule="auto"/>
        <w:outlineLvl w:val="0"/>
        <w:rPr>
          <w:rFonts w:ascii="Arial" w:hAnsi="Arial" w:cs="Arial"/>
        </w:rPr>
      </w:pPr>
    </w:p>
    <w:p w14:paraId="690739A2" w14:textId="76D0682B" w:rsidR="00DE21DF" w:rsidRDefault="00DE21DF" w:rsidP="00FA2B2E">
      <w:pPr>
        <w:widowControl w:val="0"/>
        <w:autoSpaceDE w:val="0"/>
        <w:autoSpaceDN w:val="0"/>
        <w:adjustRightInd w:val="0"/>
        <w:spacing w:after="0" w:line="480" w:lineRule="auto"/>
        <w:outlineLvl w:val="0"/>
        <w:rPr>
          <w:rFonts w:ascii="Arial" w:eastAsia="Times New Roman" w:hAnsi="Arial" w:cs="Arial"/>
          <w:b/>
        </w:rPr>
      </w:pPr>
      <w:r w:rsidRPr="00DE21DF">
        <w:rPr>
          <w:rFonts w:ascii="Arial" w:eastAsia="Times New Roman" w:hAnsi="Arial" w:cs="Arial"/>
          <w:b/>
        </w:rPr>
        <w:t>Removing of outliers for race/ethnic groups</w:t>
      </w:r>
    </w:p>
    <w:p w14:paraId="343935A1" w14:textId="434DBB1A" w:rsidR="00DE21DF" w:rsidRPr="00DE21DF" w:rsidRDefault="00DE21DF" w:rsidP="00DE21DF">
      <w:pPr>
        <w:widowControl w:val="0"/>
        <w:autoSpaceDE w:val="0"/>
        <w:autoSpaceDN w:val="0"/>
        <w:adjustRightInd w:val="0"/>
        <w:spacing w:after="0" w:line="480" w:lineRule="auto"/>
        <w:ind w:firstLine="720"/>
        <w:outlineLvl w:val="0"/>
        <w:rPr>
          <w:rFonts w:ascii="Arial" w:hAnsi="Arial" w:cs="Arial"/>
        </w:rPr>
      </w:pPr>
      <w:r w:rsidRPr="00DE21DF">
        <w:rPr>
          <w:rFonts w:ascii="Arial" w:hAnsi="Arial" w:cs="Arial"/>
        </w:rPr>
        <w:t>Self-reported race/ethnicity were cleaned by removing principal component analysis outliers for each of cohorts</w:t>
      </w:r>
      <w:r>
        <w:rPr>
          <w:rFonts w:ascii="Arial" w:hAnsi="Arial" w:cs="Arial"/>
        </w:rPr>
        <w:t>.</w:t>
      </w:r>
      <w:r w:rsidRPr="00DE21DF">
        <w:rPr>
          <w:rFonts w:ascii="Arial" w:hAnsi="Arial" w:cs="Arial"/>
        </w:rPr>
        <w:t xml:space="preserve"> </w:t>
      </w:r>
    </w:p>
    <w:p w14:paraId="3A7C7089" w14:textId="77777777" w:rsidR="00DE21DF" w:rsidRPr="00DE21DF" w:rsidRDefault="00DE21DF" w:rsidP="00FA2B2E">
      <w:pPr>
        <w:widowControl w:val="0"/>
        <w:autoSpaceDE w:val="0"/>
        <w:autoSpaceDN w:val="0"/>
        <w:adjustRightInd w:val="0"/>
        <w:spacing w:after="0" w:line="480" w:lineRule="auto"/>
        <w:outlineLvl w:val="0"/>
        <w:rPr>
          <w:rFonts w:ascii="Arial" w:eastAsia="Times New Roman" w:hAnsi="Arial" w:cs="Arial"/>
          <w:b/>
        </w:rPr>
      </w:pPr>
    </w:p>
    <w:p w14:paraId="43543B5C" w14:textId="1176231F" w:rsidR="00721B90" w:rsidRDefault="00721B90" w:rsidP="00721B90">
      <w:pPr>
        <w:spacing w:after="0" w:line="480" w:lineRule="auto"/>
        <w:jc w:val="both"/>
        <w:outlineLvl w:val="0"/>
        <w:rPr>
          <w:rFonts w:ascii="Arial" w:eastAsia="Times New Roman" w:hAnsi="Arial" w:cs="Arial"/>
          <w:b/>
        </w:rPr>
      </w:pPr>
      <w:r w:rsidRPr="00E04267">
        <w:rPr>
          <w:rFonts w:ascii="Arial" w:eastAsia="Times New Roman" w:hAnsi="Arial" w:cs="Arial"/>
          <w:b/>
        </w:rPr>
        <w:t>Genotyping and imputation</w:t>
      </w:r>
    </w:p>
    <w:p w14:paraId="08D840B2" w14:textId="11013A87" w:rsidR="00721B90" w:rsidRPr="00E04267" w:rsidRDefault="00721B90" w:rsidP="00721B90">
      <w:pPr>
        <w:widowControl w:val="0"/>
        <w:autoSpaceDE w:val="0"/>
        <w:autoSpaceDN w:val="0"/>
        <w:adjustRightInd w:val="0"/>
        <w:spacing w:after="0" w:line="480" w:lineRule="auto"/>
        <w:ind w:firstLine="720"/>
        <w:outlineLvl w:val="0"/>
        <w:rPr>
          <w:rFonts w:ascii="Arial" w:hAnsi="Arial" w:cs="Arial"/>
        </w:rPr>
      </w:pPr>
      <w:r w:rsidRPr="00E04267">
        <w:rPr>
          <w:rFonts w:ascii="Arial" w:hAnsi="Arial" w:cs="Arial"/>
        </w:rPr>
        <w:t>MESA: Participants in the MESA cohort who consented to genetic analyses and data sharing (</w:t>
      </w:r>
      <w:proofErr w:type="spellStart"/>
      <w:r w:rsidRPr="00E04267">
        <w:rPr>
          <w:rFonts w:ascii="Arial" w:hAnsi="Arial" w:cs="Arial"/>
        </w:rPr>
        <w:t>dbGaP</w:t>
      </w:r>
      <w:proofErr w:type="spellEnd"/>
      <w:r w:rsidRPr="00E04267">
        <w:rPr>
          <w:rFonts w:ascii="Arial" w:hAnsi="Arial" w:cs="Arial"/>
        </w:rPr>
        <w:t xml:space="preserve">) were genotyped using the Affymetrix Human SNP Array 6.0 (GWAS array) as part of the NHLBI </w:t>
      </w:r>
      <w:proofErr w:type="spellStart"/>
      <w:r w:rsidRPr="00E04267">
        <w:rPr>
          <w:rFonts w:ascii="Arial" w:hAnsi="Arial" w:cs="Arial"/>
        </w:rPr>
        <w:t>CARe</w:t>
      </w:r>
      <w:proofErr w:type="spellEnd"/>
      <w:r w:rsidRPr="00E04267">
        <w:rPr>
          <w:rFonts w:ascii="Arial" w:hAnsi="Arial" w:cs="Arial"/>
        </w:rPr>
        <w:t xml:space="preserve"> (Candidate gene Association Resource) and </w:t>
      </w:r>
      <w:proofErr w:type="spellStart"/>
      <w:r w:rsidRPr="00E04267">
        <w:rPr>
          <w:rFonts w:ascii="Arial" w:hAnsi="Arial" w:cs="Arial"/>
        </w:rPr>
        <w:t>SHARe</w:t>
      </w:r>
      <w:proofErr w:type="spellEnd"/>
      <w:r w:rsidRPr="00E04267">
        <w:rPr>
          <w:rFonts w:ascii="Arial" w:hAnsi="Arial" w:cs="Arial"/>
        </w:rPr>
        <w:t xml:space="preserve"> (SNP Health Association Resource) projects. Genotype quality control for these data included filter on SNP level call rate &lt; 95%, individual level call rate &lt; 95%, heterozygosity &gt; 53%, described previously7. The cleaned genotypic data was deposited with MESA phenotypic data into </w:t>
      </w:r>
      <w:proofErr w:type="spellStart"/>
      <w:r w:rsidRPr="00E04267">
        <w:rPr>
          <w:rFonts w:ascii="Arial" w:hAnsi="Arial" w:cs="Arial"/>
        </w:rPr>
        <w:t>dbGaP</w:t>
      </w:r>
      <w:proofErr w:type="spellEnd"/>
      <w:r w:rsidRPr="00E04267">
        <w:rPr>
          <w:rFonts w:ascii="Arial" w:hAnsi="Arial" w:cs="Arial"/>
        </w:rPr>
        <w:t xml:space="preserve"> (study accession phs000209.v13.p3); 8,224 consenting individuals (2,685 White, 2,588 non-Hispanic </w:t>
      </w:r>
      <w:proofErr w:type="gramStart"/>
      <w:r w:rsidRPr="00E04267">
        <w:rPr>
          <w:rFonts w:ascii="Arial" w:hAnsi="Arial" w:cs="Arial"/>
        </w:rPr>
        <w:t>African-American</w:t>
      </w:r>
      <w:proofErr w:type="gramEnd"/>
      <w:r w:rsidRPr="00E04267">
        <w:rPr>
          <w:rFonts w:ascii="Arial" w:hAnsi="Arial" w:cs="Arial"/>
        </w:rPr>
        <w:t xml:space="preserve">, 2,174 Hispanic, 777 Chinese) were included, with 897,981 SNPs passing study specific quality control (QC). SNP coverage from the original GWAS SNP genotyping array was increased through imputation using the 1,000 Genomes Phase 3 integrated variant set completed using the Michigan Imputation Server </w:t>
      </w:r>
      <w:r w:rsidRPr="00A104CE">
        <w:rPr>
          <w:rFonts w:ascii="Arial" w:hAnsi="Arial" w:cs="Arial"/>
          <w:color w:val="FF0000"/>
        </w:rPr>
        <w:t>(</w:t>
      </w:r>
      <w:hyperlink r:id="rId7" w:history="1">
        <w:r w:rsidRPr="00A104CE">
          <w:rPr>
            <w:rStyle w:val="Hyperlink"/>
            <w:rFonts w:ascii="Arial" w:hAnsi="Arial" w:cs="Arial"/>
            <w:color w:val="FF0000"/>
          </w:rPr>
          <w:t>https://imputationserver.sph.umich.edu</w:t>
        </w:r>
      </w:hyperlink>
      <w:r w:rsidRPr="00A104CE">
        <w:rPr>
          <w:rFonts w:ascii="Arial" w:hAnsi="Arial" w:cs="Arial"/>
          <w:color w:val="FF0000"/>
        </w:rPr>
        <w:t>).</w:t>
      </w:r>
    </w:p>
    <w:p w14:paraId="6B3694AC" w14:textId="77777777" w:rsidR="00721B90" w:rsidRPr="00E04267" w:rsidRDefault="00721B90" w:rsidP="00721B90">
      <w:pPr>
        <w:widowControl w:val="0"/>
        <w:autoSpaceDE w:val="0"/>
        <w:autoSpaceDN w:val="0"/>
        <w:adjustRightInd w:val="0"/>
        <w:spacing w:after="0" w:line="480" w:lineRule="auto"/>
        <w:ind w:firstLine="720"/>
        <w:outlineLvl w:val="0"/>
        <w:rPr>
          <w:rFonts w:ascii="Arial" w:hAnsi="Arial" w:cs="Arial"/>
        </w:rPr>
      </w:pPr>
      <w:r w:rsidRPr="00A623C0">
        <w:rPr>
          <w:rFonts w:ascii="Arial" w:hAnsi="Arial" w:cs="Arial"/>
        </w:rPr>
        <w:t xml:space="preserve">CHS: </w:t>
      </w:r>
      <w:r w:rsidRPr="00E04267">
        <w:rPr>
          <w:rFonts w:ascii="Arial" w:hAnsi="Arial" w:cs="Arial"/>
        </w:rPr>
        <w:t xml:space="preserve">DNA was extracted from blood samples drawn on all participants at their baseline examination. In 2010, genotyping was performed at the General Clinical Research Center's Phenotyping/Genotyping Laboratory at Cedars-Sinai using the Illumina HumanOmni1-Quad_v1 </w:t>
      </w:r>
      <w:proofErr w:type="spellStart"/>
      <w:r w:rsidRPr="00E04267">
        <w:rPr>
          <w:rFonts w:ascii="Arial" w:hAnsi="Arial" w:cs="Arial"/>
        </w:rPr>
        <w:t>BeadChip</w:t>
      </w:r>
      <w:proofErr w:type="spellEnd"/>
      <w:r w:rsidRPr="00E04267">
        <w:rPr>
          <w:rFonts w:ascii="Arial" w:hAnsi="Arial" w:cs="Arial"/>
        </w:rPr>
        <w:t xml:space="preserve"> system on African-American CHS participants who consented to genetic testing, and had DNA available for genotyping. Genotyping was attempted in 844 participants, and was successful in 823. Participants were excluded if they had a call rate&lt;=95% or if their genotype was discordant with known sex or prior genotyping (to identify possible sample swaps). Genotype quality control excluded SNPs with a call rate &lt; 97%, HWE P &lt; 10-5, &gt; 1 duplicate </w:t>
      </w:r>
      <w:r w:rsidRPr="00E04267">
        <w:rPr>
          <w:rFonts w:ascii="Arial" w:hAnsi="Arial" w:cs="Arial"/>
        </w:rPr>
        <w:lastRenderedPageBreak/>
        <w:t xml:space="preserve">error or Mendelian inconsistency (for reference CEPH trios), heterozygote frequency = 0, which resulted in a final set of 963,248 SNPs (940,567 autosomal). Imputation to the 1,000 Genomes Phase I integrated variant set was completed using IMPUTE version 2.2.2. Variants with insufficient effective minor alleles are filtered prior to analysis, with a threshold set at 5 effective alleles resulting in 14,191,388 variants for analysis. </w:t>
      </w:r>
    </w:p>
    <w:p w14:paraId="27F28A8A" w14:textId="4D726B64" w:rsidR="00721B90" w:rsidRPr="00E04267" w:rsidRDefault="00A623C0" w:rsidP="00721B90">
      <w:pPr>
        <w:widowControl w:val="0"/>
        <w:autoSpaceDE w:val="0"/>
        <w:autoSpaceDN w:val="0"/>
        <w:adjustRightInd w:val="0"/>
        <w:spacing w:after="0" w:line="480" w:lineRule="auto"/>
        <w:ind w:firstLine="720"/>
        <w:outlineLvl w:val="0"/>
        <w:rPr>
          <w:rFonts w:ascii="Arial" w:hAnsi="Arial" w:cs="Arial"/>
        </w:rPr>
      </w:pPr>
      <w:r w:rsidRPr="00A623C0">
        <w:rPr>
          <w:rFonts w:ascii="Arial" w:hAnsi="Arial" w:cs="Arial"/>
        </w:rPr>
        <w:t>FHS:</w:t>
      </w:r>
      <w:r w:rsidR="00721B90" w:rsidRPr="00A623C0">
        <w:rPr>
          <w:rFonts w:ascii="Arial" w:hAnsi="Arial" w:cs="Arial"/>
        </w:rPr>
        <w:t xml:space="preserve"> </w:t>
      </w:r>
      <w:r w:rsidRPr="00A623C0">
        <w:rPr>
          <w:rFonts w:ascii="Arial" w:hAnsi="Arial" w:cs="Arial"/>
        </w:rPr>
        <w:t>Direct genotypes were obtained using the Affymetrix 500K and MIPS 50K chips, and were analyzed at the Affymetrix Core Laboratory. Genotype quality control for these data included filter on SNP level call rate &lt; 95%, individual level call rate &lt; 95%, HWE P &lt; 10-5, and genotypes with Mendel errors were set to missing. The cleaned genotypic data consisted of N= 414 (211 Hispanic, 203 African-American) with 628,076 SNPs passing study specific quality control (QC). SNP coverage from the original GWAS SNP genotyping array was increased through imputation using the 1,000 Genomes Phase 3 integrated variant set completed using the Michigan Imputation Server (https://imputationserver.sph.umich.edu)</w:t>
      </w:r>
      <w:r w:rsidR="00721B90" w:rsidRPr="00D36B1A">
        <w:rPr>
          <w:rFonts w:ascii="Arial" w:hAnsi="Arial" w:cs="Arial"/>
          <w:color w:val="000000"/>
          <w:shd w:val="clear" w:color="auto" w:fill="FFFFFF"/>
        </w:rPr>
        <w:t xml:space="preserve">. </w:t>
      </w:r>
    </w:p>
    <w:p w14:paraId="7C2E28E9" w14:textId="30574039" w:rsidR="00721B90" w:rsidRDefault="00721B90" w:rsidP="00721B90">
      <w:pPr>
        <w:spacing w:after="0" w:line="480" w:lineRule="auto"/>
        <w:jc w:val="both"/>
        <w:outlineLvl w:val="0"/>
        <w:rPr>
          <w:rFonts w:ascii="Arial" w:eastAsia="Times New Roman" w:hAnsi="Arial" w:cs="Arial"/>
          <w:b/>
        </w:rPr>
      </w:pPr>
    </w:p>
    <w:p w14:paraId="1EF90346" w14:textId="77777777" w:rsidR="000A0EE0" w:rsidRDefault="000A0EE0" w:rsidP="00FA2B2E">
      <w:pPr>
        <w:widowControl w:val="0"/>
        <w:autoSpaceDE w:val="0"/>
        <w:autoSpaceDN w:val="0"/>
        <w:adjustRightInd w:val="0"/>
        <w:spacing w:after="0" w:line="480" w:lineRule="auto"/>
        <w:outlineLvl w:val="0"/>
        <w:rPr>
          <w:rFonts w:ascii="Arial" w:hAnsi="Arial" w:cs="Arial"/>
          <w:lang w:val="da-DK"/>
        </w:rPr>
      </w:pPr>
    </w:p>
    <w:p w14:paraId="3F4F8737" w14:textId="4719DBA2" w:rsidR="00703958" w:rsidRDefault="00703958" w:rsidP="00FA2B2E">
      <w:pPr>
        <w:widowControl w:val="0"/>
        <w:autoSpaceDE w:val="0"/>
        <w:autoSpaceDN w:val="0"/>
        <w:adjustRightInd w:val="0"/>
        <w:spacing w:after="0" w:line="480" w:lineRule="auto"/>
        <w:outlineLvl w:val="0"/>
        <w:rPr>
          <w:rFonts w:ascii="Arial" w:hAnsi="Arial" w:cs="Arial"/>
          <w:lang w:val="da-DK"/>
        </w:rPr>
      </w:pPr>
    </w:p>
    <w:p w14:paraId="460BB6F5" w14:textId="4A76BE6D"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48744B3E" w14:textId="307755BA"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6D208FFE" w14:textId="1540F1CC"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7788CF96" w14:textId="56909B56"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04A4172D" w14:textId="2619C02A"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44EDC22E" w14:textId="703F3E04"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453B2174" w14:textId="087F3EAE"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14943D08" w14:textId="15F608A4"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1AB63FEA" w14:textId="5CBEC0A8"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1CF1E645" w14:textId="77777777" w:rsidR="00C34C24" w:rsidRDefault="00C34C24" w:rsidP="00FA2B2E">
      <w:pPr>
        <w:widowControl w:val="0"/>
        <w:autoSpaceDE w:val="0"/>
        <w:autoSpaceDN w:val="0"/>
        <w:adjustRightInd w:val="0"/>
        <w:spacing w:after="0" w:line="480" w:lineRule="auto"/>
        <w:outlineLvl w:val="0"/>
        <w:rPr>
          <w:rFonts w:ascii="Arial" w:hAnsi="Arial" w:cs="Arial"/>
          <w:lang w:val="da-DK"/>
        </w:rPr>
      </w:pPr>
    </w:p>
    <w:p w14:paraId="6A38971A" w14:textId="0B1853B2" w:rsidR="00FA2B2E" w:rsidRPr="00E67CFD" w:rsidRDefault="00FA2B2E" w:rsidP="00FA2B2E">
      <w:pPr>
        <w:widowControl w:val="0"/>
        <w:autoSpaceDE w:val="0"/>
        <w:autoSpaceDN w:val="0"/>
        <w:adjustRightInd w:val="0"/>
        <w:spacing w:after="0" w:line="480" w:lineRule="auto"/>
        <w:outlineLvl w:val="0"/>
        <w:rPr>
          <w:rFonts w:ascii="Arial" w:hAnsi="Arial" w:cs="Arial"/>
          <w:lang w:val="da-DK"/>
        </w:rPr>
      </w:pPr>
      <w:r w:rsidRPr="00E67CFD">
        <w:rPr>
          <w:rFonts w:ascii="Arial" w:hAnsi="Arial" w:cs="Arial"/>
          <w:lang w:val="da-DK"/>
        </w:rPr>
        <w:lastRenderedPageBreak/>
        <w:t>Reference.</w:t>
      </w:r>
    </w:p>
    <w:p w14:paraId="6F06CFF2" w14:textId="77777777" w:rsidR="00FA2B2E" w:rsidRPr="00FA2B2E" w:rsidRDefault="00FA2B2E" w:rsidP="00FA2B2E">
      <w:pPr>
        <w:pStyle w:val="Bibliography"/>
        <w:rPr>
          <w:rFonts w:ascii="Arial" w:hAnsi="Arial" w:cs="Arial"/>
        </w:rPr>
      </w:pPr>
      <w:r>
        <w:rPr>
          <w:rFonts w:ascii="Arial" w:hAnsi="Arial" w:cs="Arial"/>
        </w:rPr>
        <w:fldChar w:fldCharType="begin"/>
      </w:r>
      <w:r w:rsidRPr="00E67CFD">
        <w:rPr>
          <w:rFonts w:ascii="Arial" w:hAnsi="Arial" w:cs="Arial"/>
          <w:lang w:val="da-DK"/>
        </w:rPr>
        <w:instrText xml:space="preserve"> ADDIN ZOTERO_BIBL {"uncited":[],"omitted":[],"custom":[]} CSL_BIBLIOGRAPHY </w:instrText>
      </w:r>
      <w:r>
        <w:rPr>
          <w:rFonts w:ascii="Arial" w:hAnsi="Arial" w:cs="Arial"/>
        </w:rPr>
        <w:fldChar w:fldCharType="separate"/>
      </w:r>
      <w:r w:rsidRPr="00E67CFD">
        <w:rPr>
          <w:rFonts w:ascii="Arial" w:hAnsi="Arial" w:cs="Arial"/>
          <w:lang w:val="da-DK"/>
        </w:rPr>
        <w:t>1.</w:t>
      </w:r>
      <w:r w:rsidRPr="00E67CFD">
        <w:rPr>
          <w:rFonts w:ascii="Arial" w:hAnsi="Arial" w:cs="Arial"/>
          <w:lang w:val="da-DK"/>
        </w:rPr>
        <w:tab/>
        <w:t xml:space="preserve">Bild, D. E. </w:t>
      </w:r>
      <w:r w:rsidRPr="00E67CFD">
        <w:rPr>
          <w:rFonts w:ascii="Arial" w:hAnsi="Arial" w:cs="Arial"/>
          <w:i/>
          <w:iCs/>
          <w:lang w:val="da-DK"/>
        </w:rPr>
        <w:t>et al.</w:t>
      </w:r>
      <w:r w:rsidRPr="00E67CFD">
        <w:rPr>
          <w:rFonts w:ascii="Arial" w:hAnsi="Arial" w:cs="Arial"/>
          <w:lang w:val="da-DK"/>
        </w:rPr>
        <w:t xml:space="preserve"> </w:t>
      </w:r>
      <w:r w:rsidRPr="00FA2B2E">
        <w:rPr>
          <w:rFonts w:ascii="Arial" w:hAnsi="Arial" w:cs="Arial"/>
        </w:rPr>
        <w:t xml:space="preserve">Multi-Ethnic Study of Atherosclerosis: objectives and design. </w:t>
      </w:r>
      <w:r w:rsidRPr="00FA2B2E">
        <w:rPr>
          <w:rFonts w:ascii="Arial" w:hAnsi="Arial" w:cs="Arial"/>
          <w:i/>
          <w:iCs/>
        </w:rPr>
        <w:t>Am. J. Epidemiol.</w:t>
      </w:r>
      <w:r w:rsidRPr="00FA2B2E">
        <w:rPr>
          <w:rFonts w:ascii="Arial" w:hAnsi="Arial" w:cs="Arial"/>
        </w:rPr>
        <w:t xml:space="preserve"> </w:t>
      </w:r>
      <w:r w:rsidRPr="00FA2B2E">
        <w:rPr>
          <w:rFonts w:ascii="Arial" w:hAnsi="Arial" w:cs="Arial"/>
          <w:b/>
          <w:bCs/>
        </w:rPr>
        <w:t>156</w:t>
      </w:r>
      <w:r w:rsidRPr="00FA2B2E">
        <w:rPr>
          <w:rFonts w:ascii="Arial" w:hAnsi="Arial" w:cs="Arial"/>
        </w:rPr>
        <w:t>, 871–881 (2002).</w:t>
      </w:r>
    </w:p>
    <w:p w14:paraId="73647564" w14:textId="77777777" w:rsidR="00FA2B2E" w:rsidRPr="00FA2B2E" w:rsidRDefault="00FA2B2E" w:rsidP="00FA2B2E">
      <w:pPr>
        <w:pStyle w:val="Bibliography"/>
        <w:rPr>
          <w:rFonts w:ascii="Arial" w:hAnsi="Arial" w:cs="Arial"/>
        </w:rPr>
      </w:pPr>
      <w:r w:rsidRPr="00FA2B2E">
        <w:rPr>
          <w:rFonts w:ascii="Arial" w:hAnsi="Arial" w:cs="Arial"/>
        </w:rPr>
        <w:t>2.</w:t>
      </w:r>
      <w:r w:rsidRPr="00FA2B2E">
        <w:rPr>
          <w:rFonts w:ascii="Arial" w:hAnsi="Arial" w:cs="Arial"/>
        </w:rPr>
        <w:tab/>
        <w:t xml:space="preserve">Fried, L. P. </w:t>
      </w:r>
      <w:r w:rsidRPr="00FA2B2E">
        <w:rPr>
          <w:rFonts w:ascii="Arial" w:hAnsi="Arial" w:cs="Arial"/>
          <w:i/>
          <w:iCs/>
        </w:rPr>
        <w:t>et al.</w:t>
      </w:r>
      <w:r w:rsidRPr="00FA2B2E">
        <w:rPr>
          <w:rFonts w:ascii="Arial" w:hAnsi="Arial" w:cs="Arial"/>
        </w:rPr>
        <w:t xml:space="preserve"> The Cardiovascular Health Study: design and rationale. </w:t>
      </w:r>
      <w:r w:rsidRPr="00FA2B2E">
        <w:rPr>
          <w:rFonts w:ascii="Arial" w:hAnsi="Arial" w:cs="Arial"/>
          <w:i/>
          <w:iCs/>
        </w:rPr>
        <w:t>Ann Epidemiol</w:t>
      </w:r>
      <w:r w:rsidRPr="00FA2B2E">
        <w:rPr>
          <w:rFonts w:ascii="Arial" w:hAnsi="Arial" w:cs="Arial"/>
        </w:rPr>
        <w:t xml:space="preserve"> </w:t>
      </w:r>
      <w:r w:rsidRPr="00FA2B2E">
        <w:rPr>
          <w:rFonts w:ascii="Arial" w:hAnsi="Arial" w:cs="Arial"/>
          <w:b/>
          <w:bCs/>
        </w:rPr>
        <w:t>1</w:t>
      </w:r>
      <w:r w:rsidRPr="00FA2B2E">
        <w:rPr>
          <w:rFonts w:ascii="Arial" w:hAnsi="Arial" w:cs="Arial"/>
        </w:rPr>
        <w:t>, 263–276 (1991).</w:t>
      </w:r>
    </w:p>
    <w:p w14:paraId="6FF86E8B" w14:textId="77777777" w:rsidR="00FA2B2E" w:rsidRPr="00FA2B2E" w:rsidRDefault="00FA2B2E" w:rsidP="00FA2B2E">
      <w:pPr>
        <w:pStyle w:val="Bibliography"/>
        <w:rPr>
          <w:rFonts w:ascii="Arial" w:hAnsi="Arial" w:cs="Arial"/>
        </w:rPr>
      </w:pPr>
      <w:r w:rsidRPr="00FA2B2E">
        <w:rPr>
          <w:rFonts w:ascii="Arial" w:hAnsi="Arial" w:cs="Arial"/>
        </w:rPr>
        <w:t>3.</w:t>
      </w:r>
      <w:r w:rsidRPr="00FA2B2E">
        <w:rPr>
          <w:rFonts w:ascii="Arial" w:hAnsi="Arial" w:cs="Arial"/>
        </w:rPr>
        <w:tab/>
        <w:t xml:space="preserve">Mahmood, S. S., Levy, D., Vasan, R. S. &amp; Wang, T. J. The Framingham Heart Study and the epidemiology of cardiovascular disease: a historical perspective. </w:t>
      </w:r>
      <w:r w:rsidRPr="00FA2B2E">
        <w:rPr>
          <w:rFonts w:ascii="Arial" w:hAnsi="Arial" w:cs="Arial"/>
          <w:i/>
          <w:iCs/>
        </w:rPr>
        <w:t>Lancet</w:t>
      </w:r>
      <w:r w:rsidRPr="00FA2B2E">
        <w:rPr>
          <w:rFonts w:ascii="Arial" w:hAnsi="Arial" w:cs="Arial"/>
        </w:rPr>
        <w:t xml:space="preserve"> </w:t>
      </w:r>
      <w:r w:rsidRPr="00FA2B2E">
        <w:rPr>
          <w:rFonts w:ascii="Arial" w:hAnsi="Arial" w:cs="Arial"/>
          <w:b/>
          <w:bCs/>
        </w:rPr>
        <w:t>383</w:t>
      </w:r>
      <w:r w:rsidRPr="00FA2B2E">
        <w:rPr>
          <w:rFonts w:ascii="Arial" w:hAnsi="Arial" w:cs="Arial"/>
        </w:rPr>
        <w:t>, 999–1008 (2014).</w:t>
      </w:r>
    </w:p>
    <w:p w14:paraId="28B5B605" w14:textId="77777777" w:rsidR="00FA2B2E" w:rsidRPr="00FA2B2E" w:rsidRDefault="00FA2B2E" w:rsidP="00FA2B2E">
      <w:pPr>
        <w:pStyle w:val="Bibliography"/>
        <w:rPr>
          <w:rFonts w:ascii="Arial" w:hAnsi="Arial" w:cs="Arial"/>
        </w:rPr>
      </w:pPr>
      <w:r w:rsidRPr="00FA2B2E">
        <w:rPr>
          <w:rFonts w:ascii="Arial" w:hAnsi="Arial" w:cs="Arial"/>
        </w:rPr>
        <w:t>4.</w:t>
      </w:r>
      <w:r w:rsidRPr="00FA2B2E">
        <w:rPr>
          <w:rFonts w:ascii="Arial" w:hAnsi="Arial" w:cs="Arial"/>
        </w:rPr>
        <w:tab/>
        <w:t xml:space="preserve">Cao, J., Schwichtenberg, K. A., Hanson, N. Q. &amp; Tsai, M. Y. Incorporation and clearance of omega-3 fatty acids in erythrocyte membranes and plasma phospholipids. </w:t>
      </w:r>
      <w:r w:rsidRPr="00FA2B2E">
        <w:rPr>
          <w:rFonts w:ascii="Arial" w:hAnsi="Arial" w:cs="Arial"/>
          <w:i/>
          <w:iCs/>
        </w:rPr>
        <w:t>Clin. Chem.</w:t>
      </w:r>
      <w:r w:rsidRPr="00FA2B2E">
        <w:rPr>
          <w:rFonts w:ascii="Arial" w:hAnsi="Arial" w:cs="Arial"/>
        </w:rPr>
        <w:t xml:space="preserve"> </w:t>
      </w:r>
      <w:r w:rsidRPr="00FA2B2E">
        <w:rPr>
          <w:rFonts w:ascii="Arial" w:hAnsi="Arial" w:cs="Arial"/>
          <w:b/>
          <w:bCs/>
        </w:rPr>
        <w:t>52</w:t>
      </w:r>
      <w:r w:rsidRPr="00FA2B2E">
        <w:rPr>
          <w:rFonts w:ascii="Arial" w:hAnsi="Arial" w:cs="Arial"/>
        </w:rPr>
        <w:t>, 2265–2272 (2006).</w:t>
      </w:r>
    </w:p>
    <w:p w14:paraId="5E14AA77" w14:textId="77777777" w:rsidR="00FA2B2E" w:rsidRPr="00FA2B2E" w:rsidRDefault="00FA2B2E" w:rsidP="00FA2B2E">
      <w:pPr>
        <w:pStyle w:val="Bibliography"/>
        <w:rPr>
          <w:rFonts w:ascii="Arial" w:hAnsi="Arial" w:cs="Arial"/>
        </w:rPr>
      </w:pPr>
      <w:r w:rsidRPr="00FA2B2E">
        <w:rPr>
          <w:rFonts w:ascii="Arial" w:hAnsi="Arial" w:cs="Arial"/>
        </w:rPr>
        <w:t>5.</w:t>
      </w:r>
      <w:r w:rsidRPr="00FA2B2E">
        <w:rPr>
          <w:rFonts w:ascii="Arial" w:hAnsi="Arial" w:cs="Arial"/>
        </w:rPr>
        <w:tab/>
        <w:t xml:space="preserve">Folch, J., Lees, M. &amp; Sloane Stanley, G. H. A simple method for the isolation and purification of total lipides from animal tissues. </w:t>
      </w:r>
      <w:r w:rsidRPr="00FA2B2E">
        <w:rPr>
          <w:rFonts w:ascii="Arial" w:hAnsi="Arial" w:cs="Arial"/>
          <w:i/>
          <w:iCs/>
        </w:rPr>
        <w:t>J Biol Chem</w:t>
      </w:r>
      <w:r w:rsidRPr="00FA2B2E">
        <w:rPr>
          <w:rFonts w:ascii="Arial" w:hAnsi="Arial" w:cs="Arial"/>
        </w:rPr>
        <w:t xml:space="preserve"> </w:t>
      </w:r>
      <w:r w:rsidRPr="00FA2B2E">
        <w:rPr>
          <w:rFonts w:ascii="Arial" w:hAnsi="Arial" w:cs="Arial"/>
          <w:b/>
          <w:bCs/>
        </w:rPr>
        <w:t>226</w:t>
      </w:r>
      <w:r w:rsidRPr="00FA2B2E">
        <w:rPr>
          <w:rFonts w:ascii="Arial" w:hAnsi="Arial" w:cs="Arial"/>
        </w:rPr>
        <w:t>, 497–509 (1957).</w:t>
      </w:r>
    </w:p>
    <w:p w14:paraId="59DC9077" w14:textId="77777777" w:rsidR="00FA2B2E" w:rsidRPr="00FA2B2E" w:rsidRDefault="00FA2B2E" w:rsidP="00FA2B2E">
      <w:pPr>
        <w:pStyle w:val="Bibliography"/>
        <w:rPr>
          <w:rFonts w:ascii="Arial" w:hAnsi="Arial" w:cs="Arial"/>
        </w:rPr>
      </w:pPr>
      <w:r w:rsidRPr="00FA2B2E">
        <w:rPr>
          <w:rFonts w:ascii="Arial" w:hAnsi="Arial" w:cs="Arial"/>
        </w:rPr>
        <w:t>6.</w:t>
      </w:r>
      <w:r w:rsidRPr="00FA2B2E">
        <w:rPr>
          <w:rFonts w:ascii="Arial" w:hAnsi="Arial" w:cs="Arial"/>
        </w:rPr>
        <w:tab/>
        <w:t xml:space="preserve">Lepage, G. &amp; Roy, C. C. Direct transesterification of all classes of lipids in a one-step reaction. </w:t>
      </w:r>
      <w:r w:rsidRPr="00FA2B2E">
        <w:rPr>
          <w:rFonts w:ascii="Arial" w:hAnsi="Arial" w:cs="Arial"/>
          <w:i/>
          <w:iCs/>
        </w:rPr>
        <w:t>J Lipid Res</w:t>
      </w:r>
      <w:r w:rsidRPr="00FA2B2E">
        <w:rPr>
          <w:rFonts w:ascii="Arial" w:hAnsi="Arial" w:cs="Arial"/>
        </w:rPr>
        <w:t xml:space="preserve"> </w:t>
      </w:r>
      <w:r w:rsidRPr="00FA2B2E">
        <w:rPr>
          <w:rFonts w:ascii="Arial" w:hAnsi="Arial" w:cs="Arial"/>
          <w:b/>
          <w:bCs/>
        </w:rPr>
        <w:t>27</w:t>
      </w:r>
      <w:r w:rsidRPr="00FA2B2E">
        <w:rPr>
          <w:rFonts w:ascii="Arial" w:hAnsi="Arial" w:cs="Arial"/>
        </w:rPr>
        <w:t>, 114–120 (1986).</w:t>
      </w:r>
    </w:p>
    <w:p w14:paraId="7D9EFB05" w14:textId="77777777" w:rsidR="00FA2B2E" w:rsidRPr="00FA2B2E" w:rsidRDefault="00FA2B2E" w:rsidP="00FA2B2E">
      <w:pPr>
        <w:pStyle w:val="Bibliography"/>
        <w:rPr>
          <w:rFonts w:ascii="Arial" w:hAnsi="Arial" w:cs="Arial"/>
        </w:rPr>
      </w:pPr>
      <w:r w:rsidRPr="00FA2B2E">
        <w:rPr>
          <w:rFonts w:ascii="Arial" w:hAnsi="Arial" w:cs="Arial"/>
        </w:rPr>
        <w:t>7.</w:t>
      </w:r>
      <w:r w:rsidRPr="00FA2B2E">
        <w:rPr>
          <w:rFonts w:ascii="Arial" w:hAnsi="Arial" w:cs="Arial"/>
        </w:rPr>
        <w:tab/>
        <w:t xml:space="preserve">Mozaffarian, D. </w:t>
      </w:r>
      <w:r w:rsidRPr="00FA2B2E">
        <w:rPr>
          <w:rFonts w:ascii="Arial" w:hAnsi="Arial" w:cs="Arial"/>
          <w:i/>
          <w:iCs/>
        </w:rPr>
        <w:t>et al.</w:t>
      </w:r>
      <w:r w:rsidRPr="00FA2B2E">
        <w:rPr>
          <w:rFonts w:ascii="Arial" w:hAnsi="Arial" w:cs="Arial"/>
        </w:rPr>
        <w:t xml:space="preserve"> Circulating palmitoleic acid and risk of metabolic abnormalities and new-onset diabetes. </w:t>
      </w:r>
      <w:r w:rsidRPr="00FA2B2E">
        <w:rPr>
          <w:rFonts w:ascii="Arial" w:hAnsi="Arial" w:cs="Arial"/>
          <w:i/>
          <w:iCs/>
        </w:rPr>
        <w:t>Am J Clin Nutr</w:t>
      </w:r>
      <w:r w:rsidRPr="00FA2B2E">
        <w:rPr>
          <w:rFonts w:ascii="Arial" w:hAnsi="Arial" w:cs="Arial"/>
        </w:rPr>
        <w:t xml:space="preserve"> </w:t>
      </w:r>
      <w:r w:rsidRPr="00FA2B2E">
        <w:rPr>
          <w:rFonts w:ascii="Arial" w:hAnsi="Arial" w:cs="Arial"/>
          <w:b/>
          <w:bCs/>
        </w:rPr>
        <w:t>92</w:t>
      </w:r>
      <w:r w:rsidRPr="00FA2B2E">
        <w:rPr>
          <w:rFonts w:ascii="Arial" w:hAnsi="Arial" w:cs="Arial"/>
        </w:rPr>
        <w:t>, 1350–1358 (2010).</w:t>
      </w:r>
    </w:p>
    <w:p w14:paraId="5710EE32" w14:textId="77777777" w:rsidR="00FA2B2E" w:rsidRPr="00FA2B2E" w:rsidRDefault="00FA2B2E" w:rsidP="00FA2B2E">
      <w:pPr>
        <w:pStyle w:val="Bibliography"/>
        <w:rPr>
          <w:rFonts w:ascii="Arial" w:hAnsi="Arial" w:cs="Arial"/>
        </w:rPr>
      </w:pPr>
      <w:r w:rsidRPr="00FA2B2E">
        <w:rPr>
          <w:rFonts w:ascii="Arial" w:hAnsi="Arial" w:cs="Arial"/>
        </w:rPr>
        <w:t>8.</w:t>
      </w:r>
      <w:r w:rsidRPr="00FA2B2E">
        <w:rPr>
          <w:rFonts w:ascii="Arial" w:hAnsi="Arial" w:cs="Arial"/>
        </w:rPr>
        <w:tab/>
        <w:t xml:space="preserve">Harris, W. S., Pottala, J. V., Vasan, R. S., Larson, M. G. &amp; Robins, S. J. Changes in erythrocyte membrane trans and marine fatty acids between 1999 and 2006 in older Americans. </w:t>
      </w:r>
      <w:r w:rsidRPr="00FA2B2E">
        <w:rPr>
          <w:rFonts w:ascii="Arial" w:hAnsi="Arial" w:cs="Arial"/>
          <w:i/>
          <w:iCs/>
        </w:rPr>
        <w:t>J Nutr</w:t>
      </w:r>
      <w:r w:rsidRPr="00FA2B2E">
        <w:rPr>
          <w:rFonts w:ascii="Arial" w:hAnsi="Arial" w:cs="Arial"/>
        </w:rPr>
        <w:t xml:space="preserve"> </w:t>
      </w:r>
      <w:r w:rsidRPr="00FA2B2E">
        <w:rPr>
          <w:rFonts w:ascii="Arial" w:hAnsi="Arial" w:cs="Arial"/>
          <w:b/>
          <w:bCs/>
        </w:rPr>
        <w:t>142</w:t>
      </w:r>
      <w:r w:rsidRPr="00FA2B2E">
        <w:rPr>
          <w:rFonts w:ascii="Arial" w:hAnsi="Arial" w:cs="Arial"/>
        </w:rPr>
        <w:t>, 1297–1303 (2012).</w:t>
      </w:r>
    </w:p>
    <w:p w14:paraId="4DF6E2BE" w14:textId="5D155C77" w:rsidR="00FA2B2E" w:rsidRPr="00E04267" w:rsidRDefault="00FA2B2E" w:rsidP="00FA2B2E">
      <w:pPr>
        <w:widowControl w:val="0"/>
        <w:autoSpaceDE w:val="0"/>
        <w:autoSpaceDN w:val="0"/>
        <w:adjustRightInd w:val="0"/>
        <w:spacing w:after="0" w:line="480" w:lineRule="auto"/>
        <w:outlineLvl w:val="0"/>
        <w:rPr>
          <w:rFonts w:ascii="Arial" w:hAnsi="Arial" w:cs="Arial"/>
        </w:rPr>
      </w:pPr>
      <w:r>
        <w:rPr>
          <w:rFonts w:ascii="Arial" w:hAnsi="Arial" w:cs="Arial"/>
        </w:rPr>
        <w:fldChar w:fldCharType="end"/>
      </w:r>
    </w:p>
    <w:p w14:paraId="5D449933" w14:textId="77777777" w:rsidR="00A8785F" w:rsidRPr="00A8785F" w:rsidRDefault="00A8785F" w:rsidP="00A8785F"/>
    <w:p w14:paraId="5FE4C56B" w14:textId="77777777" w:rsidR="00A8785F" w:rsidRPr="00A8785F" w:rsidRDefault="00A8785F" w:rsidP="00A8785F">
      <w:pPr>
        <w:spacing w:after="0" w:line="480" w:lineRule="auto"/>
        <w:rPr>
          <w:rFonts w:ascii="Arial" w:hAnsi="Arial" w:cs="Arial"/>
          <w:b/>
          <w:bCs/>
          <w:sz w:val="24"/>
          <w:szCs w:val="24"/>
        </w:rPr>
      </w:pPr>
    </w:p>
    <w:p w14:paraId="29F4B6D8" w14:textId="77777777" w:rsidR="00DE21DF" w:rsidRDefault="00DE21DF" w:rsidP="005A3709">
      <w:pPr>
        <w:rPr>
          <w:rFonts w:ascii="Arial" w:hAnsi="Arial" w:cs="Arial"/>
          <w:b/>
          <w:bCs/>
        </w:rPr>
      </w:pPr>
    </w:p>
    <w:p w14:paraId="13296AF9" w14:textId="77777777" w:rsidR="00DE21DF" w:rsidRDefault="00DE21DF" w:rsidP="005A3709">
      <w:pPr>
        <w:rPr>
          <w:rFonts w:ascii="Arial" w:hAnsi="Arial" w:cs="Arial"/>
          <w:b/>
          <w:bCs/>
        </w:rPr>
      </w:pPr>
    </w:p>
    <w:p w14:paraId="45190FAE" w14:textId="19D9DE48" w:rsidR="005A3709" w:rsidRPr="00E04267" w:rsidRDefault="005A3709" w:rsidP="005A3709">
      <w:pPr>
        <w:rPr>
          <w:rFonts w:ascii="Arial" w:hAnsi="Arial" w:cs="Arial"/>
          <w:b/>
          <w:bCs/>
        </w:rPr>
      </w:pPr>
      <w:r w:rsidRPr="00E04267">
        <w:rPr>
          <w:rFonts w:ascii="Arial" w:hAnsi="Arial" w:cs="Arial"/>
          <w:b/>
          <w:bCs/>
        </w:rPr>
        <w:lastRenderedPageBreak/>
        <w:t>Figure S1. Manhattan plot of meta-analysis of GWAS for PUFAs in the Hispanic Americans.</w:t>
      </w:r>
    </w:p>
    <w:p w14:paraId="6D7B4E11" w14:textId="77777777" w:rsidR="005A3709" w:rsidRPr="00ED7B5C" w:rsidRDefault="005A3709" w:rsidP="005A3709">
      <w:pPr>
        <w:rPr>
          <w:rFonts w:ascii="Arial" w:hAnsi="Arial" w:cs="Arial"/>
          <w:sz w:val="18"/>
          <w:szCs w:val="18"/>
        </w:rPr>
      </w:pPr>
      <w:r w:rsidRPr="00ED7B5C">
        <w:rPr>
          <w:rFonts w:ascii="Arial" w:hAnsi="Arial" w:cs="Arial"/>
          <w:noProof/>
          <w:sz w:val="18"/>
          <w:szCs w:val="18"/>
          <w:lang w:eastAsia="en-US"/>
        </w:rPr>
        <w:drawing>
          <wp:inline distT="0" distB="0" distL="0" distR="0" wp14:anchorId="522D7F75" wp14:editId="7D83EB2E">
            <wp:extent cx="5816715" cy="7342360"/>
            <wp:effectExtent l="0" t="0" r="0" b="0"/>
            <wp:docPr id="7" name="Picture 4">
              <a:extLst xmlns:a="http://schemas.openxmlformats.org/drawingml/2006/main">
                <a:ext uri="{FF2B5EF4-FFF2-40B4-BE49-F238E27FC236}">
                  <a16:creationId xmlns:a16="http://schemas.microsoft.com/office/drawing/2014/main" id="{8680D272-14FA-42E2-81D2-58CABEB76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80D272-14FA-42E2-81D2-58CABEB762AB}"/>
                        </a:ext>
                      </a:extLst>
                    </pic:cNvPr>
                    <pic:cNvPicPr>
                      <a:picLocks noChangeAspect="1"/>
                    </pic:cNvPicPr>
                  </pic:nvPicPr>
                  <pic:blipFill>
                    <a:blip r:embed="rId8"/>
                    <a:stretch>
                      <a:fillRect/>
                    </a:stretch>
                  </pic:blipFill>
                  <pic:spPr>
                    <a:xfrm>
                      <a:off x="0" y="0"/>
                      <a:ext cx="5821915" cy="7348924"/>
                    </a:xfrm>
                    <a:prstGeom prst="rect">
                      <a:avLst/>
                    </a:prstGeom>
                  </pic:spPr>
                </pic:pic>
              </a:graphicData>
            </a:graphic>
          </wp:inline>
        </w:drawing>
      </w:r>
    </w:p>
    <w:p w14:paraId="2E6EC36F" w14:textId="22B24262" w:rsidR="005A3709" w:rsidRPr="00ED7B5C" w:rsidRDefault="005A3709" w:rsidP="005A3709">
      <w:pPr>
        <w:rPr>
          <w:rFonts w:ascii="Arial" w:hAnsi="Arial" w:cs="Arial"/>
          <w:sz w:val="18"/>
          <w:szCs w:val="18"/>
        </w:rPr>
      </w:pPr>
      <w:r w:rsidRPr="00E04267">
        <w:rPr>
          <w:rFonts w:ascii="Arial" w:hAnsi="Arial" w:cs="Arial"/>
          <w:sz w:val="18"/>
          <w:szCs w:val="18"/>
        </w:rPr>
        <w:t>Figure S1 shows the Manhattan plot for PUFAs in the Hispanic Americans.</w:t>
      </w:r>
      <w:r w:rsidR="00BB194E">
        <w:rPr>
          <w:rFonts w:ascii="Arial" w:hAnsi="Arial" w:cs="Arial"/>
          <w:sz w:val="18"/>
          <w:szCs w:val="18"/>
        </w:rPr>
        <w:t xml:space="preserve"> </w:t>
      </w:r>
      <w:r w:rsidR="00BB194E" w:rsidRPr="00BB194E">
        <w:rPr>
          <w:rFonts w:ascii="Arial" w:hAnsi="Arial" w:cs="Arial"/>
          <w:sz w:val="18"/>
          <w:szCs w:val="18"/>
        </w:rPr>
        <w:t>Red line refers to the cut off (–log10(5 x 10-8)) of genome-wide significant variants.</w:t>
      </w:r>
    </w:p>
    <w:p w14:paraId="6A4C4A78" w14:textId="2BA96120" w:rsidR="005A3709" w:rsidRPr="00E04267" w:rsidRDefault="005A3709" w:rsidP="005A3709">
      <w:pPr>
        <w:rPr>
          <w:rFonts w:ascii="Arial" w:hAnsi="Arial" w:cs="Arial"/>
          <w:b/>
          <w:bCs/>
        </w:rPr>
      </w:pPr>
      <w:r w:rsidRPr="00E04267">
        <w:rPr>
          <w:rFonts w:ascii="Arial" w:hAnsi="Arial" w:cs="Arial"/>
          <w:b/>
          <w:bCs/>
        </w:rPr>
        <w:lastRenderedPageBreak/>
        <w:t>Figure S2. Manhattan plot of meta-analysis of GWAS for PUFAs in the African American population.</w:t>
      </w:r>
    </w:p>
    <w:p w14:paraId="0BD1D2EF" w14:textId="01C68ED5" w:rsidR="005A3709" w:rsidRPr="00ED7B5C" w:rsidRDefault="005A3709" w:rsidP="005A3709">
      <w:pPr>
        <w:rPr>
          <w:rFonts w:ascii="Arial" w:hAnsi="Arial" w:cs="Arial"/>
          <w:sz w:val="18"/>
          <w:szCs w:val="18"/>
        </w:rPr>
      </w:pPr>
      <w:r w:rsidRPr="00ED7B5C">
        <w:rPr>
          <w:rFonts w:ascii="Arial" w:hAnsi="Arial" w:cs="Arial"/>
          <w:noProof/>
          <w:sz w:val="18"/>
          <w:szCs w:val="18"/>
          <w:lang w:eastAsia="en-US"/>
        </w:rPr>
        <w:drawing>
          <wp:inline distT="0" distB="0" distL="0" distR="0" wp14:anchorId="579836B5" wp14:editId="05778F5B">
            <wp:extent cx="5943600" cy="5948045"/>
            <wp:effectExtent l="0" t="0" r="0" b="0"/>
            <wp:docPr id="2" name="Picture 4">
              <a:extLst xmlns:a="http://schemas.openxmlformats.org/drawingml/2006/main">
                <a:ext uri="{FF2B5EF4-FFF2-40B4-BE49-F238E27FC236}">
                  <a16:creationId xmlns:a16="http://schemas.microsoft.com/office/drawing/2014/main" id="{0C4311D9-1AFD-4AA4-9EA6-7859EF9F4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4311D9-1AFD-4AA4-9EA6-7859EF9F4B99}"/>
                        </a:ext>
                      </a:extLst>
                    </pic:cNvPr>
                    <pic:cNvPicPr>
                      <a:picLocks noChangeAspect="1"/>
                    </pic:cNvPicPr>
                  </pic:nvPicPr>
                  <pic:blipFill>
                    <a:blip r:embed="rId9"/>
                    <a:stretch>
                      <a:fillRect/>
                    </a:stretch>
                  </pic:blipFill>
                  <pic:spPr>
                    <a:xfrm>
                      <a:off x="0" y="0"/>
                      <a:ext cx="5943600" cy="5948045"/>
                    </a:xfrm>
                    <a:prstGeom prst="rect">
                      <a:avLst/>
                    </a:prstGeom>
                  </pic:spPr>
                </pic:pic>
              </a:graphicData>
            </a:graphic>
          </wp:inline>
        </w:drawing>
      </w:r>
      <w:r w:rsidRPr="00E04267">
        <w:rPr>
          <w:rFonts w:ascii="Arial" w:hAnsi="Arial" w:cs="Arial"/>
          <w:sz w:val="18"/>
          <w:szCs w:val="18"/>
        </w:rPr>
        <w:t>Figure S2 shows the Manhattan plot for PUFAs in the African Americans.</w:t>
      </w:r>
      <w:r w:rsidR="00BB194E">
        <w:rPr>
          <w:rFonts w:ascii="Arial" w:hAnsi="Arial" w:cs="Arial"/>
          <w:sz w:val="18"/>
          <w:szCs w:val="18"/>
        </w:rPr>
        <w:t xml:space="preserve"> Red line refers to the cut off (</w:t>
      </w:r>
      <w:r w:rsidR="00BB194E" w:rsidRPr="00BB194E">
        <w:rPr>
          <w:rFonts w:ascii="Arial" w:hAnsi="Arial" w:cs="Arial"/>
          <w:sz w:val="18"/>
          <w:szCs w:val="18"/>
        </w:rPr>
        <w:t>–log10(5 x 10-8</w:t>
      </w:r>
      <w:r w:rsidR="00BB194E">
        <w:rPr>
          <w:rFonts w:ascii="Arial" w:hAnsi="Arial" w:cs="Arial"/>
          <w:sz w:val="18"/>
          <w:szCs w:val="18"/>
        </w:rPr>
        <w:t xml:space="preserve">)) of genome-wide significant variants. </w:t>
      </w:r>
    </w:p>
    <w:p w14:paraId="0B95DF89" w14:textId="77777777" w:rsidR="005A3709" w:rsidRPr="00ED7B5C" w:rsidRDefault="005A3709" w:rsidP="005A3709">
      <w:pPr>
        <w:rPr>
          <w:rFonts w:ascii="Arial" w:hAnsi="Arial" w:cs="Arial"/>
          <w:sz w:val="18"/>
          <w:szCs w:val="18"/>
        </w:rPr>
      </w:pPr>
    </w:p>
    <w:p w14:paraId="0FAD53E7" w14:textId="77777777" w:rsidR="005A3709" w:rsidRPr="00ED7B5C" w:rsidRDefault="005A3709" w:rsidP="005A3709">
      <w:pPr>
        <w:rPr>
          <w:rFonts w:ascii="Arial" w:hAnsi="Arial" w:cs="Arial"/>
          <w:sz w:val="18"/>
          <w:szCs w:val="18"/>
        </w:rPr>
      </w:pPr>
    </w:p>
    <w:p w14:paraId="07788330" w14:textId="77777777" w:rsidR="005A3709" w:rsidRPr="00ED7B5C" w:rsidRDefault="005A3709" w:rsidP="005A3709">
      <w:pPr>
        <w:rPr>
          <w:rFonts w:ascii="Arial" w:hAnsi="Arial" w:cs="Arial"/>
          <w:sz w:val="18"/>
          <w:szCs w:val="18"/>
        </w:rPr>
      </w:pPr>
    </w:p>
    <w:p w14:paraId="296E6FB0" w14:textId="77777777" w:rsidR="00FE0953" w:rsidRDefault="00FE0953" w:rsidP="005A3709">
      <w:pPr>
        <w:rPr>
          <w:rFonts w:ascii="Arial" w:hAnsi="Arial" w:cs="Arial"/>
          <w:b/>
          <w:bCs/>
        </w:rPr>
      </w:pPr>
    </w:p>
    <w:p w14:paraId="28B140B0" w14:textId="77777777" w:rsidR="00FE0953" w:rsidRDefault="00FE0953" w:rsidP="005A3709">
      <w:pPr>
        <w:rPr>
          <w:rFonts w:ascii="Arial" w:hAnsi="Arial" w:cs="Arial"/>
          <w:b/>
          <w:bCs/>
        </w:rPr>
      </w:pPr>
    </w:p>
    <w:p w14:paraId="23B8614B" w14:textId="0CBF79D3" w:rsidR="005A3709" w:rsidRPr="00FE0953" w:rsidRDefault="005A3709" w:rsidP="005A3709">
      <w:pPr>
        <w:rPr>
          <w:rFonts w:ascii="Arial" w:hAnsi="Arial" w:cs="Arial"/>
          <w:b/>
          <w:bCs/>
        </w:rPr>
      </w:pPr>
      <w:r w:rsidRPr="00FE0953">
        <w:rPr>
          <w:rFonts w:ascii="Arial" w:hAnsi="Arial" w:cs="Arial"/>
          <w:b/>
          <w:bCs/>
        </w:rPr>
        <w:lastRenderedPageBreak/>
        <w:t xml:space="preserve">Figure S3. Local association plot of </w:t>
      </w:r>
      <w:r w:rsidR="00FE0953">
        <w:rPr>
          <w:rFonts w:ascii="Arial" w:hAnsi="Arial" w:cs="Arial"/>
          <w:b/>
          <w:bCs/>
        </w:rPr>
        <w:t>most significant</w:t>
      </w:r>
      <w:r w:rsidR="00FE0953" w:rsidRPr="00FE0953">
        <w:rPr>
          <w:rFonts w:ascii="Arial" w:hAnsi="Arial" w:cs="Arial"/>
          <w:b/>
          <w:bCs/>
        </w:rPr>
        <w:t xml:space="preserve"> </w:t>
      </w:r>
      <w:r w:rsidRPr="00FE0953">
        <w:rPr>
          <w:rFonts w:ascii="Arial" w:hAnsi="Arial" w:cs="Arial"/>
          <w:b/>
          <w:bCs/>
        </w:rPr>
        <w:t xml:space="preserve">for </w:t>
      </w:r>
      <w:r w:rsidR="00FE0953">
        <w:rPr>
          <w:rFonts w:ascii="Arial" w:hAnsi="Arial" w:cs="Arial"/>
          <w:b/>
          <w:bCs/>
        </w:rPr>
        <w:t xml:space="preserve">each </w:t>
      </w:r>
      <w:r w:rsidRPr="00FE0953">
        <w:rPr>
          <w:rFonts w:ascii="Arial" w:hAnsi="Arial" w:cs="Arial"/>
          <w:b/>
          <w:bCs/>
        </w:rPr>
        <w:t xml:space="preserve">PUFAs </w:t>
      </w:r>
      <w:r w:rsidR="00FE0953">
        <w:rPr>
          <w:rFonts w:ascii="Arial" w:hAnsi="Arial" w:cs="Arial"/>
          <w:b/>
          <w:bCs/>
        </w:rPr>
        <w:t xml:space="preserve">on each chromosome </w:t>
      </w:r>
      <w:r w:rsidRPr="00FE0953">
        <w:rPr>
          <w:rFonts w:ascii="Arial" w:hAnsi="Arial" w:cs="Arial"/>
          <w:b/>
          <w:bCs/>
        </w:rPr>
        <w:t xml:space="preserve">in the Hispanic </w:t>
      </w:r>
      <w:r w:rsidR="00827F4C" w:rsidRPr="00FE0953">
        <w:rPr>
          <w:rFonts w:ascii="Arial" w:hAnsi="Arial" w:cs="Arial"/>
          <w:b/>
          <w:bCs/>
        </w:rPr>
        <w:t>Americans.</w:t>
      </w:r>
    </w:p>
    <w:p w14:paraId="7379391C" w14:textId="77777777" w:rsidR="005A3709" w:rsidRPr="00ED7B5C" w:rsidRDefault="005A3709" w:rsidP="005A3709">
      <w:pPr>
        <w:rPr>
          <w:rStyle w:val="Hyperlink"/>
          <w:rFonts w:ascii="Arial" w:hAnsi="Arial" w:cs="Arial"/>
          <w:color w:val="auto"/>
          <w:sz w:val="18"/>
          <w:szCs w:val="18"/>
        </w:rPr>
      </w:pPr>
      <w:r w:rsidRPr="00FE0953">
        <w:rPr>
          <w:rStyle w:val="Hyperlink"/>
          <w:rFonts w:ascii="Arial" w:hAnsi="Arial" w:cs="Arial"/>
          <w:noProof/>
          <w:color w:val="auto"/>
          <w:sz w:val="18"/>
          <w:szCs w:val="18"/>
          <w:u w:val="none"/>
          <w:lang w:eastAsia="en-US"/>
        </w:rPr>
        <w:drawing>
          <wp:inline distT="0" distB="0" distL="0" distR="0" wp14:anchorId="56C3421E" wp14:editId="0B7679D3">
            <wp:extent cx="4967756" cy="718392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481" cy="7211002"/>
                    </a:xfrm>
                    <a:prstGeom prst="rect">
                      <a:avLst/>
                    </a:prstGeom>
                    <a:noFill/>
                  </pic:spPr>
                </pic:pic>
              </a:graphicData>
            </a:graphic>
          </wp:inline>
        </w:drawing>
      </w:r>
    </w:p>
    <w:p w14:paraId="5A9F53EA" w14:textId="3C73F687" w:rsidR="00DE21DF" w:rsidRPr="00E04267" w:rsidRDefault="005A3709" w:rsidP="00DE21DF">
      <w:pPr>
        <w:rPr>
          <w:rFonts w:ascii="Arial" w:hAnsi="Arial" w:cs="Arial"/>
          <w:sz w:val="18"/>
          <w:szCs w:val="18"/>
        </w:rPr>
      </w:pPr>
      <w:r w:rsidRPr="00E04267">
        <w:rPr>
          <w:rFonts w:ascii="Arial" w:hAnsi="Arial" w:cs="Arial"/>
          <w:sz w:val="18"/>
          <w:szCs w:val="18"/>
        </w:rPr>
        <w:t xml:space="preserve">Figure S3 shows </w:t>
      </w:r>
      <w:r w:rsidR="00FE0953" w:rsidRPr="00FE0953">
        <w:rPr>
          <w:rFonts w:ascii="Arial" w:hAnsi="Arial" w:cs="Arial"/>
          <w:sz w:val="18"/>
          <w:szCs w:val="18"/>
        </w:rPr>
        <w:t>Local association plot of most significant for each PUFAs on each chromosome in the Hispanic Americans</w:t>
      </w:r>
      <w:r w:rsidRPr="00E04267">
        <w:rPr>
          <w:rFonts w:ascii="Arial" w:hAnsi="Arial" w:cs="Arial"/>
          <w:sz w:val="18"/>
          <w:szCs w:val="18"/>
        </w:rPr>
        <w:t xml:space="preserve"> in the Hispanic Americans. </w:t>
      </w:r>
      <w:r w:rsidR="00DE21DF">
        <w:rPr>
          <w:rFonts w:ascii="Arial" w:hAnsi="Arial" w:cs="Arial"/>
          <w:sz w:val="18"/>
          <w:szCs w:val="18"/>
        </w:rPr>
        <w:t>R</w:t>
      </w:r>
      <w:r w:rsidR="00DE21DF" w:rsidRPr="00DA211E">
        <w:rPr>
          <w:rFonts w:ascii="Arial" w:hAnsi="Arial" w:cs="Arial"/>
          <w:sz w:val="18"/>
          <w:szCs w:val="18"/>
        </w:rPr>
        <w:t>eference panel used to color LD</w:t>
      </w:r>
      <w:r w:rsidR="00DE21DF">
        <w:rPr>
          <w:rFonts w:ascii="Arial" w:hAnsi="Arial" w:cs="Arial"/>
          <w:sz w:val="18"/>
          <w:szCs w:val="18"/>
        </w:rPr>
        <w:t xml:space="preserve"> is 1000 Genomes Americas (AMR) and t</w:t>
      </w:r>
      <w:r w:rsidR="00DE21DF" w:rsidRPr="009E7D7F">
        <w:rPr>
          <w:rFonts w:ascii="Arial" w:hAnsi="Arial" w:cs="Arial" w:hint="eastAsia"/>
          <w:sz w:val="18"/>
          <w:szCs w:val="18"/>
        </w:rPr>
        <w:t>he color scheme is red for strong linkage disequilibrium (LD; r2</w:t>
      </w:r>
      <w:r w:rsidR="00DE21DF" w:rsidRPr="009E7D7F">
        <w:rPr>
          <w:rFonts w:ascii="Arial" w:hAnsi="Arial" w:cs="Arial" w:hint="eastAsia"/>
          <w:sz w:val="18"/>
          <w:szCs w:val="18"/>
        </w:rPr>
        <w:t>≥</w:t>
      </w:r>
      <w:r w:rsidR="00DE21DF" w:rsidRPr="009E7D7F">
        <w:rPr>
          <w:rFonts w:ascii="Arial" w:hAnsi="Arial" w:cs="Arial" w:hint="eastAsia"/>
          <w:sz w:val="18"/>
          <w:szCs w:val="18"/>
        </w:rPr>
        <w:t xml:space="preserve">0.8) and </w:t>
      </w:r>
      <w:r w:rsidR="00DE21DF">
        <w:rPr>
          <w:rFonts w:ascii="Arial" w:hAnsi="Arial" w:cs="Arial"/>
          <w:sz w:val="18"/>
          <w:szCs w:val="18"/>
        </w:rPr>
        <w:t>blue</w:t>
      </w:r>
      <w:r w:rsidR="00DE21DF" w:rsidRPr="009E7D7F">
        <w:rPr>
          <w:rFonts w:ascii="Arial" w:hAnsi="Arial" w:cs="Arial" w:hint="eastAsia"/>
          <w:sz w:val="18"/>
          <w:szCs w:val="18"/>
        </w:rPr>
        <w:t xml:space="preserve"> color for lower LD</w:t>
      </w:r>
      <w:r w:rsidR="00DE21DF">
        <w:rPr>
          <w:rFonts w:ascii="Arial" w:hAnsi="Arial" w:cs="Arial"/>
          <w:sz w:val="18"/>
          <w:szCs w:val="18"/>
        </w:rPr>
        <w:t>.</w:t>
      </w:r>
    </w:p>
    <w:p w14:paraId="2A90E7A9" w14:textId="00DF13C7" w:rsidR="005A3709" w:rsidRPr="00FE0953" w:rsidRDefault="005A3709" w:rsidP="005A3709">
      <w:pPr>
        <w:rPr>
          <w:rStyle w:val="Hyperlink"/>
          <w:rFonts w:ascii="Arial" w:hAnsi="Arial" w:cs="Arial"/>
          <w:b/>
          <w:bCs/>
          <w:color w:val="000000" w:themeColor="text1"/>
          <w:u w:val="none"/>
        </w:rPr>
      </w:pPr>
      <w:r w:rsidRPr="00FE0953">
        <w:rPr>
          <w:rStyle w:val="Hyperlink"/>
          <w:rFonts w:ascii="Arial" w:hAnsi="Arial" w:cs="Arial"/>
          <w:b/>
          <w:bCs/>
          <w:color w:val="000000" w:themeColor="text1"/>
          <w:u w:val="none"/>
        </w:rPr>
        <w:lastRenderedPageBreak/>
        <w:t xml:space="preserve">Figure S4. </w:t>
      </w:r>
      <w:r w:rsidR="00FE0953" w:rsidRPr="00FE0953">
        <w:rPr>
          <w:rFonts w:ascii="Arial" w:hAnsi="Arial" w:cs="Arial"/>
          <w:b/>
          <w:bCs/>
        </w:rPr>
        <w:t>Local association plot of most significant for each PUFAs on each chromosome</w:t>
      </w:r>
      <w:r w:rsidRPr="00FE0953">
        <w:rPr>
          <w:rStyle w:val="Hyperlink"/>
          <w:rFonts w:ascii="Arial" w:hAnsi="Arial" w:cs="Arial"/>
          <w:b/>
          <w:bCs/>
          <w:color w:val="000000" w:themeColor="text1"/>
          <w:u w:val="none"/>
        </w:rPr>
        <w:t xml:space="preserve"> in the African Americans.</w:t>
      </w:r>
    </w:p>
    <w:p w14:paraId="141406C7" w14:textId="77777777" w:rsidR="005A3709" w:rsidRPr="00ED7B5C" w:rsidRDefault="005A3709" w:rsidP="005A3709">
      <w:pPr>
        <w:rPr>
          <w:rFonts w:ascii="Arial" w:hAnsi="Arial" w:cs="Arial"/>
          <w:b/>
          <w:bCs/>
          <w:sz w:val="18"/>
          <w:szCs w:val="18"/>
        </w:rPr>
      </w:pPr>
      <w:r w:rsidRPr="00ED7B5C">
        <w:rPr>
          <w:rFonts w:ascii="Arial" w:hAnsi="Arial" w:cs="Arial"/>
          <w:b/>
          <w:bCs/>
          <w:noProof/>
          <w:sz w:val="18"/>
          <w:szCs w:val="18"/>
          <w:lang w:eastAsia="en-US"/>
        </w:rPr>
        <w:drawing>
          <wp:inline distT="0" distB="0" distL="0" distR="0" wp14:anchorId="076F7B45" wp14:editId="00C0FC67">
            <wp:extent cx="4883249" cy="711602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7066" cy="7150730"/>
                    </a:xfrm>
                    <a:prstGeom prst="rect">
                      <a:avLst/>
                    </a:prstGeom>
                    <a:noFill/>
                  </pic:spPr>
                </pic:pic>
              </a:graphicData>
            </a:graphic>
          </wp:inline>
        </w:drawing>
      </w:r>
    </w:p>
    <w:p w14:paraId="4FBA7C9E" w14:textId="2068958E" w:rsidR="009F31F4" w:rsidRPr="005A3709" w:rsidRDefault="005A3709">
      <w:pPr>
        <w:rPr>
          <w:rFonts w:ascii="Arial" w:hAnsi="Arial" w:cs="Arial"/>
          <w:sz w:val="18"/>
          <w:szCs w:val="18"/>
        </w:rPr>
      </w:pPr>
      <w:r w:rsidRPr="00E04267">
        <w:rPr>
          <w:rFonts w:ascii="Arial" w:hAnsi="Arial" w:cs="Arial"/>
          <w:sz w:val="18"/>
          <w:szCs w:val="18"/>
        </w:rPr>
        <w:t xml:space="preserve">Figure S4 shows </w:t>
      </w:r>
      <w:r w:rsidR="00FE0953">
        <w:rPr>
          <w:rFonts w:ascii="Arial" w:hAnsi="Arial" w:cs="Arial"/>
          <w:sz w:val="18"/>
          <w:szCs w:val="18"/>
        </w:rPr>
        <w:t>l</w:t>
      </w:r>
      <w:r w:rsidR="00FE0953" w:rsidRPr="00FE0953">
        <w:rPr>
          <w:rFonts w:ascii="Arial" w:hAnsi="Arial" w:cs="Arial"/>
          <w:sz w:val="18"/>
          <w:szCs w:val="18"/>
        </w:rPr>
        <w:t>ocal association plot of most significant for each PUFAs on each chromosome</w:t>
      </w:r>
      <w:r w:rsidR="00FE0953" w:rsidRPr="00E04267" w:rsidDel="00FE0953">
        <w:rPr>
          <w:rFonts w:ascii="Arial" w:hAnsi="Arial" w:cs="Arial"/>
          <w:sz w:val="18"/>
          <w:szCs w:val="18"/>
        </w:rPr>
        <w:t xml:space="preserve"> </w:t>
      </w:r>
      <w:r w:rsidRPr="00E04267">
        <w:rPr>
          <w:rFonts w:ascii="Arial" w:hAnsi="Arial" w:cs="Arial"/>
          <w:sz w:val="18"/>
          <w:szCs w:val="18"/>
        </w:rPr>
        <w:t xml:space="preserve">in the African Americans. </w:t>
      </w:r>
      <w:r w:rsidR="00DE21DF">
        <w:rPr>
          <w:rFonts w:ascii="Arial" w:hAnsi="Arial" w:cs="Arial"/>
          <w:sz w:val="18"/>
          <w:szCs w:val="18"/>
        </w:rPr>
        <w:t>R</w:t>
      </w:r>
      <w:r w:rsidR="00DE21DF" w:rsidRPr="00DA211E">
        <w:rPr>
          <w:rFonts w:ascii="Arial" w:hAnsi="Arial" w:cs="Arial"/>
          <w:sz w:val="18"/>
          <w:szCs w:val="18"/>
        </w:rPr>
        <w:t>eference panel used to color LD</w:t>
      </w:r>
      <w:r w:rsidR="00DE21DF">
        <w:rPr>
          <w:rFonts w:ascii="Arial" w:hAnsi="Arial" w:cs="Arial"/>
          <w:sz w:val="18"/>
          <w:szCs w:val="18"/>
        </w:rPr>
        <w:t xml:space="preserve"> is 1000 Genomes Africa (AFA) and t</w:t>
      </w:r>
      <w:r w:rsidR="00DE21DF" w:rsidRPr="009E7D7F">
        <w:rPr>
          <w:rFonts w:ascii="Arial" w:hAnsi="Arial" w:cs="Arial" w:hint="eastAsia"/>
          <w:sz w:val="18"/>
          <w:szCs w:val="18"/>
        </w:rPr>
        <w:t>he color scheme is red for strong linkage disequilibrium (LD; r2</w:t>
      </w:r>
      <w:r w:rsidR="00DE21DF" w:rsidRPr="009E7D7F">
        <w:rPr>
          <w:rFonts w:ascii="Arial" w:hAnsi="Arial" w:cs="Arial" w:hint="eastAsia"/>
          <w:sz w:val="18"/>
          <w:szCs w:val="18"/>
        </w:rPr>
        <w:t>≥</w:t>
      </w:r>
      <w:r w:rsidR="00DE21DF" w:rsidRPr="009E7D7F">
        <w:rPr>
          <w:rFonts w:ascii="Arial" w:hAnsi="Arial" w:cs="Arial" w:hint="eastAsia"/>
          <w:sz w:val="18"/>
          <w:szCs w:val="18"/>
        </w:rPr>
        <w:t xml:space="preserve">0.8) and </w:t>
      </w:r>
      <w:r w:rsidR="00DE21DF">
        <w:rPr>
          <w:rFonts w:ascii="Arial" w:hAnsi="Arial" w:cs="Arial"/>
          <w:sz w:val="18"/>
          <w:szCs w:val="18"/>
        </w:rPr>
        <w:t>blue</w:t>
      </w:r>
      <w:r w:rsidR="00DE21DF" w:rsidRPr="009E7D7F">
        <w:rPr>
          <w:rFonts w:ascii="Arial" w:hAnsi="Arial" w:cs="Arial" w:hint="eastAsia"/>
          <w:sz w:val="18"/>
          <w:szCs w:val="18"/>
        </w:rPr>
        <w:t xml:space="preserve"> color for lower LD</w:t>
      </w:r>
      <w:r w:rsidR="00DE21DF">
        <w:rPr>
          <w:rFonts w:ascii="Arial" w:hAnsi="Arial" w:cs="Arial"/>
          <w:sz w:val="18"/>
          <w:szCs w:val="18"/>
        </w:rPr>
        <w:t>.</w:t>
      </w:r>
    </w:p>
    <w:sectPr w:rsidR="009F31F4" w:rsidRPr="005A37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BD923" w14:textId="77777777" w:rsidR="00DE0983" w:rsidRDefault="00DE0983" w:rsidP="005A3709">
      <w:pPr>
        <w:spacing w:after="0" w:line="240" w:lineRule="auto"/>
      </w:pPr>
      <w:r>
        <w:separator/>
      </w:r>
    </w:p>
  </w:endnote>
  <w:endnote w:type="continuationSeparator" w:id="0">
    <w:p w14:paraId="3131EEE6" w14:textId="77777777" w:rsidR="00DE0983" w:rsidRDefault="00DE0983" w:rsidP="005A3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B2ADB" w14:textId="77777777" w:rsidR="00DE0983" w:rsidRDefault="00DE0983" w:rsidP="005A3709">
      <w:pPr>
        <w:spacing w:after="0" w:line="240" w:lineRule="auto"/>
      </w:pPr>
      <w:r>
        <w:separator/>
      </w:r>
    </w:p>
  </w:footnote>
  <w:footnote w:type="continuationSeparator" w:id="0">
    <w:p w14:paraId="7C3455DD" w14:textId="77777777" w:rsidR="00DE0983" w:rsidRDefault="00DE0983" w:rsidP="005A37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85F"/>
    <w:rsid w:val="000A0EE0"/>
    <w:rsid w:val="000F1A82"/>
    <w:rsid w:val="0018592C"/>
    <w:rsid w:val="001E722E"/>
    <w:rsid w:val="002A0769"/>
    <w:rsid w:val="00343BD8"/>
    <w:rsid w:val="00434031"/>
    <w:rsid w:val="004E0539"/>
    <w:rsid w:val="00587D2D"/>
    <w:rsid w:val="005A3709"/>
    <w:rsid w:val="005D73E0"/>
    <w:rsid w:val="005E3018"/>
    <w:rsid w:val="006541A8"/>
    <w:rsid w:val="006A487B"/>
    <w:rsid w:val="00703958"/>
    <w:rsid w:val="00721B90"/>
    <w:rsid w:val="00827F4C"/>
    <w:rsid w:val="008903F1"/>
    <w:rsid w:val="00947C82"/>
    <w:rsid w:val="009754B1"/>
    <w:rsid w:val="00A215E5"/>
    <w:rsid w:val="00A226C0"/>
    <w:rsid w:val="00A40153"/>
    <w:rsid w:val="00A623C0"/>
    <w:rsid w:val="00A815D2"/>
    <w:rsid w:val="00A8785F"/>
    <w:rsid w:val="00A97714"/>
    <w:rsid w:val="00B47D5C"/>
    <w:rsid w:val="00BA7BE9"/>
    <w:rsid w:val="00BB194E"/>
    <w:rsid w:val="00C34C24"/>
    <w:rsid w:val="00C45E26"/>
    <w:rsid w:val="00CD7401"/>
    <w:rsid w:val="00CF65A5"/>
    <w:rsid w:val="00DB35A3"/>
    <w:rsid w:val="00DE0983"/>
    <w:rsid w:val="00DE21DF"/>
    <w:rsid w:val="00E67CFD"/>
    <w:rsid w:val="00ED1EB8"/>
    <w:rsid w:val="00F13373"/>
    <w:rsid w:val="00FA2B2E"/>
    <w:rsid w:val="00FE09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E34B3F"/>
  <w15:docId w15:val="{AD36F8FB-D890-498B-AF1A-AA5E85A9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85F"/>
  </w:style>
  <w:style w:type="paragraph" w:styleId="Heading1">
    <w:name w:val="heading 1"/>
    <w:basedOn w:val="Normal"/>
    <w:next w:val="Normal"/>
    <w:link w:val="Heading1Char"/>
    <w:uiPriority w:val="9"/>
    <w:qFormat/>
    <w:rsid w:val="00A8785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85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8785F"/>
    <w:rPr>
      <w:sz w:val="18"/>
      <w:szCs w:val="18"/>
    </w:rPr>
  </w:style>
  <w:style w:type="paragraph" w:styleId="CommentText">
    <w:name w:val="annotation text"/>
    <w:basedOn w:val="Normal"/>
    <w:link w:val="CommentTextChar"/>
    <w:uiPriority w:val="99"/>
    <w:unhideWhenUsed/>
    <w:rsid w:val="00A8785F"/>
    <w:pPr>
      <w:spacing w:line="240" w:lineRule="auto"/>
    </w:pPr>
    <w:rPr>
      <w:sz w:val="24"/>
      <w:szCs w:val="24"/>
    </w:rPr>
  </w:style>
  <w:style w:type="character" w:customStyle="1" w:styleId="CommentTextChar">
    <w:name w:val="Comment Text Char"/>
    <w:basedOn w:val="DefaultParagraphFont"/>
    <w:link w:val="CommentText"/>
    <w:uiPriority w:val="99"/>
    <w:rsid w:val="00A8785F"/>
    <w:rPr>
      <w:sz w:val="24"/>
      <w:szCs w:val="24"/>
    </w:rPr>
  </w:style>
  <w:style w:type="paragraph" w:styleId="Bibliography">
    <w:name w:val="Bibliography"/>
    <w:basedOn w:val="Normal"/>
    <w:next w:val="Normal"/>
    <w:uiPriority w:val="37"/>
    <w:unhideWhenUsed/>
    <w:rsid w:val="00FA2B2E"/>
    <w:pPr>
      <w:tabs>
        <w:tab w:val="left" w:pos="264"/>
      </w:tabs>
      <w:spacing w:after="0" w:line="480" w:lineRule="auto"/>
      <w:ind w:left="264" w:hanging="264"/>
    </w:pPr>
  </w:style>
  <w:style w:type="character" w:styleId="Hyperlink">
    <w:name w:val="Hyperlink"/>
    <w:basedOn w:val="DefaultParagraphFont"/>
    <w:uiPriority w:val="99"/>
    <w:unhideWhenUsed/>
    <w:rsid w:val="00721B90"/>
    <w:rPr>
      <w:color w:val="0563C1"/>
      <w:u w:val="single"/>
    </w:rPr>
  </w:style>
  <w:style w:type="paragraph" w:styleId="Header">
    <w:name w:val="header"/>
    <w:basedOn w:val="Normal"/>
    <w:link w:val="HeaderChar"/>
    <w:uiPriority w:val="99"/>
    <w:unhideWhenUsed/>
    <w:rsid w:val="005A3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709"/>
  </w:style>
  <w:style w:type="paragraph" w:styleId="Footer">
    <w:name w:val="footer"/>
    <w:basedOn w:val="Normal"/>
    <w:link w:val="FooterChar"/>
    <w:uiPriority w:val="99"/>
    <w:unhideWhenUsed/>
    <w:rsid w:val="005A3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709"/>
  </w:style>
  <w:style w:type="paragraph" w:styleId="BalloonText">
    <w:name w:val="Balloon Text"/>
    <w:basedOn w:val="Normal"/>
    <w:link w:val="BalloonTextChar"/>
    <w:uiPriority w:val="99"/>
    <w:semiHidden/>
    <w:unhideWhenUsed/>
    <w:rsid w:val="00947C8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7C8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97714"/>
    <w:rPr>
      <w:b/>
      <w:bCs/>
      <w:sz w:val="20"/>
      <w:szCs w:val="20"/>
    </w:rPr>
  </w:style>
  <w:style w:type="character" w:customStyle="1" w:styleId="CommentSubjectChar">
    <w:name w:val="Comment Subject Char"/>
    <w:basedOn w:val="CommentTextChar"/>
    <w:link w:val="CommentSubject"/>
    <w:uiPriority w:val="99"/>
    <w:semiHidden/>
    <w:rsid w:val="00A97714"/>
    <w:rPr>
      <w:b/>
      <w:bCs/>
      <w:sz w:val="20"/>
      <w:szCs w:val="20"/>
    </w:rPr>
  </w:style>
  <w:style w:type="paragraph" w:styleId="Revision">
    <w:name w:val="Revision"/>
    <w:hidden/>
    <w:uiPriority w:val="99"/>
    <w:semiHidden/>
    <w:rsid w:val="00E67C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9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mputationserver.sph.umich.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026E8-9E69-47A6-9105-83E42B90C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4404</Words>
  <Characters>25109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Chaojie (cy6n)</dc:creator>
  <cp:keywords/>
  <dc:description/>
  <cp:lastModifiedBy>Yang, Chaojie (cy6n)</cp:lastModifiedBy>
  <cp:revision>2</cp:revision>
  <dcterms:created xsi:type="dcterms:W3CDTF">2023-02-16T16:46:00Z</dcterms:created>
  <dcterms:modified xsi:type="dcterms:W3CDTF">2023-02-16T16:46:00Z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id="VOC5PYUJ"/&gt;&lt;style id="http://www.zotero.org/styles/nature" hasBibliography="1" bibliographyStyleHasBeenSet="1"/&gt;&lt;prefs&gt;&lt;pref name="fieldType" value="Field"/&gt;&lt;/prefs&gt;&lt;/data&gt;</vt:lpwstr>
  </property>
</Properties>
</file>