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Times New Roman" w:hAnsi="Times New Roman" w:cs="Arial"/>
          <w:b/>
          <w:color w:val="000000"/>
          <w:sz w:val="24"/>
        </w:rPr>
      </w:pPr>
      <w:r>
        <w:rPr>
          <w:rFonts w:hint="eastAsia" w:ascii="Times New Roman" w:hAnsi="Times New Roman" w:cs="Arial"/>
          <w:b/>
          <w:color w:val="000000"/>
          <w:sz w:val="24"/>
        </w:rPr>
        <w:t>C</w:t>
      </w:r>
      <w:r>
        <w:rPr>
          <w:rFonts w:ascii="Times New Roman" w:hAnsi="Times New Roman" w:cs="Arial"/>
          <w:b/>
          <w:color w:val="000000"/>
          <w:sz w:val="24"/>
        </w:rPr>
        <w:t xml:space="preserve">ircBRD7 inhibits tumor growth and metastasis in nasopharyngeal carcinoma via </w:t>
      </w:r>
      <w:bookmarkStart w:id="0" w:name="OLE_LINK59"/>
      <w:r>
        <w:rPr>
          <w:rFonts w:hint="eastAsia" w:ascii="Times New Roman" w:hAnsi="Times New Roman" w:cs="Arial"/>
          <w:b/>
          <w:color w:val="000000"/>
          <w:sz w:val="24"/>
          <w:lang w:val="en-US" w:eastAsia="zh-CN"/>
        </w:rPr>
        <w:t>forming a positive feedback regulation loop with its host gene</w:t>
      </w:r>
      <w:bookmarkEnd w:id="0"/>
      <w:bookmarkStart w:id="10" w:name="_GoBack"/>
      <w:bookmarkEnd w:id="10"/>
    </w:p>
    <w:p>
      <w:pPr>
        <w:pStyle w:val="12"/>
        <w:spacing w:before="120" w:after="120" w:line="360" w:lineRule="auto"/>
        <w:jc w:val="both"/>
        <w:rPr>
          <w:b w:val="0"/>
          <w:lang w:eastAsia="zh-CN"/>
        </w:rPr>
      </w:pPr>
      <w:r>
        <w:rPr>
          <w:rFonts w:hint="eastAsia"/>
          <w:b w:val="0"/>
          <w:lang w:eastAsia="zh-CN"/>
        </w:rPr>
        <w:t>Jianxia Wei</w:t>
      </w:r>
      <w:r>
        <w:rPr>
          <w:rFonts w:hint="eastAsia"/>
          <w:b w:val="0"/>
          <w:vertAlign w:val="superscript"/>
          <w:lang w:eastAsia="zh-CN"/>
        </w:rPr>
        <w:t>1,2,</w:t>
      </w:r>
      <w:r>
        <w:rPr>
          <w:b w:val="0"/>
          <w:vertAlign w:val="superscript"/>
        </w:rPr>
        <w:t>3</w:t>
      </w:r>
      <w:r>
        <w:rPr>
          <w:rFonts w:hint="eastAsia"/>
          <w:b w:val="0"/>
          <w:lang w:eastAsia="zh-CN"/>
        </w:rPr>
        <w:t>,</w:t>
      </w:r>
      <w:r>
        <w:rPr>
          <w:b w:val="0"/>
          <w:lang w:eastAsia="zh-CN"/>
        </w:rPr>
        <w:t xml:space="preserve"> </w:t>
      </w:r>
      <w:r>
        <w:rPr>
          <w:b w:val="0"/>
        </w:rPr>
        <w:t>Mengna Li</w:t>
      </w:r>
      <w:r>
        <w:rPr>
          <w:rFonts w:hint="eastAsia"/>
          <w:b w:val="0"/>
          <w:vertAlign w:val="superscript"/>
          <w:lang w:eastAsia="zh-CN"/>
        </w:rPr>
        <w:t>1,2,</w:t>
      </w:r>
      <w:r>
        <w:rPr>
          <w:b w:val="0"/>
          <w:vertAlign w:val="superscript"/>
        </w:rPr>
        <w:t>3</w:t>
      </w:r>
      <w:r>
        <w:rPr>
          <w:rFonts w:hint="eastAsia"/>
          <w:b w:val="0"/>
          <w:lang w:eastAsia="zh-CN"/>
        </w:rPr>
        <w:t>, Shipeng Chen</w:t>
      </w:r>
      <w:r>
        <w:rPr>
          <w:b w:val="0"/>
          <w:vertAlign w:val="superscript"/>
        </w:rPr>
        <w:t>1,2,</w:t>
      </w:r>
      <w:r>
        <w:rPr>
          <w:rFonts w:hint="eastAsia"/>
          <w:b w:val="0"/>
          <w:vertAlign w:val="superscript"/>
          <w:lang w:eastAsia="zh-CN"/>
        </w:rPr>
        <w:t>3</w:t>
      </w:r>
      <w:r>
        <w:rPr>
          <w:rFonts w:hint="eastAsia"/>
          <w:b w:val="0"/>
          <w:lang w:eastAsia="zh-CN"/>
        </w:rPr>
        <w:t>, Changning Xue</w:t>
      </w:r>
      <w:r>
        <w:rPr>
          <w:rFonts w:hint="eastAsia"/>
          <w:b w:val="0"/>
          <w:vertAlign w:val="superscript"/>
          <w:lang w:eastAsia="zh-CN"/>
        </w:rPr>
        <w:t>1,2,</w:t>
      </w:r>
      <w:r>
        <w:rPr>
          <w:b w:val="0"/>
          <w:vertAlign w:val="superscript"/>
        </w:rPr>
        <w:t>3</w:t>
      </w:r>
      <w:r>
        <w:rPr>
          <w:b w:val="0"/>
        </w:rPr>
        <w:t xml:space="preserve">, </w:t>
      </w:r>
      <w:r>
        <w:rPr>
          <w:rFonts w:hint="eastAsia"/>
          <w:b w:val="0"/>
          <w:lang w:eastAsia="zh-CN"/>
        </w:rPr>
        <w:t>Yuting Zhan</w:t>
      </w:r>
      <w:r>
        <w:rPr>
          <w:rFonts w:hint="eastAsia"/>
          <w:b w:val="0"/>
          <w:vertAlign w:val="superscript"/>
          <w:lang w:eastAsia="zh-CN"/>
        </w:rPr>
        <w:t>4</w:t>
      </w:r>
      <w:r>
        <w:rPr>
          <w:rFonts w:hint="eastAsia"/>
          <w:b w:val="0"/>
          <w:lang w:eastAsia="zh-CN"/>
        </w:rPr>
        <w:t>, Lemei Zheng</w:t>
      </w:r>
      <w:r>
        <w:rPr>
          <w:rFonts w:hint="eastAsia"/>
          <w:b w:val="0"/>
          <w:vertAlign w:val="superscript"/>
          <w:lang w:eastAsia="zh-CN"/>
        </w:rPr>
        <w:t>1,2,</w:t>
      </w:r>
      <w:r>
        <w:rPr>
          <w:b w:val="0"/>
          <w:vertAlign w:val="superscript"/>
        </w:rPr>
        <w:t>3,</w:t>
      </w:r>
      <w:r>
        <w:rPr>
          <w:b w:val="0"/>
        </w:rPr>
        <w:t>,</w:t>
      </w:r>
      <w:r>
        <w:rPr>
          <w:rFonts w:hint="eastAsia"/>
          <w:b w:val="0"/>
          <w:lang w:eastAsia="zh-CN"/>
        </w:rPr>
        <w:t xml:space="preserve"> Yumei Duan</w:t>
      </w:r>
      <w:r>
        <w:rPr>
          <w:rFonts w:hint="eastAsia"/>
          <w:b w:val="0"/>
          <w:vertAlign w:val="superscript"/>
          <w:lang w:eastAsia="zh-CN"/>
        </w:rPr>
        <w:t>1,2</w:t>
      </w:r>
      <w:r>
        <w:rPr>
          <w:rFonts w:hint="eastAsia"/>
          <w:b w:val="0"/>
          <w:lang w:eastAsia="zh-CN"/>
        </w:rPr>
        <w:t>, Hongyu Deng</w:t>
      </w:r>
      <w:r>
        <w:rPr>
          <w:b w:val="0"/>
          <w:vertAlign w:val="superscript"/>
        </w:rPr>
        <w:t>1</w:t>
      </w:r>
      <w:r>
        <w:rPr>
          <w:rFonts w:hint="eastAsia"/>
          <w:b w:val="0"/>
          <w:lang w:eastAsia="zh-CN"/>
        </w:rPr>
        <w:t>, Faqing Tang</w:t>
      </w:r>
      <w:r>
        <w:rPr>
          <w:b w:val="0"/>
          <w:vertAlign w:val="superscript"/>
        </w:rPr>
        <w:t>1</w:t>
      </w:r>
      <w:r>
        <w:rPr>
          <w:rFonts w:hint="eastAsia"/>
          <w:b w:val="0"/>
          <w:lang w:eastAsia="zh-CN"/>
        </w:rPr>
        <w:t>, Songqing Fan</w:t>
      </w:r>
      <w:r>
        <w:rPr>
          <w:rFonts w:hint="eastAsia"/>
          <w:b w:val="0"/>
          <w:vertAlign w:val="superscript"/>
          <w:lang w:eastAsia="zh-CN"/>
        </w:rPr>
        <w:t>4</w:t>
      </w:r>
      <w:r>
        <w:rPr>
          <w:rFonts w:hint="eastAsia"/>
          <w:b w:val="0"/>
          <w:lang w:eastAsia="zh-CN"/>
        </w:rPr>
        <w:t xml:space="preserve">, </w:t>
      </w:r>
      <w:r>
        <w:rPr>
          <w:b w:val="0"/>
        </w:rPr>
        <w:t>Wei Xiong</w:t>
      </w:r>
      <w:r>
        <w:rPr>
          <w:b w:val="0"/>
          <w:vertAlign w:val="superscript"/>
        </w:rPr>
        <w:t>1,2,3</w:t>
      </w:r>
      <w:r>
        <w:rPr>
          <w:b w:val="0"/>
        </w:rPr>
        <w:t>, Guiyuan Li</w:t>
      </w:r>
      <w:r>
        <w:rPr>
          <w:b w:val="0"/>
          <w:vertAlign w:val="superscript"/>
        </w:rPr>
        <w:t>1,2,3</w:t>
      </w:r>
      <w:r>
        <w:rPr>
          <w:b w:val="0"/>
        </w:rPr>
        <w:t>, Ming Zhou</w:t>
      </w:r>
      <w:r>
        <w:rPr>
          <w:b w:val="0"/>
          <w:vertAlign w:val="superscript"/>
        </w:rPr>
        <w:t>1,2,3</w:t>
      </w:r>
      <w:r>
        <w:rPr>
          <w:rFonts w:hint="eastAsia"/>
          <w:b w:val="0"/>
          <w:bCs/>
          <w:vertAlign w:val="superscript"/>
        </w:rPr>
        <w:t>*</w:t>
      </w:r>
      <w:r>
        <w:rPr>
          <w:rFonts w:hint="eastAsia"/>
          <w:b w:val="0"/>
          <w:bCs/>
          <w:vertAlign w:val="superscript"/>
          <w:lang w:eastAsia="zh-CN"/>
        </w:rPr>
        <w:t xml:space="preserve"> </w:t>
      </w:r>
    </w:p>
    <w:p/>
    <w:p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/>
    <w:p>
      <w:r>
        <w:rPr>
          <w:rFonts w:hint="eastAsia"/>
        </w:rPr>
        <w:drawing>
          <wp:inline distT="0" distB="0" distL="114300" distR="114300">
            <wp:extent cx="5271135" cy="2691765"/>
            <wp:effectExtent l="0" t="0" r="5715" b="0"/>
            <wp:docPr id="1" name="图片 1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S1"/>
                    <pic:cNvPicPr>
                      <a:picLocks noChangeAspect="1"/>
                    </pic:cNvPicPr>
                  </pic:nvPicPr>
                  <pic:blipFill>
                    <a:blip r:embed="rId5"/>
                    <a:srcRect t="903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9190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Arial"/>
          <w:b/>
          <w:bCs/>
          <w:color w:val="000000"/>
          <w:sz w:val="24"/>
        </w:rPr>
        <w:t>Figure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 xml:space="preserve"> </w:t>
      </w:r>
      <w:r>
        <w:rPr>
          <w:rFonts w:ascii="Times New Roman" w:hAnsi="Times New Roman" w:cs="Arial"/>
          <w:b/>
          <w:bCs/>
          <w:color w:val="000000"/>
          <w:sz w:val="24"/>
        </w:rPr>
        <w:t>S1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 xml:space="preserve"> Screening and identification of BRD7-encoded circRNAs. A</w:t>
      </w:r>
      <w:r>
        <w:rPr>
          <w:rFonts w:hint="eastAsia" w:ascii="Times New Roman" w:hAnsi="Times New Roman" w:cs="Arial"/>
          <w:color w:val="000000"/>
          <w:sz w:val="24"/>
        </w:rPr>
        <w:t xml:space="preserve"> CircRNAs that BRD7 might encode were predicted by browsing circBase and circRNADb. 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B</w:t>
      </w:r>
      <w:r>
        <w:rPr>
          <w:rFonts w:hint="eastAsia" w:ascii="Times New Roman" w:hAnsi="Times New Roman" w:cs="Arial"/>
          <w:color w:val="000000"/>
          <w:sz w:val="24"/>
        </w:rPr>
        <w:t xml:space="preserve"> </w:t>
      </w:r>
      <w:bookmarkStart w:id="1" w:name="OLE_LINK29"/>
      <w:r>
        <w:rPr>
          <w:rFonts w:hint="eastAsia" w:ascii="Times New Roman" w:hAnsi="Times New Roman" w:cs="Arial"/>
          <w:color w:val="000000"/>
          <w:sz w:val="24"/>
        </w:rPr>
        <w:t>Agarose gel electrophoresis identified splice site sequences of BRD7-encoded circRNAs. M: marker (DL 2000); From 1 to 5, followed by circ_0039343, circ_0039344, circ_0039345, circ_19158 and circ_0105514, and the</w:t>
      </w:r>
      <w:r>
        <w:rPr>
          <w:rFonts w:ascii="Times New Roman" w:hAnsi="Times New Roman" w:cs="Arial"/>
          <w:color w:val="000000"/>
          <w:sz w:val="24"/>
        </w:rPr>
        <w:t xml:space="preserve"> results showed that </w:t>
      </w:r>
      <w:r>
        <w:rPr>
          <w:rFonts w:hint="eastAsia" w:ascii="Times New Roman" w:hAnsi="Times New Roman" w:cs="Arial"/>
          <w:color w:val="000000"/>
          <w:sz w:val="24"/>
        </w:rPr>
        <w:t>only the splice site sequence of circ_0039345 was detected</w:t>
      </w:r>
      <w:bookmarkEnd w:id="1"/>
      <w:r>
        <w:rPr>
          <w:rFonts w:hint="eastAsia" w:ascii="Times New Roman" w:hAnsi="Times New Roman" w:cs="Arial"/>
          <w:color w:val="000000"/>
          <w:sz w:val="24"/>
        </w:rPr>
        <w:t>.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584450"/>
            <wp:effectExtent l="0" t="0" r="6985" b="6350"/>
            <wp:docPr id="7" name="图片 7" descr="文章Figure整理 -V6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文章Figure整理 -V6-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8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Arial"/>
          <w:color w:val="000000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Arial"/>
          <w:b/>
          <w:bCs/>
          <w:color w:val="000000"/>
          <w:sz w:val="24"/>
        </w:rPr>
        <w:t>Figure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 xml:space="preserve"> </w:t>
      </w:r>
      <w:r>
        <w:rPr>
          <w:rFonts w:ascii="Times New Roman" w:hAnsi="Times New Roman" w:cs="Arial"/>
          <w:b/>
          <w:bCs/>
          <w:color w:val="000000"/>
          <w:sz w:val="24"/>
        </w:rPr>
        <w:t>S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 xml:space="preserve">2 </w:t>
      </w:r>
      <w:bookmarkStart w:id="2" w:name="OLE_LINK32"/>
      <w:r>
        <w:rPr>
          <w:rFonts w:hint="eastAsia" w:ascii="Times New Roman" w:hAnsi="Times New Roman" w:cs="Arial"/>
          <w:b/>
          <w:bCs/>
          <w:color w:val="000000"/>
          <w:sz w:val="24"/>
        </w:rPr>
        <w:t>Silencing circBRD7 expression promots the proliferation of NPC cells</w:t>
      </w:r>
      <w:bookmarkEnd w:id="2"/>
      <w:r>
        <w:rPr>
          <w:rFonts w:hint="eastAsia" w:ascii="Times New Roman" w:hAnsi="Times New Roman" w:cs="Arial"/>
          <w:b/>
          <w:bCs/>
          <w:color w:val="000000"/>
          <w:sz w:val="24"/>
        </w:rPr>
        <w:t xml:space="preserve">. </w:t>
      </w:r>
      <w:r>
        <w:rPr>
          <w:rFonts w:ascii="Times New Roman" w:hAnsi="Times New Roman" w:cs="Arial"/>
          <w:b/>
          <w:bCs/>
          <w:color w:val="000000"/>
          <w:sz w:val="24"/>
        </w:rPr>
        <w:t>A</w:t>
      </w:r>
      <w:r>
        <w:rPr>
          <w:rFonts w:ascii="Times New Roman" w:hAnsi="Times New Roman" w:cs="Arial"/>
          <w:color w:val="000000"/>
          <w:sz w:val="24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>The inhibit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>ory</w:t>
      </w:r>
      <w:r>
        <w:rPr>
          <w:rFonts w:hint="eastAsia" w:ascii="Times New Roman" w:hAnsi="Times New Roman" w:cs="Arial"/>
          <w:color w:val="000000"/>
          <w:sz w:val="24"/>
        </w:rPr>
        <w:t xml:space="preserve"> efficiency of circBRD7 by sicircBRD7#1 and sicircBRD7#2 in 5-8F and CNE2 cells was detected by RT-qPCR. 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B, C</w:t>
      </w:r>
      <w:r>
        <w:rPr>
          <w:rFonts w:hint="eastAsia" w:ascii="Times New Roman" w:hAnsi="Times New Roman" w:cs="Arial"/>
          <w:color w:val="000000"/>
          <w:sz w:val="24"/>
        </w:rPr>
        <w:t xml:space="preserve"> 5-8F and CNE2 cells were </w:t>
      </w:r>
      <w:r>
        <w:rPr>
          <w:rFonts w:ascii="Times New Roman" w:hAnsi="Times New Roman" w:cs="Arial"/>
          <w:color w:val="000000"/>
          <w:sz w:val="24"/>
        </w:rPr>
        <w:t xml:space="preserve">first </w:t>
      </w:r>
      <w:r>
        <w:rPr>
          <w:rFonts w:hint="eastAsia" w:ascii="Times New Roman" w:hAnsi="Times New Roman" w:cs="Arial"/>
          <w:color w:val="000000"/>
          <w:sz w:val="24"/>
        </w:rPr>
        <w:t>transfected with siNC, sicircBRD7#1, or sicircBRD7#2</w:t>
      </w:r>
      <w:r>
        <w:rPr>
          <w:rFonts w:ascii="Times New Roman" w:hAnsi="Times New Roman" w:cs="Arial"/>
          <w:color w:val="000000"/>
          <w:sz w:val="24"/>
        </w:rPr>
        <w:t xml:space="preserve">, respectively, and then </w:t>
      </w:r>
      <w:r>
        <w:rPr>
          <w:rFonts w:hint="eastAsia" w:ascii="Times New Roman" w:hAnsi="Times New Roman" w:cs="Arial"/>
          <w:color w:val="000000"/>
          <w:sz w:val="24"/>
        </w:rPr>
        <w:t>CCK-8 (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B</w:t>
      </w:r>
      <w:r>
        <w:rPr>
          <w:rFonts w:hint="eastAsia" w:ascii="Times New Roman" w:hAnsi="Times New Roman" w:cs="Arial"/>
          <w:color w:val="000000"/>
          <w:sz w:val="24"/>
        </w:rPr>
        <w:t>) and colony formation (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C</w:t>
      </w:r>
      <w:r>
        <w:rPr>
          <w:rFonts w:hint="eastAsia" w:ascii="Times New Roman" w:hAnsi="Times New Roman" w:cs="Arial"/>
          <w:color w:val="000000"/>
          <w:sz w:val="24"/>
        </w:rPr>
        <w:t xml:space="preserve">) assays were used to detect cell proliferation and colony formation in each group. 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D</w:t>
      </w:r>
      <w:r>
        <w:rPr>
          <w:rFonts w:hint="eastAsia" w:ascii="Times New Roman" w:hAnsi="Times New Roman" w:cs="Arial"/>
          <w:color w:val="000000"/>
          <w:sz w:val="24"/>
        </w:rPr>
        <w:t xml:space="preserve"> Western blot was used to analyze the expression of CDK4, 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>p</w:t>
      </w:r>
      <w:r>
        <w:rPr>
          <w:rFonts w:hint="eastAsia" w:ascii="Times New Roman" w:hAnsi="Times New Roman" w:cs="Arial"/>
          <w:color w:val="000000"/>
          <w:sz w:val="24"/>
        </w:rPr>
        <w:t>21, t-PARP and c-PARP before and after circBRD7 silencing.</w:t>
      </w:r>
      <w:r>
        <w:rPr>
          <w:rFonts w:ascii="Times New Roman" w:hAnsi="Times New Roman" w:cs="Arial"/>
          <w:color w:val="000000"/>
          <w:sz w:val="24"/>
        </w:rPr>
        <w:t xml:space="preserve"> *, </w:t>
      </w:r>
      <w:r>
        <w:rPr>
          <w:rFonts w:ascii="Times New Roman" w:hAnsi="Times New Roman" w:cs="Arial"/>
          <w:i/>
          <w:iCs/>
          <w:color w:val="000000"/>
          <w:sz w:val="24"/>
        </w:rPr>
        <w:t>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ascii="Times New Roman" w:hAnsi="Times New Roman" w:cs="Arial"/>
          <w:color w:val="000000"/>
          <w:sz w:val="24"/>
        </w:rPr>
        <w:t xml:space="preserve">0.05; **, </w:t>
      </w:r>
      <w:r>
        <w:rPr>
          <w:rFonts w:ascii="Times New Roman" w:hAnsi="Times New Roman" w:cs="Arial"/>
          <w:i/>
          <w:iCs/>
          <w:color w:val="000000"/>
          <w:sz w:val="24"/>
        </w:rPr>
        <w:t>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ascii="Times New Roman" w:hAnsi="Times New Roman" w:cs="Arial"/>
          <w:color w:val="000000"/>
          <w:sz w:val="24"/>
        </w:rPr>
        <w:t xml:space="preserve">0.01; ***, </w:t>
      </w:r>
      <w:r>
        <w:rPr>
          <w:rFonts w:ascii="Times New Roman" w:hAnsi="Times New Roman" w:cs="Arial"/>
          <w:i/>
          <w:iCs/>
          <w:color w:val="000000"/>
          <w:sz w:val="24"/>
        </w:rPr>
        <w:t>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ascii="Times New Roman" w:hAnsi="Times New Roman" w:cs="Arial"/>
          <w:color w:val="000000"/>
          <w:sz w:val="24"/>
        </w:rPr>
        <w:t>0.001.</w:t>
      </w:r>
    </w:p>
    <w:p>
      <w:pPr>
        <w:spacing w:line="360" w:lineRule="auto"/>
        <w:rPr>
          <w:rFonts w:ascii="Times New Roman" w:hAnsi="Times New Roman" w:cs="Arial"/>
          <w:color w:val="000000"/>
          <w:sz w:val="24"/>
        </w:rPr>
      </w:pPr>
    </w:p>
    <w:p>
      <w:pPr>
        <w:spacing w:line="360" w:lineRule="auto"/>
        <w:rPr>
          <w:rFonts w:ascii="Times New Roman" w:hAnsi="Times New Roman" w:cs="Arial"/>
          <w:color w:val="000000"/>
          <w:sz w:val="24"/>
        </w:rPr>
      </w:pPr>
      <w:r>
        <w:rPr>
          <w:rFonts w:hint="eastAsia" w:ascii="Times New Roman" w:hAnsi="Times New Roman" w:cs="Arial"/>
          <w:color w:val="000000"/>
          <w:sz w:val="24"/>
        </w:rPr>
        <w:drawing>
          <wp:inline distT="0" distB="0" distL="114300" distR="114300">
            <wp:extent cx="5271770" cy="3521075"/>
            <wp:effectExtent l="0" t="0" r="5080" b="3175"/>
            <wp:docPr id="3" name="图片 3" descr="Fig.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S3"/>
                    <pic:cNvPicPr>
                      <a:picLocks noChangeAspect="1"/>
                    </pic:cNvPicPr>
                  </pic:nvPicPr>
                  <pic:blipFill>
                    <a:blip r:embed="rId7"/>
                    <a:srcRect t="777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2137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Arial"/>
          <w:color w:val="000000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cs="Arial"/>
          <w:b/>
          <w:bCs/>
          <w:color w:val="000000"/>
          <w:sz w:val="24"/>
        </w:rPr>
        <w:t>Figure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 xml:space="preserve"> </w:t>
      </w:r>
      <w:r>
        <w:rPr>
          <w:rFonts w:ascii="Times New Roman" w:hAnsi="Times New Roman" w:cs="Arial"/>
          <w:b/>
          <w:bCs/>
          <w:color w:val="000000"/>
          <w:sz w:val="24"/>
        </w:rPr>
        <w:t>S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 xml:space="preserve">3 Silencing circBRD7 expression promotes the migration, invasion and EMT of NPC cells. </w:t>
      </w:r>
      <w:r>
        <w:rPr>
          <w:rFonts w:ascii="Times New Roman" w:hAnsi="Times New Roman" w:cs="Arial"/>
          <w:b/>
          <w:bCs/>
          <w:color w:val="000000"/>
          <w:sz w:val="24"/>
        </w:rPr>
        <w:t>A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, B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Representative and quantified results of the </w:t>
      </w:r>
      <w:r>
        <w:rPr>
          <w:rFonts w:ascii="Times New Roman" w:hAnsi="Times New Roman"/>
          <w:sz w:val="24"/>
        </w:rPr>
        <w:t>w</w:t>
      </w:r>
      <w:r>
        <w:rPr>
          <w:rFonts w:hint="eastAsia" w:ascii="Times New Roman" w:hAnsi="Times New Roman"/>
          <w:sz w:val="24"/>
        </w:rPr>
        <w:t>ound healing (</w:t>
      </w:r>
      <w:r>
        <w:rPr>
          <w:rFonts w:hint="eastAsia" w:ascii="Times New Roman" w:hAnsi="Times New Roman"/>
          <w:b/>
          <w:bCs/>
          <w:sz w:val="24"/>
        </w:rPr>
        <w:t>A</w:t>
      </w:r>
      <w:r>
        <w:rPr>
          <w:rFonts w:hint="eastAsia" w:ascii="Times New Roman" w:hAnsi="Times New Roman"/>
          <w:sz w:val="24"/>
        </w:rPr>
        <w:t xml:space="preserve">) and </w:t>
      </w:r>
      <w:r>
        <w:rPr>
          <w:rFonts w:ascii="Times New Roman" w:hAnsi="Times New Roman"/>
          <w:sz w:val="24"/>
        </w:rPr>
        <w:t>t</w:t>
      </w:r>
      <w:r>
        <w:rPr>
          <w:rFonts w:hint="eastAsia" w:ascii="Times New Roman" w:hAnsi="Times New Roman"/>
          <w:sz w:val="24"/>
        </w:rPr>
        <w:t>ranswell (</w:t>
      </w:r>
      <w:r>
        <w:rPr>
          <w:rFonts w:hint="eastAsia" w:ascii="Times New Roman" w:hAnsi="Times New Roman"/>
          <w:b/>
          <w:bCs/>
          <w:sz w:val="24"/>
        </w:rPr>
        <w:t>B</w:t>
      </w:r>
      <w:r>
        <w:rPr>
          <w:rFonts w:hint="eastAsia" w:ascii="Times New Roman" w:hAnsi="Times New Roman"/>
          <w:sz w:val="24"/>
        </w:rPr>
        <w:t xml:space="preserve">) assays in 5-8F and CNE2 cells transfected with siNC, </w:t>
      </w:r>
      <w:bookmarkStart w:id="3" w:name="OLE_LINK6"/>
      <w:r>
        <w:rPr>
          <w:rFonts w:hint="eastAsia" w:ascii="Times New Roman" w:hAnsi="Times New Roman"/>
          <w:sz w:val="24"/>
        </w:rPr>
        <w:t>sicircBRD7#1</w:t>
      </w:r>
      <w:bookmarkEnd w:id="3"/>
      <w:r>
        <w:rPr>
          <w:rFonts w:hint="eastAsia" w:ascii="Times New Roman" w:hAnsi="Times New Roman"/>
          <w:sz w:val="24"/>
        </w:rPr>
        <w:t xml:space="preserve">, sicircBRD7#2. </w:t>
      </w:r>
      <w:r>
        <w:rPr>
          <w:rFonts w:hint="eastAsia" w:ascii="Times New Roman" w:hAnsi="Times New Roman"/>
          <w:b/>
          <w:bCs/>
          <w:sz w:val="24"/>
        </w:rPr>
        <w:t>C</w:t>
      </w:r>
      <w:r>
        <w:rPr>
          <w:rFonts w:hint="eastAsia" w:ascii="Times New Roman" w:hAnsi="Times New Roman"/>
          <w:sz w:val="24"/>
        </w:rPr>
        <w:t xml:space="preserve"> Western blot was used to analyze the alterations in the expression of EMT related molecules before and after silencing circBRD7 expression. </w:t>
      </w:r>
      <w:r>
        <w:rPr>
          <w:rFonts w:ascii="Times New Roman" w:hAnsi="Times New Roman" w:cs="Arial"/>
          <w:color w:val="000000"/>
          <w:sz w:val="24"/>
        </w:rPr>
        <w:t>*,</w:t>
      </w:r>
      <w:r>
        <w:rPr>
          <w:rFonts w:ascii="Times New Roman" w:hAnsi="Times New Roman" w:cs="Arial"/>
          <w:i/>
          <w:iCs/>
          <w:color w:val="000000"/>
          <w:sz w:val="24"/>
        </w:rPr>
        <w:t xml:space="preserve"> 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ascii="Times New Roman" w:hAnsi="Times New Roman" w:cs="Arial"/>
          <w:color w:val="000000"/>
          <w:sz w:val="24"/>
        </w:rPr>
        <w:t xml:space="preserve">0.05; **, </w:t>
      </w:r>
      <w:r>
        <w:rPr>
          <w:rFonts w:ascii="Times New Roman" w:hAnsi="Times New Roman" w:cs="Arial"/>
          <w:i/>
          <w:iCs/>
          <w:color w:val="000000"/>
          <w:sz w:val="24"/>
        </w:rPr>
        <w:t>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ascii="Times New Roman" w:hAnsi="Times New Roman" w:cs="Arial"/>
          <w:color w:val="000000"/>
          <w:sz w:val="24"/>
        </w:rPr>
        <w:t xml:space="preserve">0.01; ***, </w:t>
      </w:r>
      <w:r>
        <w:rPr>
          <w:rFonts w:ascii="Times New Roman" w:hAnsi="Times New Roman" w:cs="Arial"/>
          <w:i/>
          <w:iCs/>
          <w:color w:val="000000"/>
          <w:sz w:val="24"/>
        </w:rPr>
        <w:t>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ascii="Times New Roman" w:hAnsi="Times New Roman" w:cs="Arial"/>
          <w:color w:val="000000"/>
          <w:sz w:val="24"/>
        </w:rPr>
        <w:t>0.001.</w:t>
      </w:r>
    </w:p>
    <w:p>
      <w:pPr>
        <w:spacing w:line="360" w:lineRule="auto"/>
        <w:rPr>
          <w:rFonts w:ascii="Times New Roman" w:hAnsi="Times New Roman" w:cs="Arial"/>
          <w:color w:val="000000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Times New Roman" w:hAnsi="Times New Roman" w:cs="Arial"/>
          <w:color w:val="000000"/>
          <w:sz w:val="24"/>
        </w:rPr>
      </w:pPr>
    </w:p>
    <w:p>
      <w:pPr>
        <w:spacing w:line="360" w:lineRule="auto"/>
        <w:rPr>
          <w:rFonts w:ascii="Times New Roman" w:hAnsi="Times New Roman" w:cs="Arial"/>
          <w:color w:val="000000"/>
          <w:sz w:val="24"/>
        </w:rPr>
      </w:pPr>
      <w:r>
        <w:rPr>
          <w:rFonts w:hint="eastAsia" w:ascii="Times New Roman" w:hAnsi="Times New Roman" w:cs="Arial"/>
          <w:color w:val="000000"/>
          <w:sz w:val="24"/>
        </w:rPr>
        <w:drawing>
          <wp:inline distT="0" distB="0" distL="114300" distR="114300">
            <wp:extent cx="5154930" cy="1915795"/>
            <wp:effectExtent l="0" t="0" r="5080" b="5715"/>
            <wp:docPr id="4" name="图片 4" descr="Fig.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.S4"/>
                    <pic:cNvPicPr>
                      <a:picLocks noChangeAspect="1"/>
                    </pic:cNvPicPr>
                  </pic:nvPicPr>
                  <pic:blipFill>
                    <a:blip r:embed="rId8"/>
                    <a:srcRect l="2891" t="12729" r="1554"/>
                    <a:stretch>
                      <a:fillRect/>
                    </a:stretch>
                  </pic:blipFill>
                  <pic:spPr>
                    <a:xfrm>
                      <a:off x="0" y="0"/>
                      <a:ext cx="5154930" cy="19157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4" w:name="OLE_LINK20"/>
      <w:r>
        <w:rPr>
          <w:rFonts w:ascii="Times New Roman" w:hAnsi="Times New Roman" w:cs="Arial"/>
          <w:b/>
          <w:bCs/>
          <w:color w:val="000000"/>
          <w:sz w:val="24"/>
        </w:rPr>
        <w:t>Figure S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 xml:space="preserve">4 Bioinformatic prediction of epigenetic modifications at the BRD7 promoter region and effect of BRD7 on circBRD7 expression. </w:t>
      </w:r>
      <w:r>
        <w:rPr>
          <w:rFonts w:hint="eastAsia" w:ascii="Times New Roman" w:hAnsi="Times New Roman" w:eastAsia="宋体" w:cs="Arial"/>
          <w:b/>
          <w:bCs/>
          <w:color w:val="000000"/>
          <w:sz w:val="24"/>
        </w:rPr>
        <w:t>A</w:t>
      </w:r>
      <w:r>
        <w:rPr>
          <w:rFonts w:hint="eastAsia" w:ascii="Times New Roman" w:hAnsi="Times New Roman" w:eastAsia="宋体" w:cs="Arial"/>
          <w:color w:val="000000"/>
          <w:sz w:val="24"/>
        </w:rPr>
        <w:t xml:space="preserve"> Epigenetic modifications in the BRD7 promoter region were predicted by browsing the UCSC website.</w:t>
      </w:r>
      <w:r>
        <w:rPr>
          <w:rFonts w:hint="eastAsia" w:ascii="Times New Roman" w:hAnsi="Times New Roman" w:cs="Arial"/>
          <w:color w:val="000000"/>
          <w:sz w:val="24"/>
        </w:rPr>
        <w:t xml:space="preserve"> 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B</w:t>
      </w:r>
      <w:r>
        <w:rPr>
          <w:rFonts w:hint="eastAsia" w:ascii="Times New Roman" w:hAnsi="Times New Roman" w:cs="Arial"/>
          <w:color w:val="000000"/>
          <w:sz w:val="24"/>
        </w:rPr>
        <w:t xml:space="preserve"> P1, P2, P3 and P4 were the primer positions for ChIP-qPCR. 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C</w:t>
      </w:r>
      <w:r>
        <w:rPr>
          <w:rFonts w:hint="eastAsia" w:ascii="Times New Roman" w:hAnsi="Times New Roman" w:cs="Arial"/>
          <w:color w:val="000000"/>
          <w:sz w:val="24"/>
        </w:rPr>
        <w:t xml:space="preserve"> RT-qPCR assay was used to detect the effect of BRD7 overexpression on circBRD7 expression in 5-8F and CNE2 cells</w:t>
      </w:r>
      <w:bookmarkEnd w:id="4"/>
      <w:bookmarkStart w:id="5" w:name="OLE_LINK19"/>
      <w:r>
        <w:rPr>
          <w:rFonts w:hint="eastAsia" w:ascii="Times New Roman" w:hAnsi="Times New Roman" w:cs="Arial"/>
          <w:color w:val="000000"/>
          <w:sz w:val="24"/>
        </w:rPr>
        <w:t xml:space="preserve">. ***, </w:t>
      </w:r>
      <w:r>
        <w:rPr>
          <w:rFonts w:hint="eastAsia" w:ascii="Times New Roman" w:hAnsi="Times New Roman" w:cs="Arial"/>
          <w:i/>
          <w:iCs/>
          <w:color w:val="000000"/>
          <w:sz w:val="24"/>
        </w:rPr>
        <w:t>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>0.001.</w:t>
      </w:r>
      <w:bookmarkEnd w:id="5"/>
    </w:p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5205095"/>
            <wp:effectExtent l="0" t="0" r="8890" b="8890"/>
            <wp:docPr id="8" name="图片 8" descr="文章Figure整理 -V6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文章Figure整理 -V6-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20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cs="Arial" w:eastAsiaTheme="minorEastAsia"/>
          <w:color w:val="000000"/>
          <w:sz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Arial"/>
          <w:b/>
          <w:bCs/>
          <w:color w:val="000000"/>
          <w:sz w:val="24"/>
        </w:rPr>
        <w:t>Fig</w:t>
      </w:r>
      <w:r>
        <w:rPr>
          <w:rFonts w:ascii="Times New Roman" w:hAnsi="Times New Roman" w:cs="Arial"/>
          <w:b/>
          <w:bCs/>
          <w:color w:val="000000"/>
          <w:sz w:val="24"/>
        </w:rPr>
        <w:t>ure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 xml:space="preserve"> S5 CeRNA is not an important mechanism of circBRD7 regulating BRD7 expression. A</w:t>
      </w:r>
      <w:r>
        <w:rPr>
          <w:rFonts w:hint="eastAsia" w:ascii="Times New Roman" w:hAnsi="Times New Roman" w:cs="Arial"/>
          <w:color w:val="000000"/>
          <w:sz w:val="24"/>
        </w:rPr>
        <w:t xml:space="preserve"> </w:t>
      </w:r>
      <w:bookmarkStart w:id="6" w:name="OLE_LINK18"/>
      <w:r>
        <w:rPr>
          <w:rFonts w:hint="eastAsia" w:ascii="Times New Roman" w:hAnsi="Times New Roman" w:cs="Arial"/>
          <w:color w:val="000000"/>
          <w:sz w:val="24"/>
        </w:rPr>
        <w:t xml:space="preserve">MicroRNAs that circBRD7-bound were predicted by browsing 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>s</w:t>
      </w:r>
      <w:r>
        <w:rPr>
          <w:rFonts w:hint="eastAsia" w:ascii="Times New Roman" w:hAnsi="Times New Roman" w:cs="Arial"/>
          <w:color w:val="000000"/>
          <w:sz w:val="24"/>
        </w:rPr>
        <w:t>tarbase and circinteractom.</w:t>
      </w:r>
      <w:bookmarkEnd w:id="6"/>
      <w:r>
        <w:rPr>
          <w:rFonts w:hint="eastAsia" w:ascii="Times New Roman" w:hAnsi="Times New Roman" w:cs="Arial"/>
          <w:color w:val="000000"/>
          <w:sz w:val="24"/>
        </w:rPr>
        <w:t xml:space="preserve"> 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B</w:t>
      </w:r>
      <w:r>
        <w:rPr>
          <w:rFonts w:hint="eastAsia" w:ascii="Times New Roman" w:hAnsi="Times New Roman" w:cs="Arial"/>
          <w:color w:val="000000"/>
          <w:sz w:val="24"/>
        </w:rPr>
        <w:t xml:space="preserve"> Starbase and TargetScan predicted BRD7-bound microRNAs. 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C</w:t>
      </w:r>
      <w:r>
        <w:rPr>
          <w:rFonts w:hint="eastAsia" w:ascii="Times New Roman" w:hAnsi="Times New Roman" w:cs="Arial"/>
          <w:color w:val="000000"/>
          <w:sz w:val="24"/>
        </w:rPr>
        <w:t xml:space="preserve"> MicroRNAs co-bound by circBRD7 and BRD7. 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D</w:t>
      </w:r>
      <w:r>
        <w:rPr>
          <w:rFonts w:hint="eastAsia" w:ascii="Times New Roman" w:hAnsi="Times New Roman" w:cs="Arial"/>
          <w:color w:val="000000"/>
          <w:sz w:val="24"/>
        </w:rPr>
        <w:t xml:space="preserve"> The binding sites of circBRD7 and BRD7 to miR-498 and miR-944. 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 xml:space="preserve">E </w:t>
      </w:r>
      <w:bookmarkStart w:id="7" w:name="OLE_LINK60"/>
      <w:r>
        <w:rPr>
          <w:rFonts w:hint="eastAsia" w:ascii="Times New Roman" w:hAnsi="Times New Roman" w:cs="Arial"/>
          <w:color w:val="000000"/>
          <w:sz w:val="24"/>
        </w:rPr>
        <w:t>RT-qPCR examine the effect of miR-498 and miR-944 overexpression on the expression of BRD7 and circBRD7.</w:t>
      </w:r>
      <w:bookmarkEnd w:id="7"/>
      <w:r>
        <w:rPr>
          <w:rFonts w:hint="eastAsia" w:ascii="Times New Roman" w:hAnsi="Times New Roman" w:cs="Arial"/>
          <w:color w:val="000000"/>
          <w:sz w:val="24"/>
        </w:rPr>
        <w:t xml:space="preserve"> 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F</w:t>
      </w:r>
      <w:r>
        <w:rPr>
          <w:rFonts w:hint="eastAsia" w:ascii="Times New Roman" w:hAnsi="Times New Roman" w:cs="Arial"/>
          <w:color w:val="000000"/>
          <w:sz w:val="24"/>
        </w:rPr>
        <w:t xml:space="preserve"> The effects of overexpressing miR-498 and miR-944 in NPC cells 5-8F and CNE2 on the expression of BRD7 protein were determined by western blot assay. *, </w:t>
      </w:r>
      <w:r>
        <w:rPr>
          <w:rFonts w:hint="eastAsia" w:ascii="Times New Roman" w:hAnsi="Times New Roman" w:cs="Arial"/>
          <w:i/>
          <w:iCs/>
          <w:color w:val="000000"/>
          <w:sz w:val="24"/>
        </w:rPr>
        <w:t>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 xml:space="preserve">0.05; **, </w:t>
      </w:r>
      <w:r>
        <w:rPr>
          <w:rFonts w:hint="eastAsia" w:ascii="Times New Roman" w:hAnsi="Times New Roman" w:cs="Arial"/>
          <w:i/>
          <w:iCs/>
          <w:color w:val="000000"/>
          <w:sz w:val="24"/>
        </w:rPr>
        <w:t>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 xml:space="preserve">0.01; ***, </w:t>
      </w:r>
      <w:r>
        <w:rPr>
          <w:rFonts w:hint="eastAsia" w:ascii="Times New Roman" w:hAnsi="Times New Roman" w:cs="Arial"/>
          <w:i/>
          <w:iCs/>
          <w:color w:val="000000"/>
          <w:sz w:val="24"/>
        </w:rPr>
        <w:t>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>0.001; ns, no significance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>.</w:t>
      </w:r>
    </w:p>
    <w:p>
      <w:pPr>
        <w:spacing w:line="360" w:lineRule="auto"/>
        <w:rPr>
          <w:rFonts w:ascii="Times New Roman" w:hAnsi="Times New Roman" w:cs="Arial"/>
          <w:color w:val="000000"/>
          <w:sz w:val="24"/>
        </w:rPr>
      </w:pPr>
    </w:p>
    <w:p>
      <w:pPr>
        <w:spacing w:line="360" w:lineRule="auto"/>
        <w:rPr>
          <w:rFonts w:hint="eastAsia" w:ascii="Times New Roman" w:hAnsi="Times New Roman" w:cs="Arial" w:eastAsiaTheme="minorEastAsia"/>
          <w:color w:val="000000"/>
          <w:sz w:val="24"/>
          <w:lang w:eastAsia="zh-CN"/>
        </w:rPr>
      </w:pPr>
      <w:r>
        <w:rPr>
          <w:rFonts w:hint="eastAsia" w:ascii="Times New Roman" w:hAnsi="Times New Roman" w:cs="Arial" w:eastAsiaTheme="minorEastAsia"/>
          <w:color w:val="000000"/>
          <w:sz w:val="24"/>
          <w:lang w:eastAsia="zh-CN"/>
        </w:rPr>
        <w:drawing>
          <wp:inline distT="0" distB="0" distL="114300" distR="114300">
            <wp:extent cx="5268595" cy="3093720"/>
            <wp:effectExtent l="0" t="0" r="10160" b="4445"/>
            <wp:docPr id="9" name="图片 9" descr="文章Figure整理 -V6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文章Figure整理 -V6-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Times New Roman" w:hAnsi="Times New Roman" w:cs="Arial"/>
          <w:color w:val="000000"/>
          <w:sz w:val="24"/>
        </w:rPr>
      </w:pPr>
      <w:r>
        <w:rPr>
          <w:rFonts w:ascii="Times New Roman" w:hAnsi="Times New Roman" w:cs="Arial"/>
          <w:b/>
          <w:bCs/>
          <w:color w:val="000000"/>
          <w:sz w:val="24"/>
        </w:rPr>
        <w:t>Figure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 xml:space="preserve"> </w:t>
      </w:r>
      <w:r>
        <w:rPr>
          <w:rFonts w:ascii="Times New Roman" w:hAnsi="Times New Roman" w:cs="Arial"/>
          <w:b/>
          <w:bCs/>
          <w:color w:val="000000"/>
          <w:sz w:val="24"/>
        </w:rPr>
        <w:t>S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6 Restoring BRD7 expression reverses the inhibitory effect of circBRD7 on NPC cell cycle progression and the promotion of apoptosis</w:t>
      </w:r>
      <w:bookmarkStart w:id="8" w:name="OLE_LINK33"/>
      <w:r>
        <w:rPr>
          <w:rFonts w:hint="eastAsia" w:ascii="Times New Roman" w:hAnsi="Times New Roman" w:cs="Arial"/>
          <w:b/>
          <w:bCs/>
          <w:color w:val="000000"/>
          <w:sz w:val="24"/>
        </w:rPr>
        <w:t>. A, B</w:t>
      </w:r>
      <w:r>
        <w:rPr>
          <w:rFonts w:hint="eastAsia" w:ascii="Times New Roman" w:hAnsi="Times New Roman" w:cs="Arial"/>
          <w:color w:val="000000"/>
          <w:sz w:val="24"/>
        </w:rPr>
        <w:t xml:space="preserve"> </w:t>
      </w:r>
      <w:r>
        <w:rPr>
          <w:rFonts w:hint="eastAsia" w:ascii="Times New Roman" w:hAnsi="Times New Roman" w:eastAsia="宋体" w:cs="Arial"/>
          <w:color w:val="000000"/>
          <w:sz w:val="24"/>
        </w:rPr>
        <w:t>Flow cytometry was used to de</w:t>
      </w:r>
      <w:r>
        <w:rPr>
          <w:rFonts w:hint="eastAsia" w:ascii="Times New Roman" w:hAnsi="Times New Roman" w:cs="Arial"/>
          <w:color w:val="000000"/>
          <w:sz w:val="24"/>
        </w:rPr>
        <w:t>termine</w:t>
      </w:r>
      <w:r>
        <w:rPr>
          <w:rFonts w:hint="eastAsia" w:ascii="Times New Roman" w:hAnsi="Times New Roman" w:eastAsia="宋体" w:cs="Arial"/>
          <w:color w:val="000000"/>
          <w:sz w:val="24"/>
        </w:rPr>
        <w:t xml:space="preserve"> the effect of restored BRD7 expression on</w:t>
      </w:r>
      <w:r>
        <w:rPr>
          <w:rFonts w:hint="eastAsia" w:ascii="Times New Roman" w:hAnsi="Times New Roman" w:cs="Arial"/>
          <w:color w:val="000000"/>
          <w:sz w:val="24"/>
        </w:rPr>
        <w:t xml:space="preserve"> </w:t>
      </w:r>
      <w:r>
        <w:rPr>
          <w:rFonts w:hint="eastAsia" w:ascii="Times New Roman" w:hAnsi="Times New Roman" w:eastAsia="宋体" w:cs="Arial"/>
          <w:color w:val="000000"/>
          <w:sz w:val="24"/>
        </w:rPr>
        <w:t>cycle progression</w:t>
      </w:r>
      <w:r>
        <w:rPr>
          <w:rFonts w:hint="eastAsia" w:ascii="Times New Roman" w:hAnsi="Times New Roman" w:cs="Arial"/>
          <w:color w:val="000000"/>
          <w:sz w:val="24"/>
        </w:rPr>
        <w:t xml:space="preserve"> (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A</w:t>
      </w:r>
      <w:r>
        <w:rPr>
          <w:rFonts w:hint="eastAsia" w:ascii="Times New Roman" w:hAnsi="Times New Roman" w:cs="Arial"/>
          <w:color w:val="000000"/>
          <w:sz w:val="24"/>
        </w:rPr>
        <w:t>) and cell apoptosis (</w:t>
      </w:r>
      <w:r>
        <w:rPr>
          <w:rFonts w:hint="eastAsia" w:ascii="Times New Roman" w:hAnsi="Times New Roman" w:cs="Arial"/>
          <w:b/>
          <w:bCs/>
          <w:color w:val="000000"/>
          <w:sz w:val="24"/>
        </w:rPr>
        <w:t>B</w:t>
      </w:r>
      <w:r>
        <w:rPr>
          <w:rFonts w:hint="eastAsia" w:ascii="Times New Roman" w:hAnsi="Times New Roman" w:cs="Arial"/>
          <w:color w:val="000000"/>
          <w:sz w:val="24"/>
        </w:rPr>
        <w:t>)</w:t>
      </w:r>
      <w:r>
        <w:rPr>
          <w:rFonts w:hint="eastAsia" w:ascii="Times New Roman" w:hAnsi="Times New Roman" w:eastAsia="宋体" w:cs="Arial"/>
          <w:color w:val="000000"/>
          <w:sz w:val="24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 xml:space="preserve">of </w:t>
      </w:r>
      <w:r>
        <w:rPr>
          <w:rFonts w:hint="eastAsia" w:ascii="Times New Roman" w:hAnsi="Times New Roman" w:eastAsia="宋体" w:cs="Arial"/>
          <w:color w:val="000000"/>
          <w:sz w:val="24"/>
        </w:rPr>
        <w:t xml:space="preserve">5-8F and CNE2 in </w:t>
      </w:r>
      <w:r>
        <w:rPr>
          <w:rFonts w:hint="eastAsia" w:ascii="Times New Roman" w:hAnsi="Times New Roman" w:cs="Arial"/>
          <w:color w:val="000000"/>
          <w:sz w:val="24"/>
        </w:rPr>
        <w:t>NPC</w:t>
      </w:r>
      <w:r>
        <w:rPr>
          <w:rFonts w:hint="eastAsia" w:ascii="Times New Roman" w:hAnsi="Times New Roman" w:eastAsia="宋体" w:cs="Arial"/>
          <w:color w:val="000000"/>
          <w:sz w:val="24"/>
        </w:rPr>
        <w:t xml:space="preserve"> cells.</w:t>
      </w:r>
      <w:bookmarkEnd w:id="8"/>
      <w:r>
        <w:rPr>
          <w:rFonts w:hint="eastAsia" w:ascii="Times New Roman" w:hAnsi="Times New Roman" w:eastAsia="宋体" w:cs="Arial"/>
          <w:color w:val="000000"/>
          <w:sz w:val="24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 xml:space="preserve">*, </w:t>
      </w:r>
      <w:r>
        <w:rPr>
          <w:rFonts w:hint="eastAsia" w:ascii="Times New Roman" w:hAnsi="Times New Roman" w:cs="Arial"/>
          <w:i/>
          <w:iCs/>
          <w:color w:val="000000"/>
          <w:sz w:val="24"/>
        </w:rPr>
        <w:t>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 xml:space="preserve">0.05; **, </w:t>
      </w:r>
      <w:r>
        <w:rPr>
          <w:rFonts w:hint="eastAsia" w:ascii="Times New Roman" w:hAnsi="Times New Roman" w:cs="Arial"/>
          <w:i/>
          <w:iCs/>
          <w:color w:val="000000"/>
          <w:sz w:val="24"/>
        </w:rPr>
        <w:t>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 xml:space="preserve">0.01; ***, </w:t>
      </w:r>
      <w:r>
        <w:rPr>
          <w:rFonts w:hint="eastAsia" w:ascii="Times New Roman" w:hAnsi="Times New Roman" w:cs="Arial"/>
          <w:i/>
          <w:iCs/>
          <w:color w:val="000000"/>
          <w:sz w:val="24"/>
        </w:rPr>
        <w:t>p</w:t>
      </w:r>
      <w:r>
        <w:rPr>
          <w:rFonts w:hint="eastAsia" w:ascii="Times New Roman" w:hAnsi="Times New Roman" w:cs="Arial"/>
          <w:i/>
          <w:iCs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>&lt;</w:t>
      </w:r>
      <w:r>
        <w:rPr>
          <w:rFonts w:hint="eastAsia" w:ascii="Times New Roman" w:hAnsi="Times New Roman" w:cs="Arial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Arial"/>
          <w:color w:val="000000"/>
          <w:sz w:val="24"/>
        </w:rPr>
        <w:t>0.001; ns, no significance.</w:t>
      </w:r>
    </w:p>
    <w:p>
      <w:pPr>
        <w:spacing w:line="360" w:lineRule="auto"/>
        <w:jc w:val="left"/>
        <w:rPr>
          <w:rFonts w:ascii="Times New Roman" w:hAnsi="Times New Roman" w:cs="Arial"/>
          <w:color w:val="000000"/>
          <w:sz w:val="24"/>
        </w:rPr>
      </w:pPr>
    </w:p>
    <w:p>
      <w:pPr>
        <w:spacing w:line="360" w:lineRule="auto"/>
        <w:jc w:val="left"/>
        <w:rPr>
          <w:rFonts w:ascii="Times New Roman" w:hAnsi="Times New Roman" w:cs="Arial"/>
          <w:color w:val="000000"/>
          <w:sz w:val="24"/>
        </w:rPr>
      </w:pPr>
    </w:p>
    <w:p>
      <w:pPr>
        <w:widowControl/>
        <w:jc w:val="left"/>
        <w:rPr>
          <w:rFonts w:ascii="Times New Roman" w:hAnsi="Times New Roman" w:eastAsia="宋体" w:cs="Arial"/>
          <w:color w:val="000000"/>
          <w:sz w:val="24"/>
        </w:rPr>
      </w:pPr>
      <w:r>
        <w:rPr>
          <w:rFonts w:ascii="Times New Roman" w:hAnsi="Times New Roman" w:cs="Arial"/>
          <w:color w:val="000000"/>
          <w:sz w:val="24"/>
        </w:rPr>
        <w:br w:type="page"/>
      </w:r>
    </w:p>
    <w:p>
      <w:pPr>
        <w:spacing w:line="360" w:lineRule="auto"/>
        <w:rPr>
          <w:rFonts w:hint="default" w:ascii="Times New Roman" w:hAnsi="Times New Roman" w:eastAsia="宋体" w:cs="Arial"/>
          <w:b/>
          <w:color w:val="000000"/>
          <w:sz w:val="24"/>
          <w:lang w:val="en-US" w:eastAsia="zh-CN"/>
        </w:rPr>
      </w:pPr>
      <w:r>
        <w:rPr>
          <w:rFonts w:hint="eastAsia" w:ascii="Times New Roman" w:hAnsi="Times New Roman" w:eastAsia="宋体" w:cs="Arial"/>
          <w:b/>
          <w:color w:val="000000"/>
          <w:sz w:val="24"/>
        </w:rPr>
        <w:t>Table S</w:t>
      </w:r>
      <w:r>
        <w:rPr>
          <w:rFonts w:hint="eastAsia" w:ascii="Times New Roman" w:hAnsi="Times New Roman" w:eastAsia="宋体" w:cs="Arial"/>
          <w:b/>
          <w:color w:val="000000"/>
          <w:sz w:val="24"/>
          <w:lang w:val="en-US" w:eastAsia="zh-CN"/>
        </w:rPr>
        <w:t>1</w:t>
      </w:r>
      <w:r>
        <w:rPr>
          <w:rFonts w:hint="eastAsia" w:ascii="Times New Roman" w:hAnsi="Times New Roman" w:eastAsia="宋体" w:cs="Arial"/>
          <w:b/>
          <w:color w:val="000000"/>
          <w:sz w:val="24"/>
        </w:rPr>
        <w:t xml:space="preserve"> </w:t>
      </w:r>
      <w:r>
        <w:rPr>
          <w:rFonts w:hint="eastAsia" w:ascii="Times New Roman" w:hAnsi="Times New Roman" w:eastAsia="宋体" w:cs="Arial"/>
          <w:b/>
          <w:color w:val="000000"/>
          <w:sz w:val="24"/>
          <w:lang w:val="en-US" w:eastAsia="zh-CN"/>
        </w:rPr>
        <w:t xml:space="preserve">The </w:t>
      </w:r>
      <w:r>
        <w:rPr>
          <w:rFonts w:hint="eastAsia" w:ascii="Times New Roman" w:hAnsi="Times New Roman" w:eastAsia="宋体" w:cs="Arial"/>
          <w:b/>
          <w:bCs w:val="0"/>
          <w:color w:val="000000"/>
          <w:sz w:val="24"/>
        </w:rPr>
        <w:t xml:space="preserve">RT-qPCR primer sequences </w:t>
      </w:r>
      <w:r>
        <w:rPr>
          <w:rFonts w:ascii="Times New Roman" w:hAnsi="Times New Roman" w:eastAsia="宋体" w:cs="Arial"/>
          <w:b/>
          <w:bCs w:val="0"/>
          <w:color w:val="000000"/>
          <w:sz w:val="24"/>
        </w:rPr>
        <w:t xml:space="preserve">used </w:t>
      </w:r>
      <w:r>
        <w:rPr>
          <w:rFonts w:hint="eastAsia" w:ascii="Times New Roman" w:hAnsi="Times New Roman" w:eastAsia="宋体" w:cs="Arial"/>
          <w:b/>
          <w:bCs w:val="0"/>
          <w:color w:val="000000"/>
          <w:sz w:val="24"/>
          <w:lang w:val="en-US" w:eastAsia="zh-CN"/>
        </w:rPr>
        <w:t xml:space="preserve">for detection of other </w:t>
      </w:r>
      <w:bookmarkStart w:id="9" w:name="OLE_LINK1"/>
      <w:r>
        <w:rPr>
          <w:rFonts w:hint="eastAsia" w:ascii="Times New Roman" w:hAnsi="Times New Roman" w:eastAsia="宋体" w:cs="Arial"/>
          <w:b/>
          <w:bCs w:val="0"/>
          <w:color w:val="000000"/>
          <w:sz w:val="24"/>
          <w:lang w:val="en-US" w:eastAsia="zh-CN"/>
        </w:rPr>
        <w:t xml:space="preserve">potential circRNAs </w:t>
      </w:r>
      <w:r>
        <w:rPr>
          <w:rFonts w:ascii="Times New Roman" w:hAnsi="Times New Roman" w:cs="Arial"/>
          <w:b/>
          <w:bCs w:val="0"/>
          <w:color w:val="000000"/>
          <w:sz w:val="24"/>
        </w:rPr>
        <w:t>derived from</w:t>
      </w:r>
      <w:r>
        <w:rPr>
          <w:rFonts w:hint="eastAsia" w:ascii="Times New Roman" w:hAnsi="Times New Roman" w:eastAsia="宋体" w:cs="Arial"/>
          <w:b/>
          <w:bCs w:val="0"/>
          <w:color w:val="000000"/>
          <w:sz w:val="24"/>
          <w:lang w:val="en-US" w:eastAsia="zh-CN"/>
        </w:rPr>
        <w:t xml:space="preserve"> BRD7</w:t>
      </w:r>
      <w:bookmarkEnd w:id="9"/>
      <w:r>
        <w:rPr>
          <w:rFonts w:hint="eastAsia" w:ascii="Times New Roman" w:hAnsi="Times New Roman" w:eastAsia="宋体" w:cs="Arial"/>
          <w:b/>
          <w:bCs w:val="0"/>
          <w:color w:val="000000"/>
          <w:sz w:val="24"/>
          <w:lang w:val="en-US" w:eastAsia="zh-CN"/>
        </w:rPr>
        <w:t>.</w:t>
      </w:r>
    </w:p>
    <w:tbl>
      <w:tblPr>
        <w:tblStyle w:val="7"/>
        <w:tblW w:w="858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13"/>
        <w:gridCol w:w="3809"/>
        <w:gridCol w:w="19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Name</w:t>
            </w:r>
          </w:p>
        </w:tc>
        <w:tc>
          <w:tcPr>
            <w:tcW w:w="3809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Sequences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（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5’-3’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）</w:t>
            </w:r>
          </w:p>
        </w:tc>
        <w:tc>
          <w:tcPr>
            <w:tcW w:w="1962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Primer Length (bp)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textAlignment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hint="eastAsia" w:ascii="Times New Roman" w:hAnsi="Times New Roman" w:eastAsia="微软雅黑" w:cs="Times New Roman"/>
                <w:sz w:val="24"/>
              </w:rPr>
              <w:t>hsa_circ_0039343-Forward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GGGCCCTACAGTTCTTATGC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微软雅黑" w:cs="Times New Roman"/>
                <w:sz w:val="24"/>
              </w:rPr>
              <w:t>hsa_circ_0039343-Reverse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GGAGAGTTCGGTGACTTCGT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textAlignment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hint="eastAsia" w:ascii="Times New Roman" w:hAnsi="Times New Roman" w:eastAsia="微软雅黑" w:cs="Times New Roman"/>
                <w:sz w:val="24"/>
              </w:rPr>
              <w:t>hsa_circ_0039344-Forward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CTGTGAGACTGGGAATGACAAC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微软雅黑" w:cs="Times New Roman"/>
                <w:sz w:val="24"/>
              </w:rPr>
              <w:t>hsa_circ_0039344-Reverse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TCTTCTTTCAAATTCGCACTGG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hsa_circ_19158</w:t>
            </w:r>
            <w:r>
              <w:rPr>
                <w:rFonts w:hint="eastAsia" w:ascii="Times New Roman" w:hAnsi="Times New Roman" w:eastAsia="微软雅黑" w:cs="Times New Roman"/>
                <w:sz w:val="24"/>
              </w:rPr>
              <w:t>-Forward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CGTGCCAAGATTATCCGTATGT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hsa_circ_19158</w:t>
            </w:r>
            <w:r>
              <w:rPr>
                <w:rFonts w:hint="eastAsia" w:ascii="Times New Roman" w:hAnsi="Times New Roman" w:eastAsia="微软雅黑" w:cs="Times New Roman"/>
                <w:sz w:val="24"/>
              </w:rPr>
              <w:t>-Reverse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CCAGTTGTCATTCCCAGTCTCA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hsa_circ_0105514</w:t>
            </w:r>
            <w:r>
              <w:rPr>
                <w:rFonts w:hint="eastAsia" w:ascii="Times New Roman" w:hAnsi="Times New Roman" w:eastAsia="微软雅黑" w:cs="Times New Roman"/>
                <w:sz w:val="24"/>
              </w:rPr>
              <w:t>-Forward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GTGCAGAAGAGCCACAATGA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hsa_circ_0105514</w:t>
            </w:r>
            <w:r>
              <w:rPr>
                <w:rFonts w:hint="eastAsia" w:ascii="Times New Roman" w:hAnsi="Times New Roman" w:eastAsia="微软雅黑" w:cs="Times New Roman"/>
                <w:sz w:val="24"/>
              </w:rPr>
              <w:t>-Reverse</w:t>
            </w:r>
          </w:p>
        </w:tc>
        <w:tc>
          <w:tcPr>
            <w:tcW w:w="3809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TTCTTATCCATGGGTTCCACA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21</w:t>
            </w:r>
          </w:p>
        </w:tc>
      </w:tr>
    </w:tbl>
    <w:p/>
    <w:p/>
    <w:p/>
    <w:p>
      <w:pPr>
        <w:widowControl/>
        <w:jc w:val="left"/>
        <w:rPr>
          <w:rFonts w:ascii="Times New Roman" w:hAnsi="Times New Roman" w:eastAsia="宋体" w:cs="Arial"/>
          <w:color w:val="000000"/>
          <w:sz w:val="24"/>
        </w:rPr>
      </w:pPr>
      <w:r>
        <w:br w:type="page"/>
      </w:r>
    </w:p>
    <w:p>
      <w:pPr>
        <w:spacing w:line="360" w:lineRule="auto"/>
        <w:rPr>
          <w:rFonts w:hint="eastAsia" w:ascii="Times New Roman" w:hAnsi="Times New Roman" w:eastAsia="宋体" w:cs="Arial"/>
          <w:b/>
          <w:bCs w:val="0"/>
          <w:color w:val="000000"/>
          <w:sz w:val="24"/>
          <w:lang w:val="en-US" w:eastAsia="zh-CN"/>
        </w:rPr>
      </w:pPr>
      <w:r>
        <w:rPr>
          <w:rFonts w:hint="eastAsia" w:ascii="Times New Roman" w:hAnsi="Times New Roman" w:eastAsia="宋体" w:cs="Arial"/>
          <w:b/>
          <w:color w:val="000000"/>
          <w:sz w:val="24"/>
        </w:rPr>
        <w:t>Table S</w:t>
      </w:r>
      <w:r>
        <w:rPr>
          <w:rFonts w:hint="eastAsia" w:ascii="Times New Roman" w:hAnsi="Times New Roman" w:eastAsia="宋体" w:cs="Arial"/>
          <w:b/>
          <w:color w:val="000000"/>
          <w:sz w:val="24"/>
          <w:lang w:val="en-US" w:eastAsia="zh-CN"/>
        </w:rPr>
        <w:t>2</w:t>
      </w:r>
      <w:r>
        <w:rPr>
          <w:rFonts w:hint="eastAsia" w:ascii="Times New Roman" w:hAnsi="Times New Roman" w:eastAsia="宋体" w:cs="Arial"/>
          <w:b/>
          <w:color w:val="000000"/>
          <w:sz w:val="24"/>
        </w:rPr>
        <w:t xml:space="preserve"> </w:t>
      </w:r>
      <w:r>
        <w:rPr>
          <w:rFonts w:hint="eastAsia" w:ascii="Times New Roman" w:hAnsi="Times New Roman" w:eastAsia="宋体" w:cs="Arial"/>
          <w:b/>
          <w:color w:val="000000"/>
          <w:sz w:val="24"/>
          <w:lang w:val="en-US" w:eastAsia="zh-CN"/>
        </w:rPr>
        <w:t xml:space="preserve">The </w:t>
      </w:r>
      <w:r>
        <w:rPr>
          <w:rFonts w:hint="eastAsia" w:ascii="Times New Roman" w:hAnsi="Times New Roman" w:eastAsia="宋体" w:cs="Arial"/>
          <w:b/>
          <w:bCs w:val="0"/>
          <w:color w:val="000000"/>
          <w:sz w:val="24"/>
        </w:rPr>
        <w:t xml:space="preserve">RT-qPCR primer sequences </w:t>
      </w:r>
      <w:r>
        <w:rPr>
          <w:rFonts w:ascii="Times New Roman" w:hAnsi="Times New Roman" w:eastAsia="宋体" w:cs="Arial"/>
          <w:b/>
          <w:bCs w:val="0"/>
          <w:color w:val="000000"/>
          <w:sz w:val="24"/>
        </w:rPr>
        <w:t xml:space="preserve">used </w:t>
      </w:r>
      <w:r>
        <w:rPr>
          <w:rFonts w:hint="eastAsia" w:ascii="Times New Roman" w:hAnsi="Times New Roman" w:eastAsia="宋体" w:cs="Arial"/>
          <w:b/>
          <w:bCs w:val="0"/>
          <w:color w:val="000000"/>
          <w:sz w:val="24"/>
          <w:lang w:val="en-US" w:eastAsia="zh-CN"/>
        </w:rPr>
        <w:t>for detection of miR-498 and miR-944.</w:t>
      </w:r>
    </w:p>
    <w:tbl>
      <w:tblPr>
        <w:tblStyle w:val="7"/>
        <w:tblW w:w="858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13"/>
        <w:gridCol w:w="3809"/>
        <w:gridCol w:w="19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Name</w:t>
            </w:r>
          </w:p>
        </w:tc>
        <w:tc>
          <w:tcPr>
            <w:tcW w:w="3809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Sequences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（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5’-3’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）</w:t>
            </w:r>
          </w:p>
        </w:tc>
        <w:tc>
          <w:tcPr>
            <w:tcW w:w="1962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Primer Length (bp)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hsa-miR-498-</w:t>
            </w:r>
            <w:r>
              <w:rPr>
                <w:rFonts w:hint="eastAsia" w:ascii="Times New Roman" w:hAnsi="Times New Roman" w:eastAsia="微软雅黑" w:cs="Times New Roman"/>
                <w:sz w:val="24"/>
              </w:rPr>
              <w:t>Forward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TTTCAAGCCAGGGGGCGTTTTTC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hsa-miR-498-Reverse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miDETECT miRNA qRT-PCR Starter Kit universal primer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hsa-miR-944-</w:t>
            </w:r>
            <w:r>
              <w:rPr>
                <w:rFonts w:hint="eastAsia" w:ascii="Times New Roman" w:hAnsi="Times New Roman" w:eastAsia="微软雅黑" w:cs="Times New Roman"/>
                <w:sz w:val="24"/>
              </w:rPr>
              <w:t>Forward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AAATTATTGTACATCGGATGAG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hsa-miR-944-Reverse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miDETECT miRNA qRT-PCR Starter Kit universal primer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U6-</w:t>
            </w:r>
            <w:r>
              <w:rPr>
                <w:rFonts w:hint="eastAsia" w:ascii="Times New Roman" w:hAnsi="Times New Roman" w:eastAsia="微软雅黑" w:cs="Times New Roman"/>
                <w:sz w:val="24"/>
              </w:rPr>
              <w:t>Forward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ATTGGAACGATACAGAGAAGATT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281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U6-Reverse</w:t>
            </w:r>
          </w:p>
        </w:tc>
        <w:tc>
          <w:tcPr>
            <w:tcW w:w="3809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GGAACGCTTCACGAATTTG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19</w:t>
            </w:r>
          </w:p>
        </w:tc>
      </w:tr>
    </w:tbl>
    <w:p>
      <w:pPr>
        <w:spacing w:line="360" w:lineRule="auto"/>
        <w:rPr>
          <w:rFonts w:hint="default" w:ascii="Times New Roman" w:hAnsi="Times New Roman" w:eastAsia="宋体" w:cs="Arial"/>
          <w:b/>
          <w:bCs w:val="0"/>
          <w:color w:val="000000"/>
          <w:sz w:val="24"/>
          <w:lang w:val="en-US" w:eastAsia="zh-CN"/>
        </w:rPr>
      </w:pP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2651273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VjMTNiMDUwYWQ0MGU0MzFjYmE1Y2ExNzBiZGRhMDUifQ=="/>
  </w:docVars>
  <w:rsids>
    <w:rsidRoot w:val="00614464"/>
    <w:rsid w:val="000C5DB9"/>
    <w:rsid w:val="00614464"/>
    <w:rsid w:val="00670D9D"/>
    <w:rsid w:val="008618F4"/>
    <w:rsid w:val="0090304A"/>
    <w:rsid w:val="009B4D3E"/>
    <w:rsid w:val="00A06192"/>
    <w:rsid w:val="00B3489E"/>
    <w:rsid w:val="00B55BF5"/>
    <w:rsid w:val="00C4180C"/>
    <w:rsid w:val="00CF7291"/>
    <w:rsid w:val="00D541A4"/>
    <w:rsid w:val="00F77CE2"/>
    <w:rsid w:val="022E1042"/>
    <w:rsid w:val="09923F41"/>
    <w:rsid w:val="141F56FC"/>
    <w:rsid w:val="1EBF3159"/>
    <w:rsid w:val="224B3E9F"/>
    <w:rsid w:val="260142D7"/>
    <w:rsid w:val="28263DD1"/>
    <w:rsid w:val="28A079BC"/>
    <w:rsid w:val="2DDC528E"/>
    <w:rsid w:val="2EC97306"/>
    <w:rsid w:val="3056591D"/>
    <w:rsid w:val="36BA7920"/>
    <w:rsid w:val="36F666FD"/>
    <w:rsid w:val="3F0F2C69"/>
    <w:rsid w:val="4399763F"/>
    <w:rsid w:val="53FC4122"/>
    <w:rsid w:val="545F714A"/>
    <w:rsid w:val="64EB4B8C"/>
    <w:rsid w:val="681F5C6F"/>
    <w:rsid w:val="687F7C1D"/>
    <w:rsid w:val="6EDB7CF8"/>
    <w:rsid w:val="74512C58"/>
    <w:rsid w:val="76723C84"/>
    <w:rsid w:val="7D88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kern w:val="2"/>
      <w:sz w:val="18"/>
      <w:szCs w:val="18"/>
    </w:rPr>
  </w:style>
  <w:style w:type="paragraph" w:customStyle="1" w:styleId="12">
    <w:name w:val="Author List"/>
    <w:basedOn w:val="1"/>
    <w:next w:val="1"/>
    <w:qFormat/>
    <w:uiPriority w:val="1"/>
    <w:pPr>
      <w:widowControl/>
      <w:spacing w:before="240" w:after="240"/>
      <w:jc w:val="left"/>
    </w:pPr>
    <w:rPr>
      <w:rFonts w:ascii="Times New Roman" w:hAnsi="Times New Roman" w:eastAsia="宋体" w:cs="Times New Roman"/>
      <w:b/>
      <w:kern w:val="0"/>
      <w:sz w:val="24"/>
      <w:lang w:eastAsia="en-US"/>
    </w:rPr>
  </w:style>
  <w:style w:type="character" w:customStyle="1" w:styleId="13">
    <w:name w:val="批注文字 字符"/>
    <w:basedOn w:val="8"/>
    <w:link w:val="2"/>
    <w:uiPriority w:val="0"/>
    <w:rPr>
      <w:kern w:val="2"/>
      <w:sz w:val="21"/>
      <w:szCs w:val="24"/>
    </w:rPr>
  </w:style>
  <w:style w:type="character" w:customStyle="1" w:styleId="14">
    <w:name w:val="批注主题 字符"/>
    <w:basedOn w:val="13"/>
    <w:link w:val="6"/>
    <w:qFormat/>
    <w:uiPriority w:val="0"/>
    <w:rPr>
      <w:b/>
      <w:bCs/>
      <w:kern w:val="2"/>
      <w:sz w:val="21"/>
      <w:szCs w:val="24"/>
    </w:rPr>
  </w:style>
  <w:style w:type="character" w:customStyle="1" w:styleId="15">
    <w:name w:val="批注框文本 字符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618</Words>
  <Characters>3662</Characters>
  <Lines>34</Lines>
  <Paragraphs>9</Paragraphs>
  <TotalTime>0</TotalTime>
  <ScaleCrop>false</ScaleCrop>
  <LinksUpToDate>false</LinksUpToDate>
  <CharactersWithSpaces>4216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2022-08-12T03:36:00Z</dcterms:created>
  <dc:creator>wjx</dc:creator>
  <cp:lastModifiedBy>凉城</cp:lastModifiedBy>
  <dcterms:modified xsi:type="dcterms:W3CDTF">2022-09-16T01:12:06Z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C84E6DFF38B1437BBFF31925DB8C6DD2</vt:lpwstr>
  </property>
</Properties>
</file>