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399EC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>Figure Legend</w:t>
      </w:r>
    </w:p>
    <w:p w14:paraId="39E4D890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1B54E062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>Figure 1. Common alterations and tumor mutational burden.</w:t>
      </w:r>
    </w:p>
    <w:p w14:paraId="2230E1CD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485332EA" w14:textId="3A176826" w:rsidR="001F693B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>Figure 2. Enriched pathways.</w:t>
      </w:r>
    </w:p>
    <w:p w14:paraId="2F034170" w14:textId="2AF2320B" w:rsidR="00D43BC9" w:rsidRDefault="00D43BC9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497AA7D6" w14:textId="318DE1D8" w:rsidR="00D43BC9" w:rsidRPr="00D43BC9" w:rsidRDefault="00D43BC9" w:rsidP="002F6F86">
      <w:pPr>
        <w:spacing w:line="360" w:lineRule="auto"/>
        <w:rPr>
          <w:rFonts w:ascii="Arial" w:eastAsia="等线" w:hAnsi="Arial" w:cs="Arial" w:hint="eastAsia"/>
        </w:rPr>
      </w:pPr>
      <w:r>
        <w:rPr>
          <w:rFonts w:ascii="Arial" w:eastAsia="等线" w:hAnsi="Arial" w:cs="Arial" w:hint="eastAsia"/>
          <w:szCs w:val="21"/>
        </w:rPr>
        <w:t>F</w:t>
      </w:r>
      <w:r>
        <w:rPr>
          <w:rFonts w:ascii="Arial" w:eastAsia="等线" w:hAnsi="Arial" w:cs="Arial"/>
          <w:szCs w:val="21"/>
        </w:rPr>
        <w:t xml:space="preserve">igure 3. </w:t>
      </w:r>
      <w:r>
        <w:rPr>
          <w:rFonts w:ascii="Arial" w:eastAsia="等线" w:hAnsi="Arial" w:cs="Arial"/>
        </w:rPr>
        <w:t>T</w:t>
      </w:r>
      <w:r w:rsidRPr="00D43BC9">
        <w:rPr>
          <w:rFonts w:ascii="Arial" w:eastAsia="等线" w:hAnsi="Arial" w:cs="Arial"/>
        </w:rPr>
        <w:t xml:space="preserve">he immunohistochemical results for PD-L1 were negative in patient sample A </w:t>
      </w:r>
      <w:r>
        <w:rPr>
          <w:rFonts w:ascii="Arial" w:eastAsia="等线" w:hAnsi="Arial" w:cs="Arial"/>
        </w:rPr>
        <w:t xml:space="preserve">(A) </w:t>
      </w:r>
      <w:r w:rsidRPr="00D43BC9">
        <w:rPr>
          <w:rFonts w:ascii="Arial" w:eastAsia="等线" w:hAnsi="Arial" w:cs="Arial"/>
        </w:rPr>
        <w:t>and positive (1%) in patient sample B</w:t>
      </w:r>
      <w:r>
        <w:rPr>
          <w:rFonts w:ascii="Arial" w:eastAsia="等线" w:hAnsi="Arial" w:cs="Arial"/>
        </w:rPr>
        <w:t xml:space="preserve"> (B). Negative control (</w:t>
      </w:r>
      <w:r>
        <w:rPr>
          <w:rFonts w:ascii="Arial" w:eastAsia="等线" w:hAnsi="Arial" w:cs="Arial" w:hint="eastAsia"/>
        </w:rPr>
        <w:t>C) a</w:t>
      </w:r>
      <w:r>
        <w:rPr>
          <w:rFonts w:ascii="Arial" w:eastAsia="等线" w:hAnsi="Arial" w:cs="Arial"/>
        </w:rPr>
        <w:t>nd positive control (D).</w:t>
      </w:r>
    </w:p>
    <w:p w14:paraId="3AD512C0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1B3D1E21" w14:textId="45150D02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 xml:space="preserve">Figure </w:t>
      </w:r>
      <w:r w:rsidR="00D43BC9">
        <w:rPr>
          <w:rFonts w:ascii="Arial" w:eastAsia="等线" w:hAnsi="Arial" w:cs="Arial"/>
          <w:szCs w:val="21"/>
        </w:rPr>
        <w:t>4</w:t>
      </w:r>
      <w:r w:rsidRPr="002F6F86">
        <w:rPr>
          <w:rFonts w:ascii="Arial" w:eastAsia="等线" w:hAnsi="Arial" w:cs="Arial"/>
          <w:szCs w:val="21"/>
        </w:rPr>
        <w:t>. PFS was 15.4 months in the bevacizumab group and 6.7 months in the chemotherapy group (P=0.04).</w:t>
      </w:r>
    </w:p>
    <w:p w14:paraId="12B98B51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73226628" w14:textId="5E03CB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 xml:space="preserve">Figure </w:t>
      </w:r>
      <w:r w:rsidR="00D43BC9">
        <w:rPr>
          <w:rFonts w:ascii="Arial" w:eastAsia="等线" w:hAnsi="Arial" w:cs="Arial"/>
          <w:szCs w:val="21"/>
        </w:rPr>
        <w:t>5</w:t>
      </w:r>
      <w:r w:rsidRPr="002F6F86">
        <w:rPr>
          <w:rFonts w:ascii="Arial" w:eastAsia="等线" w:hAnsi="Arial" w:cs="Arial"/>
          <w:szCs w:val="21"/>
        </w:rPr>
        <w:t>. Patients who underwent preoperative systemic treatment had a longer PFS than those who underwent surgical treatment alone (28.9 vs 18.0 months, P=0.03).</w:t>
      </w:r>
    </w:p>
    <w:p w14:paraId="09B61488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293E4C98" w14:textId="1A6F4785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 xml:space="preserve">Figure </w:t>
      </w:r>
      <w:r w:rsidR="00D43BC9">
        <w:rPr>
          <w:rFonts w:ascii="Arial" w:eastAsia="等线" w:hAnsi="Arial" w:cs="Arial"/>
          <w:szCs w:val="21"/>
        </w:rPr>
        <w:t>6</w:t>
      </w:r>
      <w:r w:rsidRPr="002F6F86">
        <w:rPr>
          <w:rFonts w:ascii="Arial" w:eastAsia="等线" w:hAnsi="Arial" w:cs="Arial"/>
          <w:szCs w:val="21"/>
        </w:rPr>
        <w:t>. Overall, patients who received targeted or immunotherapy agents had a longer PFS than those who received chemotherapy (19.3 vs 6.7 months, P=0.053).</w:t>
      </w:r>
    </w:p>
    <w:p w14:paraId="560D3CFB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54E95A40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>Supplementary figure 1. Portal vein tumor thrombosis (red arrows) and tumor (green arrow) shrinkage during treatment.</w:t>
      </w:r>
    </w:p>
    <w:p w14:paraId="173826C3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6033D4B0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>Supplementary figure 2. Progression-free survival was 9.0 months in the cetuximab group and 6.7 months in the chemotherapy group (P=0.04).</w:t>
      </w:r>
    </w:p>
    <w:p w14:paraId="3F735993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47403CFC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>Supplementary figure 3. In the first five months of cetuximab treatment, tumor size decreased (A and B). After acquiring an NRAS mutation, the patient’s tumor size increased (C).</w:t>
      </w:r>
    </w:p>
    <w:p w14:paraId="06706E8F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224E23B7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  <w:r w:rsidRPr="002F6F86">
        <w:rPr>
          <w:rFonts w:ascii="Arial" w:eastAsia="等线" w:hAnsi="Arial" w:cs="Arial"/>
          <w:szCs w:val="21"/>
        </w:rPr>
        <w:t xml:space="preserve">Supplementary figure 4. Tumor shrinkage after 4 weeks (2 cycles) of treatment of GEMOX </w:t>
      </w:r>
      <w:r w:rsidRPr="002F6F86">
        <w:rPr>
          <w:rFonts w:ascii="Arial" w:eastAsia="等线" w:hAnsi="Arial" w:cs="Arial"/>
          <w:szCs w:val="21"/>
        </w:rPr>
        <w:lastRenderedPageBreak/>
        <w:t>and bevacizumab (red arrow). Green arrow points the gallbladder.</w:t>
      </w:r>
    </w:p>
    <w:p w14:paraId="2ABCED10" w14:textId="77777777" w:rsidR="001F693B" w:rsidRPr="002F6F86" w:rsidRDefault="001F693B" w:rsidP="002F6F86">
      <w:pPr>
        <w:spacing w:line="360" w:lineRule="auto"/>
        <w:rPr>
          <w:rFonts w:ascii="Arial" w:eastAsia="等线" w:hAnsi="Arial" w:cs="Arial"/>
          <w:szCs w:val="21"/>
        </w:rPr>
      </w:pPr>
    </w:p>
    <w:p w14:paraId="2CDF4087" w14:textId="77777777" w:rsidR="003650B4" w:rsidRPr="002F6F86" w:rsidRDefault="003650B4" w:rsidP="002F6F86">
      <w:pPr>
        <w:spacing w:line="360" w:lineRule="auto"/>
        <w:rPr>
          <w:szCs w:val="21"/>
        </w:rPr>
      </w:pPr>
    </w:p>
    <w:sectPr w:rsidR="003650B4" w:rsidRPr="002F6F86" w:rsidSect="002F6F8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778403" w14:textId="77777777" w:rsidR="00400524" w:rsidRDefault="00400524">
      <w:r>
        <w:separator/>
      </w:r>
    </w:p>
  </w:endnote>
  <w:endnote w:type="continuationSeparator" w:id="0">
    <w:p w14:paraId="640DEDD9" w14:textId="77777777" w:rsidR="00400524" w:rsidRDefault="004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93543015"/>
      <w:docPartObj>
        <w:docPartGallery w:val="Page Numbers (Bottom of Page)"/>
        <w:docPartUnique/>
      </w:docPartObj>
    </w:sdtPr>
    <w:sdtEndPr/>
    <w:sdtContent>
      <w:p w14:paraId="1B666C82" w14:textId="77777777" w:rsidR="00984BC6" w:rsidRDefault="001F693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6F86" w:rsidRPr="002F6F86">
          <w:rPr>
            <w:noProof/>
            <w:lang w:val="zh-CN"/>
          </w:rPr>
          <w:t>1</w:t>
        </w:r>
        <w:r>
          <w:fldChar w:fldCharType="end"/>
        </w:r>
      </w:p>
    </w:sdtContent>
  </w:sdt>
  <w:p w14:paraId="435D7B44" w14:textId="77777777" w:rsidR="00984BC6" w:rsidRDefault="0040052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B5B30A" w14:textId="77777777" w:rsidR="00400524" w:rsidRDefault="00400524">
      <w:r>
        <w:separator/>
      </w:r>
    </w:p>
  </w:footnote>
  <w:footnote w:type="continuationSeparator" w:id="0">
    <w:p w14:paraId="7C3F14EB" w14:textId="77777777" w:rsidR="00400524" w:rsidRDefault="00400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693B"/>
    <w:rsid w:val="000F46E4"/>
    <w:rsid w:val="001F693B"/>
    <w:rsid w:val="002F6F86"/>
    <w:rsid w:val="003650B4"/>
    <w:rsid w:val="00400524"/>
    <w:rsid w:val="00D4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7D251"/>
  <w15:docId w15:val="{5485F4EB-5538-4358-B68F-663995474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F6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F693B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1F693B"/>
  </w:style>
  <w:style w:type="paragraph" w:styleId="a6">
    <w:name w:val="header"/>
    <w:basedOn w:val="a"/>
    <w:link w:val="a7"/>
    <w:uiPriority w:val="99"/>
    <w:unhideWhenUsed/>
    <w:rsid w:val="00D43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43B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niong</dc:creator>
  <cp:lastModifiedBy>王 龙蓉</cp:lastModifiedBy>
  <cp:revision>3</cp:revision>
  <dcterms:created xsi:type="dcterms:W3CDTF">2020-03-29T05:26:00Z</dcterms:created>
  <dcterms:modified xsi:type="dcterms:W3CDTF">2020-05-28T15:09:00Z</dcterms:modified>
</cp:coreProperties>
</file>