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BE1" w:rsidRPr="00B05551" w:rsidRDefault="00A04BE1" w:rsidP="003D6A0F">
      <w:pPr>
        <w:pStyle w:val="1"/>
        <w:spacing w:beforeLines="0" w:before="0" w:afterLines="0" w:after="0" w:line="480" w:lineRule="auto"/>
        <w:jc w:val="left"/>
        <w:rPr>
          <w:sz w:val="24"/>
          <w:szCs w:val="24"/>
        </w:rPr>
      </w:pPr>
      <w:bookmarkStart w:id="0" w:name="_Toc62336723"/>
      <w:r w:rsidRPr="00B05551">
        <w:rPr>
          <w:sz w:val="24"/>
          <w:szCs w:val="24"/>
        </w:rPr>
        <w:t xml:space="preserve">Supplemental </w:t>
      </w:r>
      <w:r w:rsidR="004F31B4">
        <w:rPr>
          <w:sz w:val="24"/>
          <w:szCs w:val="24"/>
        </w:rPr>
        <w:t>T</w:t>
      </w:r>
      <w:r w:rsidRPr="00B05551">
        <w:rPr>
          <w:sz w:val="24"/>
          <w:szCs w:val="24"/>
        </w:rPr>
        <w:t>able S1. Summary of country-level indicators</w:t>
      </w:r>
      <w:bookmarkEnd w:id="0"/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9"/>
        <w:gridCol w:w="3930"/>
        <w:gridCol w:w="1419"/>
        <w:gridCol w:w="1415"/>
      </w:tblGrid>
      <w:tr w:rsidR="002D3F97" w:rsidRPr="007F50DE" w:rsidTr="007F50DE">
        <w:trPr>
          <w:trHeight w:val="290"/>
        </w:trPr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D3F97" w:rsidRPr="007F50DE" w:rsidRDefault="002D3F97" w:rsidP="007F50DE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7F50DE">
              <w:rPr>
                <w:b w:val="0"/>
                <w:sz w:val="24"/>
                <w:szCs w:val="24"/>
              </w:rPr>
              <w:t>Indicator</w:t>
            </w:r>
          </w:p>
        </w:tc>
        <w:tc>
          <w:tcPr>
            <w:tcW w:w="21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D3F97" w:rsidRPr="007F50DE" w:rsidRDefault="002D3F97" w:rsidP="007F50DE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7F50DE">
              <w:rPr>
                <w:b w:val="0"/>
                <w:sz w:val="24"/>
                <w:szCs w:val="24"/>
              </w:rPr>
              <w:t>Definition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D3F97" w:rsidRPr="007F50DE" w:rsidRDefault="002D3F97" w:rsidP="007F50DE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7F50DE">
              <w:rPr>
                <w:b w:val="0"/>
                <w:sz w:val="24"/>
                <w:szCs w:val="24"/>
              </w:rPr>
              <w:t>Source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2D3F97" w:rsidRPr="007F50DE" w:rsidRDefault="002D3F97" w:rsidP="007F50DE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7F50DE">
              <w:rPr>
                <w:b w:val="0"/>
                <w:sz w:val="24"/>
                <w:szCs w:val="24"/>
              </w:rPr>
              <w:t>Year coverage</w:t>
            </w:r>
          </w:p>
        </w:tc>
      </w:tr>
      <w:tr w:rsidR="007F50DE" w:rsidRPr="007F50DE" w:rsidTr="007F50DE">
        <w:trPr>
          <w:trHeight w:val="290"/>
        </w:trPr>
        <w:tc>
          <w:tcPr>
            <w:tcW w:w="1329" w:type="pct"/>
            <w:tcBorders>
              <w:top w:val="single" w:sz="4" w:space="0" w:color="auto"/>
            </w:tcBorders>
            <w:shd w:val="clear" w:color="auto" w:fill="auto"/>
            <w:noWrap/>
          </w:tcPr>
          <w:p w:rsidR="007F50DE" w:rsidRPr="007F50DE" w:rsidRDefault="007F50DE" w:rsidP="007F50DE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GDP</w:t>
            </w:r>
          </w:p>
        </w:tc>
        <w:tc>
          <w:tcPr>
            <w:tcW w:w="2133" w:type="pct"/>
            <w:tcBorders>
              <w:top w:val="single" w:sz="4" w:space="0" w:color="auto"/>
            </w:tcBorders>
            <w:shd w:val="clear" w:color="auto" w:fill="auto"/>
            <w:noWrap/>
          </w:tcPr>
          <w:p w:rsidR="007F50DE" w:rsidRPr="007F50DE" w:rsidRDefault="007F50DE" w:rsidP="007F50DE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7F50DE">
              <w:rPr>
                <w:b w:val="0"/>
                <w:sz w:val="24"/>
                <w:szCs w:val="24"/>
              </w:rPr>
              <w:t>Expenditure-side real GDP at chained PPPs (in mil. 2011US$)</w:t>
            </w:r>
            <w:bookmarkStart w:id="1" w:name="_GoBack"/>
            <w:bookmarkEnd w:id="1"/>
          </w:p>
        </w:tc>
        <w:tc>
          <w:tcPr>
            <w:tcW w:w="770" w:type="pct"/>
            <w:tcBorders>
              <w:top w:val="single" w:sz="4" w:space="0" w:color="auto"/>
            </w:tcBorders>
            <w:shd w:val="clear" w:color="auto" w:fill="auto"/>
            <w:noWrap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PWT9.1</w:t>
            </w:r>
            <w:r w:rsidRPr="007F50D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auto"/>
            <w:noWrap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1969–2017</w:t>
            </w:r>
          </w:p>
        </w:tc>
      </w:tr>
      <w:tr w:rsidR="007F50DE" w:rsidRPr="007F50DE" w:rsidTr="007F50DE">
        <w:trPr>
          <w:trHeight w:val="286"/>
        </w:trPr>
        <w:tc>
          <w:tcPr>
            <w:tcW w:w="1329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7F50DE">
              <w:rPr>
                <w:b w:val="0"/>
                <w:sz w:val="24"/>
                <w:szCs w:val="24"/>
              </w:rPr>
              <w:t>Population</w:t>
            </w:r>
          </w:p>
        </w:tc>
        <w:tc>
          <w:tcPr>
            <w:tcW w:w="2133" w:type="pct"/>
            <w:shd w:val="clear" w:color="auto" w:fill="auto"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Total population in millions</w:t>
            </w:r>
          </w:p>
        </w:tc>
        <w:tc>
          <w:tcPr>
            <w:tcW w:w="770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PWT9.1</w:t>
            </w:r>
            <w:r w:rsidRPr="007F50D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1969–2017</w:t>
            </w:r>
          </w:p>
        </w:tc>
      </w:tr>
      <w:tr w:rsidR="007F50DE" w:rsidRPr="007F50DE" w:rsidTr="009014F0">
        <w:trPr>
          <w:trHeight w:val="247"/>
        </w:trPr>
        <w:tc>
          <w:tcPr>
            <w:tcW w:w="1329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7F50DE">
              <w:rPr>
                <w:b w:val="0"/>
                <w:sz w:val="24"/>
                <w:szCs w:val="24"/>
              </w:rPr>
              <w:t>GDP per capita</w:t>
            </w:r>
          </w:p>
        </w:tc>
        <w:tc>
          <w:tcPr>
            <w:tcW w:w="2133" w:type="pct"/>
            <w:shd w:val="clear" w:color="auto" w:fill="auto"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GDP divided by population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rFonts w:hint="eastAsia"/>
                <w:sz w:val="24"/>
                <w:szCs w:val="24"/>
              </w:rPr>
              <w:t>presented</w:t>
            </w:r>
            <w:r w:rsidRPr="007F50DE">
              <w:rPr>
                <w:sz w:val="24"/>
                <w:szCs w:val="24"/>
              </w:rPr>
              <w:t xml:space="preserve"> in 2011US$</w:t>
            </w:r>
          </w:p>
        </w:tc>
        <w:tc>
          <w:tcPr>
            <w:tcW w:w="770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PWT9.1</w:t>
            </w:r>
            <w:r w:rsidRPr="007F50D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1969–2017</w:t>
            </w:r>
          </w:p>
        </w:tc>
      </w:tr>
      <w:tr w:rsidR="007F50DE" w:rsidRPr="007F50DE" w:rsidTr="009014F0">
        <w:trPr>
          <w:trHeight w:val="247"/>
        </w:trPr>
        <w:tc>
          <w:tcPr>
            <w:tcW w:w="1329" w:type="pct"/>
            <w:shd w:val="clear" w:color="auto" w:fill="auto"/>
            <w:noWrap/>
          </w:tcPr>
          <w:p w:rsidR="007F50DE" w:rsidRPr="007F50DE" w:rsidRDefault="007F50DE" w:rsidP="007F50DE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7F50DE">
              <w:rPr>
                <w:rFonts w:hint="eastAsia"/>
                <w:b w:val="0"/>
                <w:sz w:val="24"/>
                <w:szCs w:val="24"/>
              </w:rPr>
              <w:t>I</w:t>
            </w:r>
            <w:r w:rsidRPr="007F50DE">
              <w:rPr>
                <w:b w:val="0"/>
                <w:sz w:val="24"/>
                <w:szCs w:val="24"/>
              </w:rPr>
              <w:t>ncome group (2018–2019)</w:t>
            </w:r>
          </w:p>
        </w:tc>
        <w:tc>
          <w:tcPr>
            <w:tcW w:w="2133" w:type="pct"/>
            <w:shd w:val="clear" w:color="auto" w:fill="auto"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rFonts w:hint="eastAsia"/>
                <w:sz w:val="24"/>
                <w:szCs w:val="24"/>
              </w:rPr>
              <w:t>C</w:t>
            </w:r>
            <w:r w:rsidRPr="007F50DE">
              <w:rPr>
                <w:sz w:val="24"/>
                <w:szCs w:val="24"/>
              </w:rPr>
              <w:t>ountry classifications by income level</w:t>
            </w:r>
          </w:p>
        </w:tc>
        <w:tc>
          <w:tcPr>
            <w:tcW w:w="770" w:type="pct"/>
            <w:shd w:val="clear" w:color="auto" w:fill="auto"/>
            <w:noWrap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World Bank Open Data</w:t>
            </w:r>
            <w:r w:rsidRPr="007F50D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68" w:type="pct"/>
            <w:shd w:val="clear" w:color="auto" w:fill="auto"/>
            <w:noWrap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rFonts w:hint="eastAsia"/>
                <w:sz w:val="24"/>
                <w:szCs w:val="24"/>
              </w:rPr>
              <w:t>N</w:t>
            </w:r>
            <w:r w:rsidRPr="007F50DE">
              <w:rPr>
                <w:sz w:val="24"/>
                <w:szCs w:val="24"/>
              </w:rPr>
              <w:t>A</w:t>
            </w:r>
          </w:p>
        </w:tc>
      </w:tr>
      <w:tr w:rsidR="007F50DE" w:rsidRPr="007F50DE" w:rsidTr="009014F0">
        <w:trPr>
          <w:trHeight w:val="290"/>
        </w:trPr>
        <w:tc>
          <w:tcPr>
            <w:tcW w:w="1329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7F50DE">
              <w:rPr>
                <w:b w:val="0"/>
                <w:sz w:val="24"/>
                <w:szCs w:val="24"/>
              </w:rPr>
              <w:t>Female population percentage</w:t>
            </w:r>
          </w:p>
        </w:tc>
        <w:tc>
          <w:tcPr>
            <w:tcW w:w="2133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The percentage of the population that is female</w:t>
            </w:r>
          </w:p>
        </w:tc>
        <w:tc>
          <w:tcPr>
            <w:tcW w:w="770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World Bank Open Data</w:t>
            </w:r>
            <w:r w:rsidRPr="007F50D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1969–2018</w:t>
            </w:r>
          </w:p>
        </w:tc>
      </w:tr>
      <w:tr w:rsidR="007F50DE" w:rsidRPr="007F50DE" w:rsidTr="009014F0">
        <w:trPr>
          <w:trHeight w:val="620"/>
        </w:trPr>
        <w:tc>
          <w:tcPr>
            <w:tcW w:w="1329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7F50DE">
              <w:rPr>
                <w:b w:val="0"/>
                <w:sz w:val="24"/>
                <w:szCs w:val="24"/>
              </w:rPr>
              <w:t>Voice and accountability</w:t>
            </w:r>
          </w:p>
        </w:tc>
        <w:tc>
          <w:tcPr>
            <w:tcW w:w="2133" w:type="pct"/>
            <w:shd w:val="clear" w:color="auto" w:fill="auto"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Extent of political freedom and participation</w:t>
            </w:r>
          </w:p>
        </w:tc>
        <w:tc>
          <w:tcPr>
            <w:tcW w:w="770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WGI3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2000–2018</w:t>
            </w:r>
          </w:p>
        </w:tc>
      </w:tr>
      <w:tr w:rsidR="007F50DE" w:rsidRPr="007F50DE" w:rsidTr="009014F0">
        <w:trPr>
          <w:trHeight w:val="639"/>
        </w:trPr>
        <w:tc>
          <w:tcPr>
            <w:tcW w:w="1329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7F50DE">
              <w:rPr>
                <w:b w:val="0"/>
                <w:sz w:val="24"/>
                <w:szCs w:val="24"/>
              </w:rPr>
              <w:t>Government effectiveness</w:t>
            </w:r>
          </w:p>
        </w:tc>
        <w:tc>
          <w:tcPr>
            <w:tcW w:w="2133" w:type="pct"/>
            <w:shd w:val="clear" w:color="auto" w:fill="auto"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Quality of political policies and credibility of government’s commitment</w:t>
            </w:r>
          </w:p>
        </w:tc>
        <w:tc>
          <w:tcPr>
            <w:tcW w:w="770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WGI</w:t>
            </w:r>
            <w:r w:rsidRPr="007F50DE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2000–2018</w:t>
            </w:r>
          </w:p>
        </w:tc>
      </w:tr>
      <w:tr w:rsidR="007F50DE" w:rsidRPr="007F50DE" w:rsidTr="009014F0">
        <w:trPr>
          <w:trHeight w:val="580"/>
        </w:trPr>
        <w:tc>
          <w:tcPr>
            <w:tcW w:w="1329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7F50DE">
              <w:rPr>
                <w:b w:val="0"/>
                <w:sz w:val="24"/>
                <w:szCs w:val="24"/>
              </w:rPr>
              <w:t>Political stability and absence of violence/terrorism</w:t>
            </w:r>
          </w:p>
        </w:tc>
        <w:tc>
          <w:tcPr>
            <w:tcW w:w="2133" w:type="pct"/>
            <w:shd w:val="clear" w:color="auto" w:fill="auto"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Degree of political stability and safety</w:t>
            </w:r>
          </w:p>
        </w:tc>
        <w:tc>
          <w:tcPr>
            <w:tcW w:w="770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WGI</w:t>
            </w:r>
            <w:r w:rsidRPr="007F50DE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2000–2018</w:t>
            </w:r>
          </w:p>
        </w:tc>
      </w:tr>
      <w:tr w:rsidR="007F50DE" w:rsidRPr="007F50DE" w:rsidTr="009014F0">
        <w:trPr>
          <w:trHeight w:val="580"/>
        </w:trPr>
        <w:tc>
          <w:tcPr>
            <w:tcW w:w="1329" w:type="pct"/>
            <w:shd w:val="clear" w:color="auto" w:fill="auto"/>
            <w:noWrap/>
          </w:tcPr>
          <w:p w:rsidR="007F50DE" w:rsidRPr="007F50DE" w:rsidRDefault="007F50DE" w:rsidP="007F50DE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7F50DE">
              <w:rPr>
                <w:b w:val="0"/>
                <w:sz w:val="24"/>
                <w:szCs w:val="24"/>
              </w:rPr>
              <w:t>R&amp;D expenditure (% of total GDP)</w:t>
            </w:r>
          </w:p>
        </w:tc>
        <w:tc>
          <w:tcPr>
            <w:tcW w:w="2133" w:type="pct"/>
            <w:shd w:val="clear" w:color="auto" w:fill="auto"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Gross domestic expenditure on R&amp;D, expressed as a percent of GDP</w:t>
            </w:r>
          </w:p>
        </w:tc>
        <w:tc>
          <w:tcPr>
            <w:tcW w:w="770" w:type="pct"/>
            <w:shd w:val="clear" w:color="auto" w:fill="auto"/>
            <w:noWrap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World Bank Open Data</w:t>
            </w:r>
            <w:r w:rsidRPr="007F50D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68" w:type="pct"/>
            <w:shd w:val="clear" w:color="auto" w:fill="auto"/>
            <w:noWrap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1996–2018</w:t>
            </w:r>
          </w:p>
        </w:tc>
      </w:tr>
      <w:tr w:rsidR="007F50DE" w:rsidRPr="007F50DE" w:rsidTr="009014F0">
        <w:trPr>
          <w:trHeight w:val="580"/>
        </w:trPr>
        <w:tc>
          <w:tcPr>
            <w:tcW w:w="1329" w:type="pct"/>
            <w:shd w:val="clear" w:color="auto" w:fill="auto"/>
            <w:noWrap/>
          </w:tcPr>
          <w:p w:rsidR="007F50DE" w:rsidRPr="007F50DE" w:rsidRDefault="007F50DE" w:rsidP="007F50DE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7F50DE">
              <w:rPr>
                <w:b w:val="0"/>
                <w:sz w:val="24"/>
                <w:szCs w:val="24"/>
              </w:rPr>
              <w:t>Health expenditure (% of total GDP)</w:t>
            </w:r>
          </w:p>
        </w:tc>
        <w:tc>
          <w:tcPr>
            <w:tcW w:w="2133" w:type="pct"/>
            <w:shd w:val="clear" w:color="auto" w:fill="auto"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Gross domestic expenditure on health, expressed as a percent of GDP</w:t>
            </w:r>
          </w:p>
        </w:tc>
        <w:tc>
          <w:tcPr>
            <w:tcW w:w="770" w:type="pct"/>
            <w:shd w:val="clear" w:color="auto" w:fill="auto"/>
            <w:noWrap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GHED</w:t>
            </w:r>
            <w:r w:rsidRPr="007F50DE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68" w:type="pct"/>
            <w:shd w:val="clear" w:color="auto" w:fill="auto"/>
            <w:noWrap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2000–2017</w:t>
            </w:r>
          </w:p>
        </w:tc>
      </w:tr>
      <w:tr w:rsidR="007F50DE" w:rsidRPr="007F50DE" w:rsidTr="009014F0">
        <w:trPr>
          <w:trHeight w:val="580"/>
        </w:trPr>
        <w:tc>
          <w:tcPr>
            <w:tcW w:w="1329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7F50DE" w:rsidRPr="007F50DE" w:rsidRDefault="007F50DE" w:rsidP="007F50DE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7F50DE">
              <w:rPr>
                <w:b w:val="0"/>
                <w:sz w:val="24"/>
                <w:szCs w:val="24"/>
              </w:rPr>
              <w:t>Rare disease legislation</w:t>
            </w:r>
          </w:p>
        </w:tc>
        <w:tc>
          <w:tcPr>
            <w:tcW w:w="2133" w:type="pct"/>
            <w:tcBorders>
              <w:bottom w:val="single" w:sz="4" w:space="0" w:color="auto"/>
            </w:tcBorders>
            <w:shd w:val="clear" w:color="auto" w:fill="auto"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The status of rare disease legislation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Chan et al.</w:t>
            </w:r>
            <w:r w:rsidRPr="007F50DE"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7F50DE" w:rsidRPr="007F50DE" w:rsidRDefault="007F50DE" w:rsidP="007F50DE">
            <w:pPr>
              <w:pStyle w:val="af"/>
              <w:jc w:val="left"/>
              <w:rPr>
                <w:sz w:val="24"/>
                <w:szCs w:val="24"/>
              </w:rPr>
            </w:pPr>
            <w:r w:rsidRPr="007F50DE">
              <w:rPr>
                <w:sz w:val="24"/>
                <w:szCs w:val="24"/>
              </w:rPr>
              <w:t>1969–2018</w:t>
            </w:r>
          </w:p>
        </w:tc>
      </w:tr>
    </w:tbl>
    <w:p w:rsidR="0011246B" w:rsidRPr="00B05551" w:rsidRDefault="0011246B" w:rsidP="003D6A0F">
      <w:pPr>
        <w:pStyle w:val="af2"/>
        <w:spacing w:after="0" w:line="480" w:lineRule="auto"/>
        <w:jc w:val="left"/>
        <w:rPr>
          <w:sz w:val="24"/>
          <w:szCs w:val="24"/>
        </w:rPr>
      </w:pPr>
      <w:r w:rsidRPr="00B05551">
        <w:rPr>
          <w:rFonts w:hint="eastAsia"/>
          <w:sz w:val="24"/>
          <w:szCs w:val="24"/>
        </w:rPr>
        <w:t>T</w:t>
      </w:r>
      <w:r w:rsidRPr="00B05551">
        <w:rPr>
          <w:sz w:val="24"/>
          <w:szCs w:val="24"/>
        </w:rPr>
        <w:t>he income group indicator was not included as a covariate but used as grouping criteria in regression analysis to show impact heterogeneity in different income groups.</w:t>
      </w:r>
    </w:p>
    <w:p w:rsidR="00A04BE1" w:rsidRPr="00B05551" w:rsidRDefault="002D3F97" w:rsidP="003D6A0F">
      <w:pPr>
        <w:pStyle w:val="af2"/>
        <w:spacing w:after="0" w:line="480" w:lineRule="auto"/>
        <w:jc w:val="left"/>
        <w:rPr>
          <w:sz w:val="24"/>
          <w:szCs w:val="24"/>
        </w:rPr>
      </w:pPr>
      <w:r w:rsidRPr="00B05551">
        <w:rPr>
          <w:sz w:val="24"/>
          <w:szCs w:val="24"/>
        </w:rPr>
        <w:t xml:space="preserve">GDP, gross domestic product; GHED, Global Health Expenditure Database; </w:t>
      </w:r>
      <w:r w:rsidR="00FF003A" w:rsidRPr="00B05551">
        <w:rPr>
          <w:sz w:val="24"/>
          <w:szCs w:val="24"/>
        </w:rPr>
        <w:t xml:space="preserve">NA, not applicable; </w:t>
      </w:r>
      <w:r w:rsidR="007F50DE">
        <w:rPr>
          <w:rFonts w:hint="eastAsia"/>
          <w:sz w:val="24"/>
          <w:szCs w:val="24"/>
        </w:rPr>
        <w:t>PPP,</w:t>
      </w:r>
      <w:r w:rsidR="007F50DE">
        <w:rPr>
          <w:sz w:val="24"/>
          <w:szCs w:val="24"/>
        </w:rPr>
        <w:t xml:space="preserve"> </w:t>
      </w:r>
      <w:r w:rsidR="007F50DE" w:rsidRPr="007F50DE">
        <w:rPr>
          <w:sz w:val="24"/>
          <w:szCs w:val="24"/>
        </w:rPr>
        <w:t>purchasing power parity</w:t>
      </w:r>
      <w:r w:rsidR="007F50DE">
        <w:rPr>
          <w:sz w:val="24"/>
          <w:szCs w:val="24"/>
        </w:rPr>
        <w:t xml:space="preserve">; </w:t>
      </w:r>
      <w:r w:rsidR="00A04BE1" w:rsidRPr="00B05551">
        <w:rPr>
          <w:sz w:val="24"/>
          <w:szCs w:val="24"/>
        </w:rPr>
        <w:t>PWT, Penn World Table</w:t>
      </w:r>
      <w:r w:rsidRPr="00B05551">
        <w:rPr>
          <w:sz w:val="24"/>
          <w:szCs w:val="24"/>
        </w:rPr>
        <w:t>; R&amp;D, research and development</w:t>
      </w:r>
      <w:r w:rsidR="00A04BE1" w:rsidRPr="00B05551">
        <w:rPr>
          <w:sz w:val="24"/>
          <w:szCs w:val="24"/>
        </w:rPr>
        <w:t>; WGI, World Governance Indicators.</w:t>
      </w:r>
    </w:p>
    <w:p w:rsidR="00A04BE1" w:rsidRPr="00B05551" w:rsidRDefault="00A04BE1" w:rsidP="003D6A0F">
      <w:pPr>
        <w:pStyle w:val="af2"/>
        <w:numPr>
          <w:ilvl w:val="0"/>
          <w:numId w:val="10"/>
        </w:numPr>
        <w:spacing w:after="0" w:line="480" w:lineRule="auto"/>
        <w:ind w:left="0" w:firstLine="0"/>
        <w:jc w:val="left"/>
        <w:rPr>
          <w:sz w:val="24"/>
          <w:szCs w:val="24"/>
        </w:rPr>
      </w:pPr>
      <w:proofErr w:type="spellStart"/>
      <w:r w:rsidRPr="00B05551">
        <w:rPr>
          <w:sz w:val="24"/>
          <w:szCs w:val="24"/>
        </w:rPr>
        <w:t>Feenstra</w:t>
      </w:r>
      <w:proofErr w:type="spellEnd"/>
      <w:r w:rsidRPr="00B05551">
        <w:rPr>
          <w:sz w:val="24"/>
          <w:szCs w:val="24"/>
        </w:rPr>
        <w:t xml:space="preserve"> RC, Robert </w:t>
      </w:r>
      <w:proofErr w:type="spellStart"/>
      <w:r w:rsidRPr="00B05551">
        <w:rPr>
          <w:sz w:val="24"/>
          <w:szCs w:val="24"/>
        </w:rPr>
        <w:t>Inklaar</w:t>
      </w:r>
      <w:proofErr w:type="spellEnd"/>
      <w:r w:rsidRPr="00B05551">
        <w:rPr>
          <w:sz w:val="24"/>
          <w:szCs w:val="24"/>
        </w:rPr>
        <w:t xml:space="preserve"> and Marcel P. Timmer. </w:t>
      </w:r>
      <w:r w:rsidR="00B05551" w:rsidRPr="00B05551">
        <w:rPr>
          <w:sz w:val="24"/>
          <w:szCs w:val="24"/>
        </w:rPr>
        <w:t>The next generation of the Penn world table</w:t>
      </w:r>
      <w:r w:rsidRPr="00B05551">
        <w:rPr>
          <w:sz w:val="24"/>
          <w:szCs w:val="24"/>
        </w:rPr>
        <w:t>. Am Econ Rev 2015;105(10):3150</w:t>
      </w:r>
      <w:r w:rsidR="00E674FE" w:rsidRPr="00B05551">
        <w:rPr>
          <w:sz w:val="24"/>
          <w:szCs w:val="24"/>
        </w:rPr>
        <w:t>–</w:t>
      </w:r>
      <w:r w:rsidRPr="00B05551">
        <w:rPr>
          <w:sz w:val="24"/>
          <w:szCs w:val="24"/>
        </w:rPr>
        <w:t>82.</w:t>
      </w:r>
    </w:p>
    <w:p w:rsidR="00A04BE1" w:rsidRPr="00B05551" w:rsidRDefault="00A04BE1" w:rsidP="003D6A0F">
      <w:pPr>
        <w:pStyle w:val="af2"/>
        <w:numPr>
          <w:ilvl w:val="0"/>
          <w:numId w:val="10"/>
        </w:numPr>
        <w:spacing w:after="0" w:line="480" w:lineRule="auto"/>
        <w:ind w:left="0" w:firstLine="0"/>
        <w:jc w:val="left"/>
        <w:rPr>
          <w:sz w:val="24"/>
          <w:szCs w:val="24"/>
        </w:rPr>
      </w:pPr>
      <w:r w:rsidRPr="00B05551">
        <w:rPr>
          <w:sz w:val="24"/>
          <w:szCs w:val="24"/>
        </w:rPr>
        <w:lastRenderedPageBreak/>
        <w:t>Bank W. World Bank. World Bank Open Data. 2019. https://data.worldbank.org/. (accessed 06/26/2020)</w:t>
      </w:r>
    </w:p>
    <w:p w:rsidR="00A04BE1" w:rsidRPr="00B05551" w:rsidRDefault="00A04BE1" w:rsidP="003D6A0F">
      <w:pPr>
        <w:pStyle w:val="af2"/>
        <w:numPr>
          <w:ilvl w:val="0"/>
          <w:numId w:val="10"/>
        </w:numPr>
        <w:spacing w:after="0" w:line="480" w:lineRule="auto"/>
        <w:ind w:left="0" w:firstLine="0"/>
        <w:jc w:val="left"/>
        <w:rPr>
          <w:sz w:val="24"/>
          <w:szCs w:val="24"/>
        </w:rPr>
      </w:pPr>
      <w:r w:rsidRPr="00B05551">
        <w:rPr>
          <w:sz w:val="24"/>
          <w:szCs w:val="24"/>
        </w:rPr>
        <w:t xml:space="preserve">Kaufmann D, </w:t>
      </w:r>
      <w:proofErr w:type="spellStart"/>
      <w:r w:rsidRPr="00B05551">
        <w:rPr>
          <w:sz w:val="24"/>
          <w:szCs w:val="24"/>
        </w:rPr>
        <w:t>Kraay</w:t>
      </w:r>
      <w:proofErr w:type="spellEnd"/>
      <w:r w:rsidRPr="00B05551">
        <w:rPr>
          <w:sz w:val="24"/>
          <w:szCs w:val="24"/>
        </w:rPr>
        <w:t xml:space="preserve"> A. Daniel Kaufmann, </w:t>
      </w:r>
      <w:proofErr w:type="spellStart"/>
      <w:r w:rsidRPr="00B05551">
        <w:rPr>
          <w:sz w:val="24"/>
          <w:szCs w:val="24"/>
        </w:rPr>
        <w:t>Aart</w:t>
      </w:r>
      <w:proofErr w:type="spellEnd"/>
      <w:r w:rsidRPr="00B05551">
        <w:rPr>
          <w:sz w:val="24"/>
          <w:szCs w:val="24"/>
        </w:rPr>
        <w:t xml:space="preserve"> </w:t>
      </w:r>
      <w:proofErr w:type="spellStart"/>
      <w:r w:rsidRPr="00B05551">
        <w:rPr>
          <w:sz w:val="24"/>
          <w:szCs w:val="24"/>
        </w:rPr>
        <w:t>Kraays</w:t>
      </w:r>
      <w:proofErr w:type="spellEnd"/>
      <w:r w:rsidRPr="00B05551">
        <w:rPr>
          <w:sz w:val="24"/>
          <w:szCs w:val="24"/>
        </w:rPr>
        <w:t>. World Governance Indicators. 2020. http://info.worldbank.org/governance/wgi/. (accessed 07/16/2020)</w:t>
      </w:r>
    </w:p>
    <w:p w:rsidR="00A04BE1" w:rsidRPr="00B05551" w:rsidRDefault="00A04BE1" w:rsidP="003D6A0F">
      <w:pPr>
        <w:pStyle w:val="af2"/>
        <w:numPr>
          <w:ilvl w:val="0"/>
          <w:numId w:val="10"/>
        </w:numPr>
        <w:spacing w:after="0" w:line="480" w:lineRule="auto"/>
        <w:ind w:left="0" w:firstLine="0"/>
        <w:jc w:val="left"/>
        <w:rPr>
          <w:sz w:val="24"/>
          <w:szCs w:val="24"/>
        </w:rPr>
      </w:pPr>
      <w:r w:rsidRPr="00B05551">
        <w:rPr>
          <w:sz w:val="24"/>
          <w:szCs w:val="24"/>
        </w:rPr>
        <w:t>WHO. Global Health Expenditure Database. 2020. https://apps.who.int/nha/database/Home/en. (accessed 08/17/2020)</w:t>
      </w:r>
    </w:p>
    <w:p w:rsidR="00AF3A37" w:rsidRPr="009822AD" w:rsidRDefault="002D3F97" w:rsidP="009822AD">
      <w:pPr>
        <w:pStyle w:val="af2"/>
        <w:numPr>
          <w:ilvl w:val="0"/>
          <w:numId w:val="10"/>
        </w:numPr>
        <w:spacing w:after="0" w:line="480" w:lineRule="auto"/>
        <w:ind w:left="0" w:firstLine="0"/>
        <w:jc w:val="left"/>
        <w:rPr>
          <w:sz w:val="24"/>
          <w:szCs w:val="24"/>
        </w:rPr>
      </w:pPr>
      <w:r w:rsidRPr="00B05551">
        <w:rPr>
          <w:sz w:val="24"/>
          <w:szCs w:val="24"/>
        </w:rPr>
        <w:t>Chan AYL, Chan VKY, Olsson S, et al. Access a</w:t>
      </w:r>
      <w:r w:rsidR="00B05551" w:rsidRPr="00B05551">
        <w:rPr>
          <w:sz w:val="24"/>
          <w:szCs w:val="24"/>
        </w:rPr>
        <w:t xml:space="preserve">nd unmet needs of </w:t>
      </w:r>
      <w:r w:rsidR="009014F0">
        <w:rPr>
          <w:sz w:val="24"/>
          <w:szCs w:val="24"/>
        </w:rPr>
        <w:t>orphan</w:t>
      </w:r>
      <w:r w:rsidR="00B05551" w:rsidRPr="00B05551">
        <w:rPr>
          <w:sz w:val="24"/>
          <w:szCs w:val="24"/>
        </w:rPr>
        <w:t xml:space="preserve"> drugs in 194 countries and 6 areas: a global policy review with content analysis</w:t>
      </w:r>
      <w:r w:rsidRPr="00B05551">
        <w:rPr>
          <w:sz w:val="24"/>
          <w:szCs w:val="24"/>
        </w:rPr>
        <w:t>. Value Health 2020;23(12):1580-91.</w:t>
      </w:r>
    </w:p>
    <w:sectPr w:rsidR="00AF3A37" w:rsidRPr="009822AD" w:rsidSect="009014F0">
      <w:pgSz w:w="12049" w:h="1581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1FC" w:rsidRDefault="00FB51FC" w:rsidP="00637322">
      <w:pPr>
        <w:spacing w:after="0" w:line="240" w:lineRule="auto"/>
      </w:pPr>
      <w:r>
        <w:separator/>
      </w:r>
    </w:p>
  </w:endnote>
  <w:endnote w:type="continuationSeparator" w:id="0">
    <w:p w:rsidR="00FB51FC" w:rsidRDefault="00FB51FC" w:rsidP="00637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1FC" w:rsidRDefault="00FB51FC" w:rsidP="00637322">
      <w:pPr>
        <w:spacing w:after="0" w:line="240" w:lineRule="auto"/>
      </w:pPr>
      <w:r>
        <w:separator/>
      </w:r>
    </w:p>
  </w:footnote>
  <w:footnote w:type="continuationSeparator" w:id="0">
    <w:p w:rsidR="00FB51FC" w:rsidRDefault="00FB51FC" w:rsidP="00637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A3EA7"/>
    <w:multiLevelType w:val="hybridMultilevel"/>
    <w:tmpl w:val="BA82AD9C"/>
    <w:lvl w:ilvl="0" w:tplc="48868A00">
      <w:start w:val="1"/>
      <w:numFmt w:val="decimal"/>
      <w:lvlText w:val="%1"/>
      <w:lvlJc w:val="left"/>
      <w:pPr>
        <w:ind w:left="420" w:hanging="42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4C1A67"/>
    <w:multiLevelType w:val="hybridMultilevel"/>
    <w:tmpl w:val="F48AD292"/>
    <w:lvl w:ilvl="0" w:tplc="242ADACA">
      <w:start w:val="1"/>
      <w:numFmt w:val="lowerLetter"/>
      <w:suff w:val="nothing"/>
      <w:lvlText w:val="%1"/>
      <w:lvlJc w:val="left"/>
      <w:pPr>
        <w:ind w:left="0" w:firstLine="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1F3031E6"/>
    <w:multiLevelType w:val="hybridMultilevel"/>
    <w:tmpl w:val="E5404854"/>
    <w:lvl w:ilvl="0" w:tplc="5A0E323E">
      <w:start w:val="1"/>
      <w:numFmt w:val="decimal"/>
      <w:lvlText w:val="%1"/>
      <w:lvlJc w:val="left"/>
      <w:pPr>
        <w:ind w:left="360" w:hanging="36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3194C"/>
    <w:multiLevelType w:val="hybridMultilevel"/>
    <w:tmpl w:val="620E0A12"/>
    <w:lvl w:ilvl="0" w:tplc="9AAADE50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87BF4"/>
    <w:multiLevelType w:val="hybridMultilevel"/>
    <w:tmpl w:val="344A5592"/>
    <w:lvl w:ilvl="0" w:tplc="1E40E6B4">
      <w:start w:val="1"/>
      <w:numFmt w:val="decimal"/>
      <w:pStyle w:val="a"/>
      <w:suff w:val="nothing"/>
      <w:lvlText w:val="%1"/>
      <w:lvlJc w:val="left"/>
      <w:pPr>
        <w:ind w:left="0" w:firstLine="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71A1064"/>
    <w:multiLevelType w:val="hybridMultilevel"/>
    <w:tmpl w:val="9E7ED186"/>
    <w:lvl w:ilvl="0" w:tplc="BD5C2544">
      <w:start w:val="1"/>
      <w:numFmt w:val="decimal"/>
      <w:lvlText w:val="%1."/>
      <w:lvlJc w:val="left"/>
      <w:pPr>
        <w:ind w:left="720" w:hanging="360"/>
      </w:pPr>
    </w:lvl>
    <w:lvl w:ilvl="1" w:tplc="EF8EA226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D0549"/>
    <w:multiLevelType w:val="hybridMultilevel"/>
    <w:tmpl w:val="EB84D064"/>
    <w:lvl w:ilvl="0" w:tplc="5A0E323E">
      <w:start w:val="1"/>
      <w:numFmt w:val="decimal"/>
      <w:lvlText w:val="%1"/>
      <w:lvlJc w:val="left"/>
      <w:pPr>
        <w:ind w:left="360" w:hanging="36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" w15:restartNumberingAfterBreak="0">
    <w:nsid w:val="50CC6A67"/>
    <w:multiLevelType w:val="hybridMultilevel"/>
    <w:tmpl w:val="9A3EED76"/>
    <w:lvl w:ilvl="0" w:tplc="DAA2348E">
      <w:start w:val="1"/>
      <w:numFmt w:val="decimal"/>
      <w:lvlText w:val="%1"/>
      <w:lvlJc w:val="left"/>
      <w:pPr>
        <w:ind w:left="936" w:hanging="36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D03A4"/>
    <w:multiLevelType w:val="hybridMultilevel"/>
    <w:tmpl w:val="B1E63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hideSpellingErrors/>
  <w:hideGrammaticalErrors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MwNze2MDI1NzAyM7FQ0lEKTi0uzszPAykwrAUA7GpCTC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04BE1"/>
    <w:rsid w:val="00020092"/>
    <w:rsid w:val="00052271"/>
    <w:rsid w:val="000B734F"/>
    <w:rsid w:val="001072F9"/>
    <w:rsid w:val="0011246B"/>
    <w:rsid w:val="00170D66"/>
    <w:rsid w:val="00174DD0"/>
    <w:rsid w:val="001966F4"/>
    <w:rsid w:val="00196E29"/>
    <w:rsid w:val="001C6C49"/>
    <w:rsid w:val="001D3FF3"/>
    <w:rsid w:val="00215CDB"/>
    <w:rsid w:val="00237155"/>
    <w:rsid w:val="00254409"/>
    <w:rsid w:val="00257117"/>
    <w:rsid w:val="00267686"/>
    <w:rsid w:val="00273E84"/>
    <w:rsid w:val="00291BFA"/>
    <w:rsid w:val="002973A8"/>
    <w:rsid w:val="002D3F97"/>
    <w:rsid w:val="0035020E"/>
    <w:rsid w:val="00385EA6"/>
    <w:rsid w:val="00386CD0"/>
    <w:rsid w:val="003A2FD0"/>
    <w:rsid w:val="003A4037"/>
    <w:rsid w:val="003B1347"/>
    <w:rsid w:val="003D6A0F"/>
    <w:rsid w:val="004F31B4"/>
    <w:rsid w:val="00507803"/>
    <w:rsid w:val="00507E96"/>
    <w:rsid w:val="00531FB7"/>
    <w:rsid w:val="005434F2"/>
    <w:rsid w:val="005603C3"/>
    <w:rsid w:val="00582BEF"/>
    <w:rsid w:val="005C177E"/>
    <w:rsid w:val="005E31B1"/>
    <w:rsid w:val="00606BE2"/>
    <w:rsid w:val="006258F2"/>
    <w:rsid w:val="00633170"/>
    <w:rsid w:val="00637322"/>
    <w:rsid w:val="00662631"/>
    <w:rsid w:val="00676734"/>
    <w:rsid w:val="007144F8"/>
    <w:rsid w:val="0073686B"/>
    <w:rsid w:val="00741B29"/>
    <w:rsid w:val="007F50DE"/>
    <w:rsid w:val="00881559"/>
    <w:rsid w:val="008E1195"/>
    <w:rsid w:val="008F0128"/>
    <w:rsid w:val="008F2F48"/>
    <w:rsid w:val="009014F0"/>
    <w:rsid w:val="0097496F"/>
    <w:rsid w:val="009822AD"/>
    <w:rsid w:val="00A04BE1"/>
    <w:rsid w:val="00A1477B"/>
    <w:rsid w:val="00A14A39"/>
    <w:rsid w:val="00A52864"/>
    <w:rsid w:val="00AB42D1"/>
    <w:rsid w:val="00AF3A37"/>
    <w:rsid w:val="00B05551"/>
    <w:rsid w:val="00B53D65"/>
    <w:rsid w:val="00BF0D77"/>
    <w:rsid w:val="00C46F39"/>
    <w:rsid w:val="00C82709"/>
    <w:rsid w:val="00C866E2"/>
    <w:rsid w:val="00CD2DAD"/>
    <w:rsid w:val="00CD4E3B"/>
    <w:rsid w:val="00D327BF"/>
    <w:rsid w:val="00D5531F"/>
    <w:rsid w:val="00DB0E19"/>
    <w:rsid w:val="00E03F75"/>
    <w:rsid w:val="00E30AE3"/>
    <w:rsid w:val="00E600BC"/>
    <w:rsid w:val="00E674FE"/>
    <w:rsid w:val="00E749EA"/>
    <w:rsid w:val="00E935E5"/>
    <w:rsid w:val="00EA7DB1"/>
    <w:rsid w:val="00F24CAF"/>
    <w:rsid w:val="00F4027E"/>
    <w:rsid w:val="00FB51FC"/>
    <w:rsid w:val="00FF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8F492"/>
  <w15:chartTrackingRefBased/>
  <w15:docId w15:val="{A6652137-C52F-4D6D-B7B5-B0F0C101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04BE1"/>
    <w:pPr>
      <w:widowControl w:val="0"/>
      <w:spacing w:beforeLines="100" w:before="240" w:after="160" w:line="480" w:lineRule="auto"/>
      <w:ind w:firstLine="216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A14A39"/>
    <w:pPr>
      <w:keepNext/>
      <w:keepLines/>
      <w:spacing w:before="312" w:afterLines="100" w:after="312" w:line="240" w:lineRule="auto"/>
      <w:ind w:firstLine="0"/>
      <w:outlineLvl w:val="0"/>
    </w:pPr>
    <w:rPr>
      <w:rFonts w:eastAsiaTheme="majorEastAsia"/>
      <w:b/>
      <w:bCs/>
      <w:color w:val="000000" w:themeColor="text1"/>
    </w:rPr>
  </w:style>
  <w:style w:type="paragraph" w:styleId="2">
    <w:name w:val="heading 2"/>
    <w:basedOn w:val="a0"/>
    <w:next w:val="a0"/>
    <w:link w:val="20"/>
    <w:uiPriority w:val="9"/>
    <w:unhideWhenUsed/>
    <w:qFormat/>
    <w:rsid w:val="00A04BE1"/>
    <w:pPr>
      <w:keepNext/>
      <w:keepLines/>
      <w:spacing w:before="40" w:after="0"/>
      <w:ind w:firstLine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3">
    <w:name w:val="heading 3"/>
    <w:basedOn w:val="a1"/>
    <w:next w:val="a0"/>
    <w:link w:val="30"/>
    <w:uiPriority w:val="9"/>
    <w:unhideWhenUsed/>
    <w:qFormat/>
    <w:rsid w:val="00A04BE1"/>
    <w:pPr>
      <w:outlineLvl w:val="2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basedOn w:val="a2"/>
    <w:link w:val="1"/>
    <w:uiPriority w:val="9"/>
    <w:rsid w:val="00A14A39"/>
    <w:rPr>
      <w:rFonts w:ascii="Times New Roman" w:eastAsiaTheme="majorEastAsia" w:hAnsi="Times New Roman" w:cs="Times New Roman"/>
      <w:b/>
      <w:bCs/>
      <w:color w:val="000000" w:themeColor="text1"/>
      <w:kern w:val="0"/>
      <w:sz w:val="20"/>
      <w:szCs w:val="20"/>
    </w:rPr>
  </w:style>
  <w:style w:type="character" w:customStyle="1" w:styleId="20">
    <w:name w:val="标题 2 字符"/>
    <w:basedOn w:val="a2"/>
    <w:link w:val="2"/>
    <w:uiPriority w:val="9"/>
    <w:rsid w:val="00A04BE1"/>
    <w:rPr>
      <w:rFonts w:ascii="Times New Roman" w:eastAsiaTheme="majorEastAsia" w:hAnsi="Times New Roman" w:cs="Times New Roman"/>
      <w:b/>
      <w:bCs/>
      <w:color w:val="000000" w:themeColor="text1"/>
      <w:kern w:val="0"/>
      <w:sz w:val="24"/>
      <w:szCs w:val="24"/>
    </w:rPr>
  </w:style>
  <w:style w:type="character" w:customStyle="1" w:styleId="30">
    <w:name w:val="标题 3 字符"/>
    <w:basedOn w:val="a2"/>
    <w:link w:val="3"/>
    <w:uiPriority w:val="9"/>
    <w:rsid w:val="00A04BE1"/>
    <w:rPr>
      <w:rFonts w:ascii="Times New Roman" w:eastAsia="等线" w:hAnsi="Times New Roman" w:cs="Times New Roman"/>
      <w:kern w:val="0"/>
      <w:sz w:val="20"/>
      <w:szCs w:val="20"/>
      <w:lang w:val="en-GB"/>
    </w:rPr>
  </w:style>
  <w:style w:type="paragraph" w:styleId="a5">
    <w:name w:val="header"/>
    <w:basedOn w:val="a0"/>
    <w:link w:val="a6"/>
    <w:uiPriority w:val="99"/>
    <w:unhideWhenUsed/>
    <w:rsid w:val="00A04B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A04BE1"/>
    <w:rPr>
      <w:rFonts w:ascii="Times New Roman" w:hAnsi="Times New Roman" w:cs="Times New Roman"/>
      <w:kern w:val="0"/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A04B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A04BE1"/>
    <w:rPr>
      <w:rFonts w:ascii="Times New Roman" w:hAnsi="Times New Roman" w:cs="Times New Roman"/>
      <w:kern w:val="0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A04BE1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aa">
    <w:name w:val="批注框文本 字符"/>
    <w:basedOn w:val="a2"/>
    <w:link w:val="a9"/>
    <w:uiPriority w:val="99"/>
    <w:semiHidden/>
    <w:rsid w:val="00A04BE1"/>
    <w:rPr>
      <w:rFonts w:ascii="Microsoft YaHei UI" w:eastAsia="Microsoft YaHei UI" w:hAnsi="Times New Roman" w:cs="Times New Roman"/>
      <w:kern w:val="0"/>
      <w:sz w:val="18"/>
      <w:szCs w:val="18"/>
    </w:rPr>
  </w:style>
  <w:style w:type="paragraph" w:styleId="TOC">
    <w:name w:val="TOC Heading"/>
    <w:basedOn w:val="1"/>
    <w:next w:val="a0"/>
    <w:uiPriority w:val="39"/>
    <w:unhideWhenUsed/>
    <w:qFormat/>
    <w:rsid w:val="00A04BE1"/>
    <w:pPr>
      <w:widowControl/>
      <w:jc w:val="left"/>
      <w:outlineLvl w:val="9"/>
    </w:pPr>
  </w:style>
  <w:style w:type="paragraph" w:styleId="TOC1">
    <w:name w:val="toc 1"/>
    <w:basedOn w:val="a0"/>
    <w:next w:val="a0"/>
    <w:autoRedefine/>
    <w:uiPriority w:val="39"/>
    <w:unhideWhenUsed/>
    <w:rsid w:val="00A04BE1"/>
    <w:pPr>
      <w:spacing w:after="100"/>
    </w:pPr>
  </w:style>
  <w:style w:type="character" w:styleId="ab">
    <w:name w:val="Hyperlink"/>
    <w:basedOn w:val="a2"/>
    <w:uiPriority w:val="99"/>
    <w:unhideWhenUsed/>
    <w:rsid w:val="00A04BE1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0"/>
    <w:link w:val="EndNoteBibliographyTitle0"/>
    <w:rsid w:val="00A04BE1"/>
    <w:pPr>
      <w:spacing w:after="0"/>
      <w:jc w:val="center"/>
    </w:pPr>
    <w:rPr>
      <w:rFonts w:ascii="等线" w:eastAsia="等线" w:hAnsi="等线"/>
      <w:noProof/>
      <w:sz w:val="22"/>
    </w:rPr>
  </w:style>
  <w:style w:type="character" w:customStyle="1" w:styleId="EndNoteBibliographyTitle0">
    <w:name w:val="EndNote Bibliography Title 字符"/>
    <w:basedOn w:val="a2"/>
    <w:link w:val="EndNoteBibliographyTitle"/>
    <w:rsid w:val="00A04BE1"/>
    <w:rPr>
      <w:rFonts w:ascii="等线" w:eastAsia="等线" w:hAnsi="等线" w:cs="Times New Roman"/>
      <w:noProof/>
      <w:kern w:val="0"/>
      <w:sz w:val="22"/>
      <w:szCs w:val="20"/>
    </w:rPr>
  </w:style>
  <w:style w:type="paragraph" w:customStyle="1" w:styleId="EndNoteBibliography">
    <w:name w:val="EndNote Bibliography"/>
    <w:basedOn w:val="a0"/>
    <w:link w:val="EndNoteBibliography0"/>
    <w:rsid w:val="00A04BE1"/>
    <w:pPr>
      <w:spacing w:line="240" w:lineRule="auto"/>
    </w:pPr>
    <w:rPr>
      <w:rFonts w:ascii="等线" w:eastAsia="等线" w:hAnsi="等线"/>
      <w:noProof/>
      <w:sz w:val="22"/>
    </w:rPr>
  </w:style>
  <w:style w:type="character" w:customStyle="1" w:styleId="EndNoteBibliography0">
    <w:name w:val="EndNote Bibliography 字符"/>
    <w:basedOn w:val="a2"/>
    <w:link w:val="EndNoteBibliography"/>
    <w:rsid w:val="00A04BE1"/>
    <w:rPr>
      <w:rFonts w:ascii="等线" w:eastAsia="等线" w:hAnsi="等线" w:cs="Times New Roman"/>
      <w:noProof/>
      <w:kern w:val="0"/>
      <w:sz w:val="22"/>
      <w:szCs w:val="20"/>
    </w:rPr>
  </w:style>
  <w:style w:type="table" w:styleId="21">
    <w:name w:val="Plain Table 2"/>
    <w:basedOn w:val="a3"/>
    <w:uiPriority w:val="42"/>
    <w:rsid w:val="00A04BE1"/>
    <w:rPr>
      <w:kern w:val="0"/>
      <w:sz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c">
    <w:name w:val="List Paragraph"/>
    <w:basedOn w:val="a0"/>
    <w:uiPriority w:val="34"/>
    <w:qFormat/>
    <w:rsid w:val="00A04BE1"/>
    <w:pPr>
      <w:ind w:left="720"/>
      <w:contextualSpacing/>
    </w:pPr>
  </w:style>
  <w:style w:type="table" w:styleId="ad">
    <w:name w:val="Table Grid"/>
    <w:basedOn w:val="a3"/>
    <w:uiPriority w:val="39"/>
    <w:rsid w:val="00A04BE1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2"/>
    <w:uiPriority w:val="99"/>
    <w:semiHidden/>
    <w:unhideWhenUsed/>
    <w:rsid w:val="00A04BE1"/>
    <w:rPr>
      <w:color w:val="605E5C"/>
      <w:shd w:val="clear" w:color="auto" w:fill="E1DFDD"/>
    </w:rPr>
  </w:style>
  <w:style w:type="paragraph" w:styleId="TOC2">
    <w:name w:val="toc 2"/>
    <w:basedOn w:val="a0"/>
    <w:next w:val="a0"/>
    <w:autoRedefine/>
    <w:uiPriority w:val="39"/>
    <w:unhideWhenUsed/>
    <w:rsid w:val="00A04BE1"/>
    <w:pPr>
      <w:spacing w:after="100"/>
      <w:ind w:left="220"/>
    </w:pPr>
  </w:style>
  <w:style w:type="paragraph" w:styleId="TOC3">
    <w:name w:val="toc 3"/>
    <w:basedOn w:val="a0"/>
    <w:next w:val="a0"/>
    <w:autoRedefine/>
    <w:uiPriority w:val="39"/>
    <w:unhideWhenUsed/>
    <w:rsid w:val="00A04BE1"/>
    <w:pPr>
      <w:spacing w:after="100"/>
      <w:ind w:left="440"/>
    </w:pPr>
  </w:style>
  <w:style w:type="paragraph" w:customStyle="1" w:styleId="af">
    <w:name w:val="表格"/>
    <w:basedOn w:val="a0"/>
    <w:link w:val="af0"/>
    <w:qFormat/>
    <w:rsid w:val="00A14A39"/>
    <w:pPr>
      <w:spacing w:beforeLines="0" w:before="0" w:after="0" w:line="240" w:lineRule="auto"/>
      <w:ind w:firstLine="0"/>
    </w:pPr>
    <w:rPr>
      <w:sz w:val="16"/>
      <w:szCs w:val="16"/>
      <w:lang w:val="en-GB"/>
    </w:rPr>
  </w:style>
  <w:style w:type="paragraph" w:customStyle="1" w:styleId="a">
    <w:name w:val="参考文献"/>
    <w:basedOn w:val="EndNoteBibliography"/>
    <w:link w:val="af1"/>
    <w:qFormat/>
    <w:rsid w:val="00A04BE1"/>
    <w:pPr>
      <w:numPr>
        <w:numId w:val="8"/>
      </w:numPr>
      <w:spacing w:beforeLines="0" w:before="0" w:after="0"/>
    </w:pPr>
    <w:rPr>
      <w:rFonts w:ascii="Times New Roman" w:hAnsi="Times New Roman"/>
      <w:sz w:val="20"/>
      <w:lang w:val="en-GB"/>
    </w:rPr>
  </w:style>
  <w:style w:type="character" w:customStyle="1" w:styleId="af0">
    <w:name w:val="表格 字符"/>
    <w:basedOn w:val="a2"/>
    <w:link w:val="af"/>
    <w:rsid w:val="00A14A39"/>
    <w:rPr>
      <w:rFonts w:ascii="Times New Roman" w:hAnsi="Times New Roman" w:cs="Times New Roman"/>
      <w:kern w:val="0"/>
      <w:sz w:val="16"/>
      <w:szCs w:val="16"/>
      <w:lang w:val="en-GB"/>
    </w:rPr>
  </w:style>
  <w:style w:type="paragraph" w:customStyle="1" w:styleId="af2">
    <w:name w:val="表注"/>
    <w:basedOn w:val="a0"/>
    <w:link w:val="af3"/>
    <w:qFormat/>
    <w:rsid w:val="00A14A39"/>
    <w:pPr>
      <w:spacing w:beforeLines="0" w:before="0" w:line="240" w:lineRule="auto"/>
      <w:ind w:firstLine="0"/>
      <w:contextualSpacing/>
    </w:pPr>
  </w:style>
  <w:style w:type="character" w:customStyle="1" w:styleId="af1">
    <w:name w:val="参考文献 字符"/>
    <w:basedOn w:val="af0"/>
    <w:link w:val="a"/>
    <w:rsid w:val="00A04BE1"/>
    <w:rPr>
      <w:rFonts w:ascii="Times New Roman" w:eastAsia="等线" w:hAnsi="Times New Roman" w:cs="Times New Roman"/>
      <w:noProof/>
      <w:kern w:val="0"/>
      <w:sz w:val="20"/>
      <w:szCs w:val="20"/>
      <w:lang w:val="en-GB"/>
    </w:rPr>
  </w:style>
  <w:style w:type="character" w:customStyle="1" w:styleId="af3">
    <w:name w:val="表注 字符"/>
    <w:basedOn w:val="a2"/>
    <w:link w:val="af2"/>
    <w:rsid w:val="00A14A39"/>
    <w:rPr>
      <w:rFonts w:ascii="Times New Roman" w:hAnsi="Times New Roman" w:cs="Times New Roman"/>
      <w:kern w:val="0"/>
      <w:sz w:val="20"/>
      <w:szCs w:val="20"/>
    </w:rPr>
  </w:style>
  <w:style w:type="table" w:customStyle="1" w:styleId="5">
    <w:name w:val="网格型5"/>
    <w:basedOn w:val="a3"/>
    <w:next w:val="ad"/>
    <w:uiPriority w:val="39"/>
    <w:rsid w:val="00A04BE1"/>
    <w:rPr>
      <w:rFonts w:ascii="Calibri" w:eastAsia="等线" w:hAnsi="Calibri" w:cs="Times New Roman"/>
      <w:kern w:val="0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3"/>
    <w:next w:val="ad"/>
    <w:uiPriority w:val="39"/>
    <w:rsid w:val="00A04BE1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2"/>
    <w:uiPriority w:val="99"/>
    <w:semiHidden/>
    <w:unhideWhenUsed/>
    <w:rsid w:val="00A04BE1"/>
    <w:rPr>
      <w:color w:val="954F72" w:themeColor="followedHyperlink"/>
      <w:u w:val="single"/>
    </w:rPr>
  </w:style>
  <w:style w:type="paragraph" w:styleId="af5">
    <w:name w:val="Title"/>
    <w:basedOn w:val="a0"/>
    <w:next w:val="a0"/>
    <w:link w:val="af6"/>
    <w:uiPriority w:val="10"/>
    <w:qFormat/>
    <w:rsid w:val="00A04BE1"/>
    <w:pPr>
      <w:widowControl/>
      <w:adjustRightInd w:val="0"/>
      <w:snapToGrid w:val="0"/>
      <w:spacing w:after="0" w:line="240" w:lineRule="auto"/>
      <w:ind w:firstLine="288"/>
      <w:jc w:val="center"/>
    </w:pPr>
    <w:rPr>
      <w:rFonts w:eastAsia="等线 Light"/>
      <w:b/>
      <w:spacing w:val="-10"/>
      <w:kern w:val="28"/>
      <w:sz w:val="28"/>
      <w:szCs w:val="24"/>
      <w:lang w:val="en-GB"/>
    </w:rPr>
  </w:style>
  <w:style w:type="character" w:customStyle="1" w:styleId="af6">
    <w:name w:val="标题 字符"/>
    <w:basedOn w:val="a2"/>
    <w:link w:val="af5"/>
    <w:uiPriority w:val="10"/>
    <w:rsid w:val="00A04BE1"/>
    <w:rPr>
      <w:rFonts w:ascii="Times New Roman" w:eastAsia="等线 Light" w:hAnsi="Times New Roman" w:cs="Times New Roman"/>
      <w:b/>
      <w:spacing w:val="-10"/>
      <w:kern w:val="28"/>
      <w:sz w:val="28"/>
      <w:szCs w:val="24"/>
      <w:lang w:val="en-GB"/>
    </w:rPr>
  </w:style>
  <w:style w:type="paragraph" w:customStyle="1" w:styleId="a1">
    <w:name w:val="表头"/>
    <w:basedOn w:val="af"/>
    <w:qFormat/>
    <w:rsid w:val="00A14A39"/>
    <w:rPr>
      <w:b/>
    </w:rPr>
  </w:style>
  <w:style w:type="table" w:customStyle="1" w:styleId="22">
    <w:name w:val="网格型2"/>
    <w:basedOn w:val="a3"/>
    <w:next w:val="ad"/>
    <w:uiPriority w:val="39"/>
    <w:rsid w:val="00CD2DAD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3"/>
    <w:next w:val="ad"/>
    <w:uiPriority w:val="39"/>
    <w:rsid w:val="00606BE2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6C2D6-882F-4E3C-9B26-3F38BF46E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</dc:creator>
  <cp:keywords/>
  <dc:description/>
  <cp:lastModifiedBy>Esther</cp:lastModifiedBy>
  <cp:revision>5</cp:revision>
  <dcterms:created xsi:type="dcterms:W3CDTF">2021-01-27T00:45:00Z</dcterms:created>
  <dcterms:modified xsi:type="dcterms:W3CDTF">2021-02-04T01:57:00Z</dcterms:modified>
</cp:coreProperties>
</file>