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93E76" w14:textId="7617FBD3" w:rsidR="007369EB" w:rsidRPr="009038E3" w:rsidRDefault="007369EB" w:rsidP="00695BAB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9038E3">
        <w:rPr>
          <w:rFonts w:ascii="Times New Roman" w:hAnsi="Times New Roman" w:cs="Times New Roman"/>
          <w:b/>
          <w:bCs/>
        </w:rPr>
        <w:t>Supplementary content</w:t>
      </w:r>
    </w:p>
    <w:p w14:paraId="1124B342" w14:textId="77777777" w:rsidR="00695BAB" w:rsidRPr="00BA0050" w:rsidRDefault="00695BAB" w:rsidP="00695BAB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1E8E086A" w14:textId="6DD394BC" w:rsidR="007369EB" w:rsidRPr="00BA0050" w:rsidRDefault="007369EB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BA0050">
        <w:rPr>
          <w:rFonts w:ascii="Times New Roman" w:hAnsi="Times New Roman" w:cs="Times New Roman"/>
        </w:rPr>
        <w:t>Supplementary Table 1. The baseline demographics and clinical characteristics between rivaroxaban and LMWH by the stabilized IPTW analysis</w:t>
      </w:r>
    </w:p>
    <w:p w14:paraId="49E5924A" w14:textId="69FB0FB1" w:rsidR="007369EB" w:rsidRPr="00BA0050" w:rsidRDefault="007369EB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BA0050">
        <w:rPr>
          <w:rFonts w:ascii="Times New Roman" w:hAnsi="Times New Roman" w:cs="Times New Roman"/>
        </w:rPr>
        <w:t>Supplementary Table 2. The primary and secondary outcomes between rivaroxaban and LMWH by unmatched, propensity score-matched and IPTW-weighted analysis</w:t>
      </w:r>
      <w:r w:rsidR="00E6739D" w:rsidRPr="00BA0050">
        <w:rPr>
          <w:rFonts w:ascii="Times New Roman" w:hAnsi="Times New Roman" w:cs="Times New Roman"/>
        </w:rPr>
        <w:t xml:space="preserve"> at 12 months</w:t>
      </w:r>
    </w:p>
    <w:p w14:paraId="1704C1E0" w14:textId="77777777" w:rsidR="006B0FEE" w:rsidRPr="00BA0050" w:rsidRDefault="006B0FEE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BA0050">
        <w:rPr>
          <w:rFonts w:ascii="Times New Roman" w:hAnsi="Times New Roman" w:cs="Times New Roman"/>
        </w:rPr>
        <w:t xml:space="preserve">Supplementary Figure 1. Forest plot depicting hazard ratios of the efficacy outcome of VTE recurrence between rivaroxaban and LMWH in propensity score-matched population </w:t>
      </w:r>
    </w:p>
    <w:p w14:paraId="2C8E6B85" w14:textId="77777777" w:rsidR="006B0FEE" w:rsidRPr="00BA0050" w:rsidRDefault="006B0FEE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BA0050">
        <w:rPr>
          <w:rFonts w:ascii="Times New Roman" w:hAnsi="Times New Roman" w:cs="Times New Roman"/>
        </w:rPr>
        <w:t>Supplementary Figure 2. Forest plot depicting hazard ratios of the safety outcome of major bleeding between rivaroxaban and LMWH in propensity score-matched population</w:t>
      </w:r>
    </w:p>
    <w:p w14:paraId="5F95F5D4" w14:textId="77777777" w:rsidR="006B0FEE" w:rsidRPr="00BA0050" w:rsidRDefault="006B0FEE" w:rsidP="007369E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0E25AD2" w14:textId="77777777" w:rsidR="007369EB" w:rsidRPr="00BA0050" w:rsidRDefault="007369EB" w:rsidP="007369E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A0050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56C2E99A" w14:textId="6F28C574" w:rsidR="007369EB" w:rsidRPr="00BA0050" w:rsidRDefault="007369EB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BA0050">
        <w:rPr>
          <w:rFonts w:ascii="Times New Roman" w:hAnsi="Times New Roman" w:cs="Times New Roman"/>
        </w:rPr>
        <w:lastRenderedPageBreak/>
        <w:t>Supplementary Table 1: The baseline demographics and clinical characteristics between rivaroxaban and LMWH by the stabilized IPTW analysis</w:t>
      </w:r>
    </w:p>
    <w:tbl>
      <w:tblPr>
        <w:tblStyle w:val="a3"/>
        <w:tblW w:w="82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565"/>
        <w:gridCol w:w="1417"/>
        <w:gridCol w:w="992"/>
        <w:gridCol w:w="1418"/>
      </w:tblGrid>
      <w:tr w:rsidR="00D42CC7" w:rsidRPr="00BA0050" w14:paraId="49EB6105" w14:textId="77777777" w:rsidTr="00F92791">
        <w:trPr>
          <w:trHeight w:val="113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D472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Characteristics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F664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LMWH, %</w:t>
            </w:r>
          </w:p>
          <w:p w14:paraId="29048E9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(N=184.2)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ED89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Rivaroxaban, %</w:t>
            </w:r>
          </w:p>
          <w:p w14:paraId="36274F3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(N=216)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6428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A02F73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Standardized</w:t>
            </w:r>
          </w:p>
          <w:p w14:paraId="5ED26EA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mean </w:t>
            </w:r>
            <w:proofErr w:type="spellStart"/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difference</w:t>
            </w: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</w:tr>
      <w:tr w:rsidR="00D42CC7" w:rsidRPr="00BA0050" w14:paraId="2C95A8C1" w14:textId="77777777" w:rsidTr="00F92791">
        <w:trPr>
          <w:trHeight w:val="113"/>
        </w:trPr>
        <w:tc>
          <w:tcPr>
            <w:tcW w:w="283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65F5D5A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Demographics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135E6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3918BE3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05459A4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5A3B360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18CE3CB9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0477BCA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Age ≥ 75y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8CD93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12.4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74D8B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AA828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0.972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75E542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0.003</w:t>
            </w:r>
          </w:p>
        </w:tc>
      </w:tr>
      <w:tr w:rsidR="00D42CC7" w:rsidRPr="00BA0050" w14:paraId="7696F652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3AFC4AAB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Gender, female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C9443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39.9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4A870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42.1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2B3FC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0.642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F39C71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0.046</w:t>
            </w:r>
          </w:p>
        </w:tc>
      </w:tr>
      <w:tr w:rsidR="00D42CC7" w:rsidRPr="00BA0050" w14:paraId="180CB7E1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1874A08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Histopathology of cancer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3E19F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2767C1B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684092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260D65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4991AA57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3AF7038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Adenocarcinoma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4E8B1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78.9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3AA44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78.7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BE31F5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0.933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48F53E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0.067</w:t>
            </w:r>
          </w:p>
        </w:tc>
      </w:tr>
      <w:tr w:rsidR="00D42CC7" w:rsidRPr="00BA0050" w14:paraId="2E166B72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7440B002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Squamous cell carcinoma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AD25D9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14.2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91F00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13.0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B2935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7CC278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42D5A2C4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2D24CDBB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Small cell lung cancer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F5463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2.0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9295A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2.8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84D999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C9CB4E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603DB86D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18D21BA9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Others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7BEFCB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4.9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AB30E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5.5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813A2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2A0071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633EFC6D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3AD92615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Cancer stage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96D07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FC8411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7603B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A79870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743D5DBB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0266C15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I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149F25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8.6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2A152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10.2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7B3BC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0.864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0B2539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0.087</w:t>
            </w:r>
          </w:p>
        </w:tc>
      </w:tr>
      <w:tr w:rsidR="00D42CC7" w:rsidRPr="00BA0050" w14:paraId="6A1ACE1B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7141D0A2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II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EDC0E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5.0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0D2C1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3.7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622D1B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5690CB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281FAC3D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2161D00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III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767DC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12.2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C4F279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13.0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96CCF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6431F9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40A44AA4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621F657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IV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84871B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74.2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4000D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73.1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6CC60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DF66599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01E88CD4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79D047E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Type of index </w:t>
            </w:r>
            <w:proofErr w:type="spellStart"/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PE</w:t>
            </w: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641A7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95889F9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4B1CC2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3F1E4E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5B99924A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516F58F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Bilateral PE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B5AFB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52.1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21D23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54.2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8B968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0.671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21A722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0.042</w:t>
            </w:r>
          </w:p>
        </w:tc>
      </w:tr>
      <w:tr w:rsidR="00D42CC7" w:rsidRPr="00BA0050" w14:paraId="4AAFC88C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2D8DF81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Central PE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73C16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24.0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CF82F5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22.7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DFB21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0.743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4C0FCD2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0.031</w:t>
            </w:r>
          </w:p>
        </w:tc>
      </w:tr>
      <w:tr w:rsidR="00D42CC7" w:rsidRPr="00BA0050" w14:paraId="17475CFD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54AD8EE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Multiple sites of PE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50314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85.6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7F1FD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87.0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F5A45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0.662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1AF908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0.043</w:t>
            </w:r>
          </w:p>
        </w:tc>
      </w:tr>
      <w:tr w:rsidR="00D42CC7" w:rsidRPr="00BA0050" w14:paraId="71CAE251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27C70B4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Risk stratification of </w:t>
            </w:r>
            <w:proofErr w:type="spellStart"/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PE</w:t>
            </w: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07C96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7C659D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F72979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A2ED5B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6DDE82BC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0F5926D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34428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78.5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E9EE6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79.2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6B63F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0.963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0E7F63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0.026</w:t>
            </w:r>
          </w:p>
        </w:tc>
      </w:tr>
      <w:tr w:rsidR="00D42CC7" w:rsidRPr="00BA0050" w14:paraId="74D2EB77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0C4A5AD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Low to intermediate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8AA26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17.1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85E04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16.2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FAC65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1988FD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07DF9E1B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5AA0358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Intermediate to high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337635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4.4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4A9F22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4.6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C7809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99D054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67CFEA2A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28C11F3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Type of index </w:t>
            </w:r>
            <w:proofErr w:type="spellStart"/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DVT</w:t>
            </w: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D75DAB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831370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3199D9B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8BFF969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477C1734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2E572FD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Distal DVT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D40C9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25.2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F519B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27.8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E82ED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0.835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558B74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0.060</w:t>
            </w:r>
          </w:p>
        </w:tc>
      </w:tr>
      <w:tr w:rsidR="00D42CC7" w:rsidRPr="00BA0050" w14:paraId="517A7F4A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7E92FBC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Proximal DVT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D12175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12.1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FD799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12.0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2D976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71526B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46D4D430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637217A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036F0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62.7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C6A925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60.2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53CF3B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F41B54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2063DDAD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6DDD1C7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Platelet count, per </w:t>
            </w:r>
            <w:proofErr w:type="spellStart"/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μl</w:t>
            </w:r>
            <w:proofErr w:type="spellEnd"/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99D1B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60EC38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FE36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2743D6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01055E68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323C001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&gt;100,000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DCBF82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96.9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ABC4C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96.3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A9DFD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0.706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8FDF0A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0.035</w:t>
            </w:r>
          </w:p>
        </w:tc>
      </w:tr>
      <w:tr w:rsidR="00D42CC7" w:rsidRPr="00BA0050" w14:paraId="034E04D3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4603704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50,000-100,000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F846D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3.1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C277A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3.7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7426F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906C205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472B0352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631BBF4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&lt;50,000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871D6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80ECB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06D81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69CC47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0C967E35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582B29B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Creatinine clearance, ml/min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EB616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303F70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A275AEB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2D7D1B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495D917C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0474675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&gt;60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ADFF6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91.4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2CCB9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90.7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8C5022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0.821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CEADE4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0.022</w:t>
            </w:r>
          </w:p>
        </w:tc>
      </w:tr>
      <w:tr w:rsidR="00D42CC7" w:rsidRPr="00BA0050" w14:paraId="137E1402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25A31BC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≤60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6D554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8.6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6DFA55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9.3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2971D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501DCB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68AE637A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66D23FE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 xml:space="preserve">Time from first cancer diagnosis to index PE, </w:t>
            </w:r>
            <w:proofErr w:type="spellStart"/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year</w:t>
            </w: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EB77F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664E9F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6F551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21EF51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497DEFC8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052B288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&lt;0.5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BE510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63.0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385EA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63.9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93FAF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0.732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00FCED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0.076</w:t>
            </w:r>
          </w:p>
        </w:tc>
      </w:tr>
      <w:tr w:rsidR="00D42CC7" w:rsidRPr="00BA0050" w14:paraId="753C9F84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7F64ACE9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0.5-1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4A5E0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9.0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0533D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6.9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A2930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5EF37C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683D97C5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31C0887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&gt;1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3FD3E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28.0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B2531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29.2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2A55F9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431094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3BCB51B8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1DF45C8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Active anticancer </w:t>
            </w:r>
            <w:proofErr w:type="spellStart"/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treatment</w:t>
            </w: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d</w:t>
            </w:r>
            <w:proofErr w:type="spellEnd"/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8D5E9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47364C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9EE2BE5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1169E7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774B2A0F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020AC2A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Chemotherapy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DB67F2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30.5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2FADD9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30.1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2D1CD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0.937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EB88175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0.063</w:t>
            </w:r>
          </w:p>
        </w:tc>
      </w:tr>
      <w:tr w:rsidR="00D42CC7" w:rsidRPr="00BA0050" w14:paraId="00983AB7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1999895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Targeted therapy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37C82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19.4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06FE7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19.4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5D548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B80A07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5A0E3EAE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6B11374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Immunotherapy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826C8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2.6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89111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3.7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6167B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0D582F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7CD01654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6F878A3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Others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CDC36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47.5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CF4B6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46.8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8B516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BBDD639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235EA61D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55F59B9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Charlson</w:t>
            </w:r>
            <w:proofErr w:type="spellEnd"/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comorbidity index score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5F9CB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0B172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1841FB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4C27711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61D6BF4D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01175F5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0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B10D9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62CE7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979F9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0.629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BD2676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0.075</w:t>
            </w:r>
          </w:p>
        </w:tc>
      </w:tr>
      <w:tr w:rsidR="00D42CC7" w:rsidRPr="00BA0050" w14:paraId="1F54692E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0675CCB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1-2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3C010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13.6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FFE38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14.8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C95DA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71BC4A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14D4D77B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0453BEC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 ≥3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CA0965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86.4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D7374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85.2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7001C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301BDA3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6459A6F3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445B452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Medications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79B1B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3A4195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96DFB19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B46C0A6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2CC7" w:rsidRPr="00BA0050" w14:paraId="67E62521" w14:textId="77777777" w:rsidTr="00F92791">
        <w:trPr>
          <w:trHeight w:val="113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5E66A1D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 xml:space="preserve">Antiplatelet </w:t>
            </w:r>
            <w:proofErr w:type="spellStart"/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use</w:t>
            </w:r>
            <w:r w:rsidRPr="00BA005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  <w:proofErr w:type="spellEnd"/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5BFF6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6.1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62497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6.9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A950C4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0.736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98C56AF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</w:tr>
      <w:tr w:rsidR="00D42CC7" w:rsidRPr="00BA0050" w14:paraId="51127CBF" w14:textId="77777777" w:rsidTr="00F92791">
        <w:trPr>
          <w:trHeight w:val="312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032B4D9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NSAIDs</w:t>
            </w:r>
          </w:p>
        </w:tc>
        <w:tc>
          <w:tcPr>
            <w:tcW w:w="15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4D45B8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787AD7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13.4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0D502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0.784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0C92EB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0.027</w:t>
            </w:r>
          </w:p>
        </w:tc>
      </w:tr>
      <w:tr w:rsidR="00D42CC7" w:rsidRPr="00BA0050" w14:paraId="0FACA8C7" w14:textId="77777777" w:rsidTr="00F92791">
        <w:trPr>
          <w:trHeight w:val="312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</w:tcPr>
          <w:p w14:paraId="4D4889CC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ind w:firstLineChars="50" w:firstLine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Corticosteroids</w:t>
            </w:r>
          </w:p>
        </w:tc>
        <w:tc>
          <w:tcPr>
            <w:tcW w:w="1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B2BDA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7.2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E34BE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9.7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AA4240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0.367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EBC7A4D" w14:textId="77777777" w:rsidR="00D42CC7" w:rsidRPr="00BA0050" w:rsidRDefault="00D42CC7" w:rsidP="00695BA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0.090</w:t>
            </w:r>
          </w:p>
        </w:tc>
      </w:tr>
    </w:tbl>
    <w:p w14:paraId="3B83FFB4" w14:textId="77777777" w:rsidR="007369EB" w:rsidRPr="00BA0050" w:rsidRDefault="007369EB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BA0050">
        <w:rPr>
          <w:rFonts w:ascii="Times New Roman" w:hAnsi="Times New Roman" w:cs="Times New Roman"/>
        </w:rPr>
        <w:t>Abbreviations: LMWH, low-molecular-weight heparin; IPTW, inverse probability of treatment weighting; PE, pulmonary embolism; DVT, deep vein thrombosis; NSAIDs, non-steroidal anti-inflammatory drugs.</w:t>
      </w:r>
    </w:p>
    <w:p w14:paraId="51F56E10" w14:textId="77777777" w:rsidR="007369EB" w:rsidRPr="00BA0050" w:rsidRDefault="007369EB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BA0050">
        <w:rPr>
          <w:rFonts w:ascii="Times New Roman" w:hAnsi="Times New Roman" w:cs="Times New Roman"/>
          <w:vertAlign w:val="superscript"/>
        </w:rPr>
        <w:t>a</w:t>
      </w:r>
      <w:r w:rsidRPr="00BA0050">
        <w:rPr>
          <w:rFonts w:ascii="Times New Roman" w:hAnsi="Times New Roman" w:cs="Times New Roman"/>
        </w:rPr>
        <w:t>Standardized</w:t>
      </w:r>
      <w:proofErr w:type="spellEnd"/>
      <w:r w:rsidRPr="00BA0050">
        <w:rPr>
          <w:rFonts w:ascii="Times New Roman" w:hAnsi="Times New Roman" w:cs="Times New Roman"/>
        </w:rPr>
        <w:t xml:space="preserve"> mean differences of 0.1 or less were considered as well balanced.</w:t>
      </w:r>
    </w:p>
    <w:p w14:paraId="4F8C3534" w14:textId="77777777" w:rsidR="007369EB" w:rsidRPr="00BA0050" w:rsidRDefault="007369EB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vertAlign w:val="superscript"/>
        </w:rPr>
      </w:pPr>
      <w:proofErr w:type="spellStart"/>
      <w:r w:rsidRPr="00BA0050">
        <w:rPr>
          <w:rFonts w:ascii="Times New Roman" w:hAnsi="Times New Roman" w:cs="Times New Roman"/>
          <w:vertAlign w:val="superscript"/>
        </w:rPr>
        <w:t>b</w:t>
      </w:r>
      <w:r w:rsidRPr="00BA0050">
        <w:rPr>
          <w:rFonts w:ascii="Times New Roman" w:hAnsi="Times New Roman" w:cs="Times New Roman"/>
        </w:rPr>
        <w:t>Evaluated</w:t>
      </w:r>
      <w:proofErr w:type="spellEnd"/>
      <w:r w:rsidRPr="00BA0050">
        <w:rPr>
          <w:rFonts w:ascii="Times New Roman" w:hAnsi="Times New Roman" w:cs="Times New Roman"/>
        </w:rPr>
        <w:t xml:space="preserve"> at the index date.</w:t>
      </w:r>
      <w:r w:rsidRPr="00BA0050">
        <w:rPr>
          <w:rFonts w:ascii="Times New Roman" w:hAnsi="Times New Roman" w:cs="Times New Roman"/>
          <w:vertAlign w:val="superscript"/>
        </w:rPr>
        <w:t xml:space="preserve"> </w:t>
      </w:r>
    </w:p>
    <w:p w14:paraId="50E1DA1D" w14:textId="77777777" w:rsidR="007369EB" w:rsidRPr="00BA0050" w:rsidRDefault="007369EB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BA0050">
        <w:rPr>
          <w:rFonts w:ascii="Times New Roman" w:hAnsi="Times New Roman" w:cs="Times New Roman"/>
          <w:vertAlign w:val="superscript"/>
        </w:rPr>
        <w:t>c</w:t>
      </w:r>
      <w:r w:rsidRPr="00BA0050">
        <w:rPr>
          <w:rFonts w:ascii="Times New Roman" w:hAnsi="Times New Roman" w:cs="Times New Roman"/>
        </w:rPr>
        <w:t>Patients</w:t>
      </w:r>
      <w:proofErr w:type="spellEnd"/>
      <w:r w:rsidRPr="00BA0050">
        <w:rPr>
          <w:rFonts w:ascii="Times New Roman" w:hAnsi="Times New Roman" w:cs="Times New Roman"/>
        </w:rPr>
        <w:t xml:space="preserve"> might suffer from subsequent relapse or new metastatic cancer.</w:t>
      </w:r>
    </w:p>
    <w:p w14:paraId="03797CA8" w14:textId="77777777" w:rsidR="007369EB" w:rsidRPr="00BA0050" w:rsidRDefault="007369EB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BA0050">
        <w:rPr>
          <w:rFonts w:ascii="Times New Roman" w:hAnsi="Times New Roman" w:cs="Times New Roman"/>
          <w:vertAlign w:val="superscript"/>
        </w:rPr>
        <w:t>d</w:t>
      </w:r>
      <w:r w:rsidRPr="00BA0050">
        <w:rPr>
          <w:rFonts w:ascii="Times New Roman" w:hAnsi="Times New Roman" w:cs="Times New Roman"/>
        </w:rPr>
        <w:t>Included</w:t>
      </w:r>
      <w:proofErr w:type="spellEnd"/>
      <w:r w:rsidRPr="00BA0050">
        <w:rPr>
          <w:rFonts w:ascii="Times New Roman" w:hAnsi="Times New Roman" w:cs="Times New Roman"/>
        </w:rPr>
        <w:t xml:space="preserve"> oncotherapy within the 30‐day period preceding the index date.</w:t>
      </w:r>
    </w:p>
    <w:p w14:paraId="66AFDEA5" w14:textId="77777777" w:rsidR="007369EB" w:rsidRPr="00BA0050" w:rsidRDefault="007369EB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BA0050">
        <w:rPr>
          <w:rFonts w:ascii="Times New Roman" w:hAnsi="Times New Roman" w:cs="Times New Roman"/>
          <w:vertAlign w:val="superscript"/>
        </w:rPr>
        <w:t>e</w:t>
      </w:r>
      <w:r w:rsidRPr="00BA0050">
        <w:rPr>
          <w:rFonts w:ascii="Times New Roman" w:hAnsi="Times New Roman" w:cs="Times New Roman"/>
        </w:rPr>
        <w:t>Antiplatelet</w:t>
      </w:r>
      <w:proofErr w:type="spellEnd"/>
      <w:r w:rsidRPr="00BA0050">
        <w:rPr>
          <w:rFonts w:ascii="Times New Roman" w:hAnsi="Times New Roman" w:cs="Times New Roman"/>
        </w:rPr>
        <w:t xml:space="preserve"> therapy: aspirin, nonsteroidal anti-inflammatory drugs, or P2Y12 inhibitors.</w:t>
      </w:r>
    </w:p>
    <w:p w14:paraId="03FD40D4" w14:textId="77777777" w:rsidR="007369EB" w:rsidRPr="00BA0050" w:rsidRDefault="007369EB" w:rsidP="00695BAB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A0050">
        <w:rPr>
          <w:rFonts w:ascii="Times New Roman" w:hAnsi="Times New Roman" w:cs="Times New Roman"/>
          <w:sz w:val="20"/>
          <w:szCs w:val="20"/>
        </w:rPr>
        <w:br w:type="page"/>
      </w:r>
    </w:p>
    <w:p w14:paraId="25ACB32C" w14:textId="158400D2" w:rsidR="007369EB" w:rsidRPr="00BA0050" w:rsidRDefault="007369EB" w:rsidP="0004620C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BA0050">
        <w:rPr>
          <w:rFonts w:ascii="Times New Roman" w:hAnsi="Times New Roman" w:cs="Times New Roman"/>
        </w:rPr>
        <w:lastRenderedPageBreak/>
        <w:t>Supplementary Table 2: The primary and secondary outcomes between rivaroxaban and LMWH by unmatched, propensity score-matched and IPTW-weighted analysis</w:t>
      </w:r>
      <w:r w:rsidR="00B105BC" w:rsidRPr="00BA0050">
        <w:rPr>
          <w:rFonts w:ascii="Times New Roman" w:hAnsi="Times New Roman" w:cs="Times New Roman"/>
        </w:rPr>
        <w:t xml:space="preserve"> at 12 months</w:t>
      </w:r>
    </w:p>
    <w:tbl>
      <w:tblPr>
        <w:tblStyle w:val="a3"/>
        <w:tblW w:w="9493" w:type="dxa"/>
        <w:tblInd w:w="-5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134"/>
        <w:gridCol w:w="851"/>
        <w:gridCol w:w="1134"/>
        <w:gridCol w:w="845"/>
        <w:gridCol w:w="1105"/>
        <w:gridCol w:w="759"/>
        <w:gridCol w:w="1276"/>
        <w:gridCol w:w="829"/>
      </w:tblGrid>
      <w:tr w:rsidR="00B105BC" w:rsidRPr="00BA0050" w14:paraId="789D0197" w14:textId="77777777" w:rsidTr="000557E1">
        <w:tc>
          <w:tcPr>
            <w:tcW w:w="156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0736032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Outcomes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53E16BC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Unmatched (%)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9FB0975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Propensity score-matched (%)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1EA69B35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IPTW-weighted (%)</w:t>
            </w:r>
          </w:p>
        </w:tc>
      </w:tr>
      <w:tr w:rsidR="00B105BC" w:rsidRPr="00BA0050" w14:paraId="20DDFB79" w14:textId="77777777" w:rsidTr="000557E1">
        <w:tc>
          <w:tcPr>
            <w:tcW w:w="15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2E6AE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9687F8C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Rivaroxaban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8F1EBA2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LMWH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3E99485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Rivaroxaban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2F39705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LMWH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5F57974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Rivaroxaban</w:t>
            </w:r>
          </w:p>
        </w:tc>
        <w:tc>
          <w:tcPr>
            <w:tcW w:w="759" w:type="dxa"/>
            <w:tcBorders>
              <w:top w:val="nil"/>
              <w:bottom w:val="single" w:sz="4" w:space="0" w:color="auto"/>
            </w:tcBorders>
          </w:tcPr>
          <w:p w14:paraId="05411A6E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LMWH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D9FA5C9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 (95% CI)</w:t>
            </w:r>
          </w:p>
        </w:tc>
        <w:tc>
          <w:tcPr>
            <w:tcW w:w="829" w:type="dxa"/>
            <w:tcBorders>
              <w:top w:val="nil"/>
              <w:bottom w:val="single" w:sz="4" w:space="0" w:color="auto"/>
            </w:tcBorders>
          </w:tcPr>
          <w:p w14:paraId="60A7CFDB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P </w:t>
            </w:r>
            <w:r w:rsidRPr="00BA005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value</w:t>
            </w:r>
          </w:p>
        </w:tc>
      </w:tr>
      <w:tr w:rsidR="00B105BC" w:rsidRPr="00BA0050" w14:paraId="15E478F4" w14:textId="77777777" w:rsidTr="00F92791">
        <w:tc>
          <w:tcPr>
            <w:tcW w:w="156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F050E8B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Composite outcome- VTE recurrence or major bleeding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00BF68B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5FDD257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57B3503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2ADA0A8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9F954CE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371B68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2343F2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11F24241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05BC" w:rsidRPr="00BA0050" w14:paraId="2AA93E11" w14:textId="77777777" w:rsidTr="00F92791">
        <w:tc>
          <w:tcPr>
            <w:tcW w:w="15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900EB19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 month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34822B5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3.7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16840B5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5.7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787607B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4.2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8D2AEC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5.8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5B46A36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3.7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5B8897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5.5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3BCB5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0.65 (0.27-1.60)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5BB39E7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0.36</w:t>
            </w:r>
          </w:p>
        </w:tc>
      </w:tr>
      <w:tr w:rsidR="00B105BC" w:rsidRPr="00BA0050" w14:paraId="54D475EE" w14:textId="77777777" w:rsidTr="00F92791">
        <w:tc>
          <w:tcPr>
            <w:tcW w:w="15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9BEE26D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3 month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B0137AD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C1DE03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10.9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06EDDCD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7.9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3FCA9B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10.5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24C5A93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7.9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B9112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11.0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3926F3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0.67 (0.36-1.27)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997EFB9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105BC" w:rsidRPr="00BA0050" w14:paraId="1B543114" w14:textId="77777777" w:rsidTr="00F92791">
        <w:tc>
          <w:tcPr>
            <w:tcW w:w="15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5BD10B0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6 month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13618FC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11.6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3696EDD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14.8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ECEDCBE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11.0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F7314D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13.6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62B2D5D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11.6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783330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15.0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506936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0.71 (0.42-1.20)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6E14656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0.20</w:t>
            </w:r>
          </w:p>
        </w:tc>
      </w:tr>
      <w:tr w:rsidR="00B105BC" w:rsidRPr="00BA0050" w14:paraId="4E9495D0" w14:textId="77777777" w:rsidTr="00F92791">
        <w:tc>
          <w:tcPr>
            <w:tcW w:w="15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7EB8BF5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9 month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264F89D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13.9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6A28B3C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17.4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4C43B5D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13.6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7262BF6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15.7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E7159A7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13.9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893AF9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17.3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86475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0.72 (0.44-1.17)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B22BC0B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105BC" w:rsidRPr="00BA0050" w14:paraId="753A3D16" w14:textId="77777777" w:rsidTr="00F92791">
        <w:tc>
          <w:tcPr>
            <w:tcW w:w="15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5441FA9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12 month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17F5ABB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15.3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DC88495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18.7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093415C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15.2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C3F6294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17.8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6B5A0DC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15.2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E8CA47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19.4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A4BBAA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0.69 (0.43-1.10)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3C0599A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105BC" w:rsidRPr="00BA0050" w14:paraId="22C0D969" w14:textId="77777777" w:rsidTr="00F92791">
        <w:tc>
          <w:tcPr>
            <w:tcW w:w="15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6467485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All-cause mortality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67F0F226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24.1</w:t>
            </w:r>
          </w:p>
        </w:tc>
        <w:tc>
          <w:tcPr>
            <w:tcW w:w="85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18681DC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38.3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40309789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24.6</w:t>
            </w:r>
          </w:p>
        </w:tc>
        <w:tc>
          <w:tcPr>
            <w:tcW w:w="8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332289B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40.3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564C80DF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24.1</w:t>
            </w:r>
          </w:p>
        </w:tc>
        <w:tc>
          <w:tcPr>
            <w:tcW w:w="759" w:type="dxa"/>
            <w:tcBorders>
              <w:top w:val="nil"/>
              <w:bottom w:val="nil"/>
            </w:tcBorders>
            <w:shd w:val="clear" w:color="auto" w:fill="auto"/>
          </w:tcPr>
          <w:p w14:paraId="4FF8DE8D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38.5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197EA483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0.54 (0.38-0.77)</w:t>
            </w:r>
          </w:p>
        </w:tc>
        <w:tc>
          <w:tcPr>
            <w:tcW w:w="829" w:type="dxa"/>
            <w:tcBorders>
              <w:top w:val="nil"/>
              <w:bottom w:val="nil"/>
            </w:tcBorders>
            <w:shd w:val="clear" w:color="auto" w:fill="auto"/>
          </w:tcPr>
          <w:p w14:paraId="2A79EE89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B105BC" w:rsidRPr="00BA0050" w14:paraId="59464912" w14:textId="77777777" w:rsidTr="00F92791">
        <w:tc>
          <w:tcPr>
            <w:tcW w:w="15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B614A3D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VTE recurrence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E69EFBC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8.3</w:t>
            </w:r>
          </w:p>
        </w:tc>
        <w:tc>
          <w:tcPr>
            <w:tcW w:w="85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11ED684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10.9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171849EA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8.4</w:t>
            </w:r>
          </w:p>
        </w:tc>
        <w:tc>
          <w:tcPr>
            <w:tcW w:w="8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9D8662F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10.5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1DD4E5B1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8.3</w:t>
            </w:r>
          </w:p>
        </w:tc>
        <w:tc>
          <w:tcPr>
            <w:tcW w:w="759" w:type="dxa"/>
            <w:tcBorders>
              <w:top w:val="nil"/>
              <w:bottom w:val="nil"/>
            </w:tcBorders>
            <w:shd w:val="clear" w:color="auto" w:fill="auto"/>
          </w:tcPr>
          <w:p w14:paraId="0B7C7382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12.0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406806E6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0.61 (0.33-1.14)</w:t>
            </w:r>
          </w:p>
        </w:tc>
        <w:tc>
          <w:tcPr>
            <w:tcW w:w="829" w:type="dxa"/>
            <w:tcBorders>
              <w:top w:val="nil"/>
              <w:bottom w:val="nil"/>
            </w:tcBorders>
            <w:shd w:val="clear" w:color="auto" w:fill="auto"/>
          </w:tcPr>
          <w:p w14:paraId="71DD7E61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105BC" w:rsidRPr="00BA0050" w14:paraId="03C48877" w14:textId="77777777" w:rsidTr="00F92791">
        <w:tc>
          <w:tcPr>
            <w:tcW w:w="15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86E1EDD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Major bleeding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3A2F0A2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6.9</w:t>
            </w:r>
          </w:p>
        </w:tc>
        <w:tc>
          <w:tcPr>
            <w:tcW w:w="85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CF64382" w14:textId="77777777" w:rsidR="00B105BC" w:rsidRPr="00BA0050" w:rsidRDefault="00B105BC" w:rsidP="0004620C">
            <w:pPr>
              <w:tabs>
                <w:tab w:val="left" w:pos="992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5E887EBC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8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572C817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7.3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F72F360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6.9</w:t>
            </w:r>
          </w:p>
        </w:tc>
        <w:tc>
          <w:tcPr>
            <w:tcW w:w="759" w:type="dxa"/>
            <w:tcBorders>
              <w:top w:val="nil"/>
              <w:bottom w:val="nil"/>
            </w:tcBorders>
            <w:shd w:val="clear" w:color="auto" w:fill="auto"/>
          </w:tcPr>
          <w:p w14:paraId="47EF5542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7.4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43A6A556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0.82 (0.41-1.66)</w:t>
            </w:r>
          </w:p>
        </w:tc>
        <w:tc>
          <w:tcPr>
            <w:tcW w:w="829" w:type="dxa"/>
            <w:tcBorders>
              <w:top w:val="nil"/>
              <w:bottom w:val="nil"/>
            </w:tcBorders>
            <w:shd w:val="clear" w:color="auto" w:fill="auto"/>
          </w:tcPr>
          <w:p w14:paraId="6B219E58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</w:tr>
      <w:tr w:rsidR="00B105BC" w:rsidRPr="00BA0050" w14:paraId="28C0465A" w14:textId="77777777" w:rsidTr="00F92791">
        <w:tc>
          <w:tcPr>
            <w:tcW w:w="15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3DF53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CRNMB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08B3F6F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13.0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D355A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9.6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AC4A819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12.6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18366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9.4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ECAC25C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13.0</w:t>
            </w:r>
          </w:p>
        </w:tc>
        <w:tc>
          <w:tcPr>
            <w:tcW w:w="7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38F2940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8.9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62E5052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1.27 (0.71-2.25)</w:t>
            </w:r>
          </w:p>
        </w:tc>
        <w:tc>
          <w:tcPr>
            <w:tcW w:w="82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9CC2BFB" w14:textId="77777777" w:rsidR="00B105BC" w:rsidRPr="00BA0050" w:rsidRDefault="00B105BC" w:rsidP="00046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0050">
              <w:rPr>
                <w:rFonts w:ascii="Times New Roman" w:hAnsi="Times New Roman" w:cs="Times New Roman"/>
                <w:sz w:val="16"/>
                <w:szCs w:val="16"/>
              </w:rPr>
              <w:t>0.42</w:t>
            </w:r>
          </w:p>
        </w:tc>
      </w:tr>
    </w:tbl>
    <w:p w14:paraId="16779D29" w14:textId="5F2530AA" w:rsidR="00883942" w:rsidRPr="00BA0050" w:rsidRDefault="007369EB" w:rsidP="0004620C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BA0050">
        <w:rPr>
          <w:rFonts w:ascii="Times New Roman" w:hAnsi="Times New Roman" w:cs="Times New Roman"/>
        </w:rPr>
        <w:t>Abbreviations: LMWH, low-molecular-weight heparin; IPTW, inverse probability of treatment weight; HR, hazard ratio; CI: confidence interval; VTE, venous thromboembolism; CRNMB, clinically relevant non-major bleeding.</w:t>
      </w:r>
    </w:p>
    <w:p w14:paraId="30C8C47F" w14:textId="77777777" w:rsidR="00883942" w:rsidRPr="00BA0050" w:rsidRDefault="00883942" w:rsidP="00695BAB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A0050">
        <w:rPr>
          <w:rFonts w:ascii="Times New Roman" w:hAnsi="Times New Roman" w:cs="Times New Roman"/>
          <w:sz w:val="20"/>
          <w:szCs w:val="20"/>
        </w:rPr>
        <w:br w:type="page"/>
      </w:r>
    </w:p>
    <w:p w14:paraId="78804816" w14:textId="77777777" w:rsidR="00883942" w:rsidRPr="00BA0050" w:rsidRDefault="00883942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BA0050">
        <w:rPr>
          <w:rFonts w:ascii="Times New Roman" w:hAnsi="Times New Roman" w:cs="Times New Roman"/>
        </w:rPr>
        <w:lastRenderedPageBreak/>
        <w:t>Supplementary Figure 1: Forest plot depicting hazard ratios of the efficacy outcome of VTE recurrence between rivaroxaban and LMWH in propensity score-matched population</w:t>
      </w:r>
      <w:r w:rsidRPr="00BA0050" w:rsidDel="007D73DA">
        <w:rPr>
          <w:rFonts w:ascii="Times New Roman" w:hAnsi="Times New Roman" w:cs="Times New Roman"/>
        </w:rPr>
        <w:t xml:space="preserve"> </w:t>
      </w:r>
    </w:p>
    <w:p w14:paraId="6C5A7504" w14:textId="77777777" w:rsidR="00883942" w:rsidRPr="00BA0050" w:rsidRDefault="00883942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BA005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65CA002" wp14:editId="3A7354F4">
            <wp:extent cx="5274310" cy="44704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81290" w14:textId="77777777" w:rsidR="00883942" w:rsidRPr="00BA0050" w:rsidRDefault="00883942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BA0050">
        <w:rPr>
          <w:rFonts w:ascii="Times New Roman" w:hAnsi="Times New Roman" w:cs="Times New Roman"/>
        </w:rPr>
        <w:t>Abbreviations: PE, pulmonary embolism; DVT, deep vein thrombosis; LMWH, low-molecular-weight heparin; HR, hazard ratio; CI, confidence interval.</w:t>
      </w:r>
    </w:p>
    <w:p w14:paraId="18FCFEBF" w14:textId="77777777" w:rsidR="00883942" w:rsidRPr="00BA0050" w:rsidRDefault="00883942" w:rsidP="00695BAB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A0050">
        <w:rPr>
          <w:rFonts w:ascii="Times New Roman" w:hAnsi="Times New Roman" w:cs="Times New Roman"/>
          <w:sz w:val="20"/>
          <w:szCs w:val="20"/>
        </w:rPr>
        <w:br w:type="page"/>
      </w:r>
    </w:p>
    <w:p w14:paraId="3CC5B676" w14:textId="77777777" w:rsidR="00883942" w:rsidRPr="00BA0050" w:rsidRDefault="00883942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BA0050">
        <w:rPr>
          <w:rFonts w:ascii="Times New Roman" w:hAnsi="Times New Roman" w:cs="Times New Roman"/>
        </w:rPr>
        <w:lastRenderedPageBreak/>
        <w:t>Supplementary Figure 2: Forest plot depicting hazard ratios of the safety outcome of major bleeding between rivaroxaban and LMWH in propensity score-matched population</w:t>
      </w:r>
    </w:p>
    <w:p w14:paraId="07F594E1" w14:textId="77777777" w:rsidR="00883942" w:rsidRPr="00BA0050" w:rsidRDefault="00883942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BA005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58EE184" wp14:editId="056E6CBC">
            <wp:extent cx="5274310" cy="4235450"/>
            <wp:effectExtent l="0" t="0" r="0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3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D1E34" w14:textId="77777777" w:rsidR="00883942" w:rsidRPr="00BA0050" w:rsidRDefault="00883942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BA0050">
        <w:rPr>
          <w:rFonts w:ascii="Times New Roman" w:hAnsi="Times New Roman" w:cs="Times New Roman"/>
        </w:rPr>
        <w:t>Abbreviations: PE, pulmonary embolism; DVT, deep vein thrombosis; LMWH, low-molecular-weight heparin; HR, hazard ratio; CI, confidence interval.</w:t>
      </w:r>
    </w:p>
    <w:p w14:paraId="05851FE4" w14:textId="77777777" w:rsidR="007369EB" w:rsidRPr="00BA0050" w:rsidRDefault="007369EB" w:rsidP="00695BAB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7369EB" w:rsidRPr="00BA0050" w:rsidSect="00656E07">
      <w:pgSz w:w="11906" w:h="16838"/>
      <w:pgMar w:top="1440" w:right="1440" w:bottom="144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1A692" w14:textId="77777777" w:rsidR="004678B8" w:rsidRDefault="004678B8" w:rsidP="009038E3">
      <w:r>
        <w:separator/>
      </w:r>
    </w:p>
  </w:endnote>
  <w:endnote w:type="continuationSeparator" w:id="0">
    <w:p w14:paraId="4F3678B5" w14:textId="77777777" w:rsidR="004678B8" w:rsidRDefault="004678B8" w:rsidP="00903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CDF5F" w14:textId="77777777" w:rsidR="004678B8" w:rsidRDefault="004678B8" w:rsidP="009038E3">
      <w:r>
        <w:separator/>
      </w:r>
    </w:p>
  </w:footnote>
  <w:footnote w:type="continuationSeparator" w:id="0">
    <w:p w14:paraId="16726EF0" w14:textId="77777777" w:rsidR="004678B8" w:rsidRDefault="004678B8" w:rsidP="009038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9EB"/>
    <w:rsid w:val="0004620C"/>
    <w:rsid w:val="00124B3C"/>
    <w:rsid w:val="001432F6"/>
    <w:rsid w:val="001D4EA3"/>
    <w:rsid w:val="002F1328"/>
    <w:rsid w:val="002F3AF2"/>
    <w:rsid w:val="004678B8"/>
    <w:rsid w:val="004F77DA"/>
    <w:rsid w:val="00593506"/>
    <w:rsid w:val="005A17BC"/>
    <w:rsid w:val="00656E07"/>
    <w:rsid w:val="00695BAB"/>
    <w:rsid w:val="006B0FEE"/>
    <w:rsid w:val="007369EB"/>
    <w:rsid w:val="00760119"/>
    <w:rsid w:val="00785EFF"/>
    <w:rsid w:val="007D5300"/>
    <w:rsid w:val="007F3AA6"/>
    <w:rsid w:val="00811EBB"/>
    <w:rsid w:val="00845C03"/>
    <w:rsid w:val="00883942"/>
    <w:rsid w:val="009038E3"/>
    <w:rsid w:val="00921DD4"/>
    <w:rsid w:val="00A3137E"/>
    <w:rsid w:val="00A84493"/>
    <w:rsid w:val="00AF6F77"/>
    <w:rsid w:val="00B105BC"/>
    <w:rsid w:val="00BA0050"/>
    <w:rsid w:val="00C02A97"/>
    <w:rsid w:val="00D42CC7"/>
    <w:rsid w:val="00E274B6"/>
    <w:rsid w:val="00E6739D"/>
    <w:rsid w:val="00E9233B"/>
    <w:rsid w:val="00F56221"/>
    <w:rsid w:val="00F92791"/>
    <w:rsid w:val="00FF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773161"/>
  <w15:chartTrackingRefBased/>
  <w15:docId w15:val="{E8F7DF74-F7DB-6B46-930E-0595DF5B5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69EB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69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A3137E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unhideWhenUsed/>
    <w:rsid w:val="009038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038E3"/>
    <w:rPr>
      <w:rFonts w:ascii="宋体" w:eastAsia="宋体" w:hAnsi="宋体" w:cs="宋体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038E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038E3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34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687</Words>
  <Characters>3919</Characters>
  <Application>Microsoft Office Word</Application>
  <DocSecurity>0</DocSecurity>
  <Lines>32</Lines>
  <Paragraphs>9</Paragraphs>
  <ScaleCrop>false</ScaleCrop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18</cp:revision>
  <dcterms:created xsi:type="dcterms:W3CDTF">2022-08-16T05:03:00Z</dcterms:created>
  <dcterms:modified xsi:type="dcterms:W3CDTF">2022-09-15T14:02:00Z</dcterms:modified>
</cp:coreProperties>
</file>