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416D3" w14:textId="77777777" w:rsidR="00A464FD" w:rsidRDefault="00A464FD" w:rsidP="00A464FD">
      <w:pPr>
        <w:jc w:val="both"/>
        <w:rPr>
          <w:rFonts w:cstheme="minorHAnsi"/>
          <w:b/>
          <w:bCs/>
        </w:rPr>
      </w:pPr>
      <w:r w:rsidRPr="00CF2EA7">
        <w:rPr>
          <w:rFonts w:cstheme="minorHAnsi"/>
          <w:b/>
          <w:bCs/>
        </w:rPr>
        <w:t>SUPPLEMENTAL DATA</w:t>
      </w:r>
    </w:p>
    <w:p w14:paraId="455C4736" w14:textId="77777777" w:rsidR="00A464FD" w:rsidRDefault="00A464FD" w:rsidP="00A464FD">
      <w:pPr>
        <w:jc w:val="both"/>
        <w:rPr>
          <w:rFonts w:cstheme="minorHAnsi"/>
        </w:rPr>
      </w:pPr>
      <w:r>
        <w:rPr>
          <w:rFonts w:cstheme="minorHAnsi"/>
          <w:b/>
          <w:bCs/>
          <w:noProof/>
        </w:rPr>
        <w:drawing>
          <wp:inline distT="0" distB="0" distL="0" distR="0" wp14:anchorId="5EE71FF9" wp14:editId="63C27E87">
            <wp:extent cx="5766500" cy="7811883"/>
            <wp:effectExtent l="0" t="0" r="0" b="0"/>
            <wp:docPr id="14" name="Picture 1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Diagram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176" cy="7814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</w:rPr>
        <w:t xml:space="preserve">Figure S1: Metabolomic and stable isotope data for glycolysis. </w:t>
      </w:r>
      <w:r w:rsidRPr="0039178C">
        <w:rPr>
          <w:rFonts w:cstheme="minorHAnsi"/>
        </w:rPr>
        <w:t>A)</w:t>
      </w:r>
      <w:r>
        <w:rPr>
          <w:rFonts w:cstheme="minorHAnsi"/>
        </w:rPr>
        <w:t xml:space="preserve"> Metabolomic data for </w:t>
      </w:r>
      <w:r>
        <w:rPr>
          <w:rFonts w:cstheme="minorHAnsi"/>
        </w:rPr>
        <w:lastRenderedPageBreak/>
        <w:t xml:space="preserve">glycolytic intermediates. T cells were activated for 24 hours as indicated above. Cell pellets were collected and sent for metabolomic analysis. Metabolites were normalized to protein levels. N = 10 mice/condition. B) Metabolomic data for pentose phosphate pathway intermediates. T cells were activated for 24 hours as indicated above. Cell pellets were collected and sent for metabolomic analysis. Metabolites were normalized to protein levels. N = 10 mice/condition. C) Labelling of glycolytic intermediates by </w:t>
      </w:r>
      <w:r w:rsidRPr="00CA7A5E">
        <w:rPr>
          <w:rFonts w:cstheme="minorHAnsi"/>
          <w:vertAlign w:val="superscript"/>
        </w:rPr>
        <w:t>13</w:t>
      </w:r>
      <w:r>
        <w:rPr>
          <w:rFonts w:cstheme="minorHAnsi"/>
        </w:rPr>
        <w:t xml:space="preserve">C-glucose in T cells activated for 24 hours. N = 3 mice/condition. D) TCA cycle isotopologues following </w:t>
      </w:r>
      <w:r w:rsidRPr="0039178C">
        <w:rPr>
          <w:rFonts w:cstheme="minorHAnsi"/>
          <w:vertAlign w:val="superscript"/>
        </w:rPr>
        <w:t>13</w:t>
      </w:r>
      <w:r>
        <w:rPr>
          <w:rFonts w:cstheme="minorHAnsi"/>
        </w:rPr>
        <w:t xml:space="preserve">C-glucose in activated T cells for 24 hours. N = 3 mice/condition.  </w:t>
      </w:r>
    </w:p>
    <w:p w14:paraId="0024C30E" w14:textId="77777777" w:rsidR="00A464FD" w:rsidRDefault="00A464FD" w:rsidP="00A464FD">
      <w:pPr>
        <w:jc w:val="both"/>
        <w:rPr>
          <w:rFonts w:cstheme="minorHAnsi"/>
        </w:rPr>
      </w:pPr>
    </w:p>
    <w:p w14:paraId="1D5B9ACC" w14:textId="77777777" w:rsidR="00A464FD" w:rsidRDefault="00A464FD" w:rsidP="00A464FD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5E4E4C1E" w14:textId="77777777" w:rsidR="00A464FD" w:rsidRDefault="00A464FD" w:rsidP="00A464FD">
      <w:pPr>
        <w:jc w:val="both"/>
        <w:rPr>
          <w:rFonts w:cstheme="minorHAnsi"/>
        </w:rPr>
      </w:pPr>
      <w:r>
        <w:rPr>
          <w:rFonts w:cstheme="minorHAnsi"/>
          <w:b/>
          <w:bCs/>
          <w:noProof/>
        </w:rPr>
        <w:lastRenderedPageBreak/>
        <w:drawing>
          <wp:inline distT="0" distB="0" distL="0" distR="0" wp14:anchorId="377CF08A" wp14:editId="4F249C66">
            <wp:extent cx="5943600" cy="7680960"/>
            <wp:effectExtent l="0" t="0" r="0" b="2540"/>
            <wp:docPr id="7" name="Picture 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4336">
        <w:rPr>
          <w:rFonts w:cstheme="minorHAnsi"/>
          <w:b/>
          <w:bCs/>
        </w:rPr>
        <w:t xml:space="preserve">Figure S2: Metabolomic and stable isotope data for TCA cycle. </w:t>
      </w:r>
      <w:r>
        <w:rPr>
          <w:rFonts w:cstheme="minorHAnsi"/>
        </w:rPr>
        <w:t xml:space="preserve">A) Metabolomic data for TCA cycle intermediates. T cells were activated for 24 hours as indicated above. Cell pellets were </w:t>
      </w:r>
      <w:r>
        <w:rPr>
          <w:rFonts w:cstheme="minorHAnsi"/>
        </w:rPr>
        <w:lastRenderedPageBreak/>
        <w:t xml:space="preserve">collected and sent for metabolomic analysis. Metabolites were normalized to protein levels. N = 10 mice/condition. B) Cartoon of anaplerotic amino acids in the TCA cycle. C) Metabolomics for cellular amino acids. </w:t>
      </w:r>
      <w:r w:rsidRPr="00F85570">
        <w:rPr>
          <w:rFonts w:cstheme="minorHAnsi"/>
          <w:i/>
          <w:iCs/>
        </w:rPr>
        <w:t>TPdh</w:t>
      </w:r>
      <w:r w:rsidRPr="00F85570">
        <w:rPr>
          <w:rFonts w:cstheme="minorHAnsi"/>
          <w:i/>
          <w:iCs/>
          <w:vertAlign w:val="superscript"/>
        </w:rPr>
        <w:t>-/-</w:t>
      </w:r>
      <w:r>
        <w:rPr>
          <w:rFonts w:cstheme="minorHAnsi"/>
        </w:rPr>
        <w:t xml:space="preserve"> amino acids were normalized to WT and represented as Z-scores due to diverse ranges of amino acid concentrations. N = 10 mice/condition. D) TCA cycle isotopologues following </w:t>
      </w:r>
      <w:r w:rsidRPr="0039178C">
        <w:rPr>
          <w:rFonts w:cstheme="minorHAnsi"/>
          <w:vertAlign w:val="superscript"/>
        </w:rPr>
        <w:t>13</w:t>
      </w:r>
      <w:r>
        <w:rPr>
          <w:rFonts w:cstheme="minorHAnsi"/>
        </w:rPr>
        <w:t xml:space="preserve">C-glutamine in activated T cells for 24 hours. N = 3 mice/condition. E) Extracellular flux analysis of WT and </w:t>
      </w:r>
      <w:r w:rsidRPr="00FB3CD0">
        <w:rPr>
          <w:rFonts w:cstheme="minorHAnsi"/>
          <w:i/>
          <w:iCs/>
        </w:rPr>
        <w:t>TPdh</w:t>
      </w:r>
      <w:r w:rsidRPr="00FB3CD0">
        <w:rPr>
          <w:rFonts w:cstheme="minorHAnsi"/>
          <w:i/>
          <w:iCs/>
          <w:vertAlign w:val="superscript"/>
        </w:rPr>
        <w:t xml:space="preserve">-/- </w:t>
      </w:r>
      <w:r>
        <w:rPr>
          <w:rFonts w:cstheme="minorHAnsi"/>
        </w:rPr>
        <w:t xml:space="preserve">T cells using palmitate as a substrate.  N = 4 mice/condition. Error bars = SEM. * P &lt; 0.05. </w:t>
      </w:r>
    </w:p>
    <w:p w14:paraId="7CCAF21D" w14:textId="77777777" w:rsidR="00A464FD" w:rsidRDefault="00A464FD" w:rsidP="00A464FD">
      <w:pPr>
        <w:jc w:val="both"/>
        <w:rPr>
          <w:rFonts w:cstheme="minorHAnsi"/>
        </w:rPr>
      </w:pPr>
    </w:p>
    <w:p w14:paraId="10B72CDD" w14:textId="77777777" w:rsidR="00A464FD" w:rsidRDefault="00A464FD" w:rsidP="00A464FD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5E40C42B" w14:textId="77777777" w:rsidR="00A464FD" w:rsidRPr="00656160" w:rsidRDefault="00A464FD" w:rsidP="00A464FD">
      <w:pPr>
        <w:jc w:val="both"/>
        <w:rPr>
          <w:rFonts w:cstheme="minorHAnsi"/>
        </w:rPr>
      </w:pPr>
      <w:r>
        <w:rPr>
          <w:rFonts w:cstheme="minorHAnsi"/>
          <w:b/>
          <w:bCs/>
          <w:noProof/>
        </w:rPr>
        <w:lastRenderedPageBreak/>
        <w:drawing>
          <wp:inline distT="0" distB="0" distL="0" distR="0" wp14:anchorId="4A90CCB8" wp14:editId="300A9C9D">
            <wp:extent cx="5943600" cy="7818120"/>
            <wp:effectExtent l="0" t="0" r="0" b="5080"/>
            <wp:docPr id="15" name="Picture 1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Dia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1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5C06">
        <w:rPr>
          <w:rFonts w:cstheme="minorHAnsi"/>
          <w:b/>
          <w:bCs/>
        </w:rPr>
        <w:t xml:space="preserve">Figure S3: </w:t>
      </w:r>
      <w:r w:rsidRPr="00D25C06">
        <w:rPr>
          <w:rFonts w:cstheme="minorHAnsi"/>
          <w:b/>
          <w:bCs/>
          <w:i/>
          <w:iCs/>
        </w:rPr>
        <w:t>TPdh</w:t>
      </w:r>
      <w:r w:rsidRPr="00D25C06">
        <w:rPr>
          <w:rFonts w:cstheme="minorHAnsi"/>
          <w:b/>
          <w:bCs/>
          <w:i/>
          <w:iCs/>
          <w:vertAlign w:val="superscript"/>
        </w:rPr>
        <w:t>-/-</w:t>
      </w:r>
      <w:r w:rsidRPr="00D25C06">
        <w:rPr>
          <w:rFonts w:cstheme="minorHAnsi"/>
          <w:b/>
          <w:bCs/>
        </w:rPr>
        <w:t xml:space="preserve"> T cell differentiation.</w:t>
      </w:r>
      <w:r>
        <w:rPr>
          <w:rFonts w:cstheme="minorHAnsi"/>
        </w:rPr>
        <w:t xml:space="preserve"> A) </w:t>
      </w:r>
      <w:r w:rsidRPr="00BD4C04">
        <w:rPr>
          <w:rFonts w:cstheme="minorHAnsi"/>
          <w:i/>
          <w:iCs/>
        </w:rPr>
        <w:t>In vitro</w:t>
      </w:r>
      <w:r>
        <w:rPr>
          <w:rFonts w:cstheme="minorHAnsi"/>
        </w:rPr>
        <w:t xml:space="preserve"> T cell differentiation under high and low stimulation conditions: Th</w:t>
      </w:r>
      <w:r w:rsidRPr="00BD4C04">
        <w:rPr>
          <w:rFonts w:cstheme="minorHAnsi"/>
          <w:vertAlign w:val="subscript"/>
        </w:rPr>
        <w:t>1</w:t>
      </w:r>
      <w:r>
        <w:rPr>
          <w:rFonts w:cstheme="minorHAnsi"/>
        </w:rPr>
        <w:t>, Th</w:t>
      </w:r>
      <w:r w:rsidRPr="00450945">
        <w:rPr>
          <w:rFonts w:cstheme="minorHAnsi"/>
          <w:vertAlign w:val="subscript"/>
        </w:rPr>
        <w:t>2</w:t>
      </w:r>
      <w:r>
        <w:rPr>
          <w:rFonts w:cstheme="minorHAnsi"/>
        </w:rPr>
        <w:t>, Th</w:t>
      </w:r>
      <w:r w:rsidRPr="00450945">
        <w:rPr>
          <w:rFonts w:cstheme="minorHAnsi"/>
          <w:vertAlign w:val="subscript"/>
        </w:rPr>
        <w:t>9</w:t>
      </w:r>
      <w:r>
        <w:rPr>
          <w:rFonts w:cstheme="minorHAnsi"/>
        </w:rPr>
        <w:t>, Th</w:t>
      </w:r>
      <w:r w:rsidRPr="00450945">
        <w:rPr>
          <w:rFonts w:cstheme="minorHAnsi"/>
          <w:vertAlign w:val="subscript"/>
        </w:rPr>
        <w:t>17</w:t>
      </w:r>
      <w:r>
        <w:rPr>
          <w:rFonts w:cstheme="minorHAnsi"/>
        </w:rPr>
        <w:t>, T</w:t>
      </w:r>
      <w:r w:rsidRPr="00450945">
        <w:rPr>
          <w:rFonts w:cstheme="minorHAnsi"/>
          <w:vertAlign w:val="subscript"/>
        </w:rPr>
        <w:t>reg</w:t>
      </w:r>
      <w:r>
        <w:rPr>
          <w:rFonts w:cstheme="minorHAnsi"/>
        </w:rPr>
        <w:t>. Please see Methods for details. B) T</w:t>
      </w:r>
      <w:r w:rsidRPr="00D25C06">
        <w:rPr>
          <w:rFonts w:cstheme="minorHAnsi"/>
          <w:vertAlign w:val="subscript"/>
        </w:rPr>
        <w:t>E</w:t>
      </w:r>
      <w:r>
        <w:rPr>
          <w:rFonts w:cstheme="minorHAnsi"/>
        </w:rPr>
        <w:t xml:space="preserve"> and T</w:t>
      </w:r>
      <w:r w:rsidRPr="00D25C06">
        <w:rPr>
          <w:rFonts w:cstheme="minorHAnsi"/>
          <w:vertAlign w:val="subscript"/>
        </w:rPr>
        <w:t>M</w:t>
      </w:r>
      <w:r>
        <w:rPr>
          <w:rFonts w:cstheme="minorHAnsi"/>
        </w:rPr>
        <w:t xml:space="preserve"> </w:t>
      </w:r>
      <w:r>
        <w:rPr>
          <w:rFonts w:cstheme="minorHAnsi"/>
        </w:rPr>
        <w:lastRenderedPageBreak/>
        <w:t>differentiation protocol. C) Granzyme B expression in T</w:t>
      </w:r>
      <w:r w:rsidRPr="00D25C06">
        <w:rPr>
          <w:rFonts w:cstheme="minorHAnsi"/>
          <w:vertAlign w:val="subscript"/>
        </w:rPr>
        <w:t>M</w:t>
      </w:r>
      <w:r>
        <w:rPr>
          <w:rFonts w:cstheme="minorHAnsi"/>
        </w:rPr>
        <w:t xml:space="preserve"> cells. TM cells were differentiated as above and Genzyme B (GZMB) expression was determined by flow cytometry. N = 4 mice/condition. </w:t>
      </w:r>
    </w:p>
    <w:p w14:paraId="75B29410" w14:textId="77777777" w:rsidR="00A464FD" w:rsidRPr="00CB4336" w:rsidRDefault="00A464FD" w:rsidP="00A464FD">
      <w:pPr>
        <w:jc w:val="both"/>
        <w:rPr>
          <w:rFonts w:cstheme="minorHAnsi"/>
        </w:rPr>
      </w:pPr>
      <w:r>
        <w:rPr>
          <w:rFonts w:cstheme="minorHAnsi"/>
        </w:rPr>
        <w:t xml:space="preserve"> </w:t>
      </w:r>
    </w:p>
    <w:p w14:paraId="0AC5E316" w14:textId="77777777" w:rsidR="00386883" w:rsidRDefault="00000000"/>
    <w:sectPr w:rsidR="00386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4FD"/>
    <w:rsid w:val="003107CE"/>
    <w:rsid w:val="00316534"/>
    <w:rsid w:val="00373D83"/>
    <w:rsid w:val="005C224D"/>
    <w:rsid w:val="00622525"/>
    <w:rsid w:val="006B2C4D"/>
    <w:rsid w:val="00786892"/>
    <w:rsid w:val="007A60A6"/>
    <w:rsid w:val="00A0389B"/>
    <w:rsid w:val="00A464FD"/>
    <w:rsid w:val="00B1250C"/>
    <w:rsid w:val="00D50CFA"/>
    <w:rsid w:val="00EA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B48DE"/>
  <w15:chartTrackingRefBased/>
  <w15:docId w15:val="{2726BF6B-8743-4AEF-9740-CB334F39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4FD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Smith</dc:creator>
  <cp:keywords/>
  <dc:description/>
  <cp:lastModifiedBy>David Smith</cp:lastModifiedBy>
  <cp:revision>1</cp:revision>
  <dcterms:created xsi:type="dcterms:W3CDTF">2022-09-22T16:22:00Z</dcterms:created>
  <dcterms:modified xsi:type="dcterms:W3CDTF">2022-09-22T16:22:00Z</dcterms:modified>
</cp:coreProperties>
</file>