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4F864" w14:textId="77777777" w:rsidR="00E92882" w:rsidRDefault="00E92882" w:rsidP="00E92882">
      <w:pPr>
        <w:spacing w:line="360" w:lineRule="auto"/>
        <w:jc w:val="center"/>
        <w:rPr>
          <w:rFonts w:ascii="Times New Roman" w:hAnsi="Times New Roman" w:cs="Times New Roman"/>
          <w:b/>
          <w:bCs/>
          <w:lang w:val="en-US"/>
        </w:rPr>
      </w:pPr>
      <w:r>
        <w:rPr>
          <w:rFonts w:ascii="Times New Roman" w:hAnsi="Times New Roman" w:cs="Times New Roman"/>
          <w:b/>
          <w:bCs/>
          <w:lang w:val="en-US"/>
        </w:rPr>
        <w:t>Supplementary material</w:t>
      </w:r>
    </w:p>
    <w:p w14:paraId="19B9D8E4" w14:textId="77777777" w:rsidR="00E92882" w:rsidRDefault="00E92882" w:rsidP="00E92882">
      <w:pPr>
        <w:spacing w:line="360" w:lineRule="auto"/>
        <w:rPr>
          <w:rFonts w:ascii="Times New Roman" w:hAnsi="Times New Roman" w:cs="Times New Roman"/>
          <w:lang w:val="en-US"/>
        </w:rPr>
      </w:pPr>
    </w:p>
    <w:p w14:paraId="09C25E06" w14:textId="77777777" w:rsidR="00E92882" w:rsidRDefault="00E92882" w:rsidP="00E92882">
      <w:pPr>
        <w:spacing w:line="360" w:lineRule="auto"/>
        <w:rPr>
          <w:rFonts w:ascii="Times New Roman" w:hAnsi="Times New Roman" w:cs="Times New Roman"/>
          <w:b/>
          <w:bCs/>
          <w:lang w:val="en-US"/>
        </w:rPr>
      </w:pPr>
      <w:r>
        <w:rPr>
          <w:rFonts w:ascii="Times New Roman" w:hAnsi="Times New Roman" w:cs="Times New Roman"/>
          <w:b/>
          <w:bCs/>
          <w:lang w:val="en-US"/>
        </w:rPr>
        <w:t>Dimensional Change Card Sort task (DCCS) and British Picture Vocabulary Scale (BPVS)</w:t>
      </w:r>
    </w:p>
    <w:p w14:paraId="009DD2B1" w14:textId="77777777" w:rsidR="00E92882" w:rsidRDefault="00E92882" w:rsidP="00E92882">
      <w:pPr>
        <w:spacing w:line="360" w:lineRule="auto"/>
        <w:rPr>
          <w:rFonts w:ascii="Times New Roman" w:hAnsi="Times New Roman" w:cs="Times New Roman"/>
          <w:lang w:val="en-US"/>
        </w:rPr>
      </w:pPr>
      <w:r>
        <w:rPr>
          <w:rFonts w:ascii="Times New Roman" w:hAnsi="Times New Roman" w:cs="Times New Roman"/>
          <w:lang w:val="en-US"/>
        </w:rPr>
        <w:t>We analyzed differences in the groups’ development in DCCS scores and BPVS scores via ANOVAs with the factors Time (T1 vs T2) and Group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L2, No-L2) (see Supplementary Figure 1). </w:t>
      </w:r>
      <w:r>
        <w:rPr>
          <w:rFonts w:ascii="Times New Roman" w:hAnsi="Times New Roman" w:cs="Times New Roman"/>
        </w:rPr>
        <w:t xml:space="preserve">For DCCS scores, we found a significant main effect of Time, </w:t>
      </w:r>
      <w:r>
        <w:rPr>
          <w:rFonts w:ascii="Times New Roman" w:hAnsi="Times New Roman" w:cs="Times New Roman"/>
          <w:i/>
          <w:iCs/>
          <w:lang w:val="en-US"/>
        </w:rPr>
        <w:t>F</w:t>
      </w:r>
      <w:r>
        <w:rPr>
          <w:rFonts w:ascii="Times New Roman" w:hAnsi="Times New Roman" w:cs="Times New Roman"/>
          <w:lang w:val="en-US"/>
        </w:rPr>
        <w:t xml:space="preserve">(1, 96) =124.7, </w:t>
      </w:r>
      <w:r>
        <w:rPr>
          <w:rFonts w:ascii="Times New Roman" w:hAnsi="Times New Roman" w:cs="Times New Roman"/>
          <w:i/>
          <w:iCs/>
        </w:rPr>
        <w:t>p</w:t>
      </w:r>
      <w:r>
        <w:rPr>
          <w:rFonts w:ascii="Times New Roman" w:hAnsi="Times New Roman" w:cs="Times New Roman"/>
          <w:lang w:val="en-US"/>
        </w:rPr>
        <w:t xml:space="preserve"> &lt; .001, </w:t>
      </w:r>
      <w:r>
        <w:rPr>
          <w:rFonts w:ascii="Times New Roman" w:hAnsi="Times New Roman" w:cs="Times New Roman"/>
          <w:i/>
          <w:iCs/>
          <w:lang w:val="en-US"/>
        </w:rPr>
        <w:t>ηp2</w:t>
      </w:r>
      <w:r>
        <w:rPr>
          <w:rFonts w:ascii="Times New Roman" w:hAnsi="Times New Roman" w:cs="Times New Roman"/>
          <w:lang w:val="en-US"/>
        </w:rPr>
        <w:t xml:space="preserve"> = .565, and </w:t>
      </w:r>
      <w:r>
        <w:rPr>
          <w:rFonts w:ascii="Times New Roman" w:hAnsi="Times New Roman" w:cs="Times New Roman"/>
        </w:rPr>
        <w:t xml:space="preserve">Group, </w:t>
      </w:r>
      <w:r>
        <w:rPr>
          <w:rFonts w:ascii="Times New Roman" w:hAnsi="Times New Roman" w:cs="Times New Roman"/>
          <w:i/>
          <w:iCs/>
          <w:lang w:val="en-US"/>
        </w:rPr>
        <w:t>F</w:t>
      </w:r>
      <w:r>
        <w:rPr>
          <w:rFonts w:ascii="Times New Roman" w:hAnsi="Times New Roman" w:cs="Times New Roman"/>
          <w:lang w:val="en-US"/>
        </w:rPr>
        <w:t xml:space="preserve">(2, 96) = 3.6, </w:t>
      </w:r>
      <w:r>
        <w:rPr>
          <w:rFonts w:ascii="Times New Roman" w:hAnsi="Times New Roman" w:cs="Times New Roman"/>
          <w:i/>
          <w:iCs/>
        </w:rPr>
        <w:t xml:space="preserve">p </w:t>
      </w:r>
      <w:r>
        <w:rPr>
          <w:rFonts w:ascii="Times New Roman" w:hAnsi="Times New Roman" w:cs="Times New Roman"/>
          <w:lang w:val="en-US"/>
        </w:rPr>
        <w:t>= .033</w:t>
      </w:r>
      <w:r>
        <w:rPr>
          <w:rFonts w:ascii="Times New Roman" w:hAnsi="Times New Roman" w:cs="Times New Roman"/>
        </w:rPr>
        <w:t xml:space="preserve">, </w:t>
      </w:r>
      <w:r>
        <w:rPr>
          <w:rFonts w:ascii="Times New Roman" w:hAnsi="Times New Roman" w:cs="Times New Roman"/>
          <w:i/>
          <w:iCs/>
          <w:lang w:val="en-US"/>
        </w:rPr>
        <w:t>ηp2</w:t>
      </w:r>
      <w:r>
        <w:rPr>
          <w:rFonts w:ascii="Times New Roman" w:hAnsi="Times New Roman" w:cs="Times New Roman"/>
          <w:lang w:val="en-US"/>
        </w:rPr>
        <w:t xml:space="preserve"> = .069, and a Time x Group interaction, </w:t>
      </w:r>
      <w:r>
        <w:rPr>
          <w:rFonts w:ascii="Times New Roman" w:hAnsi="Times New Roman" w:cs="Times New Roman"/>
          <w:i/>
          <w:iCs/>
          <w:lang w:val="en-US"/>
        </w:rPr>
        <w:t>F</w:t>
      </w:r>
      <w:r>
        <w:rPr>
          <w:rFonts w:ascii="Times New Roman" w:hAnsi="Times New Roman" w:cs="Times New Roman"/>
          <w:lang w:val="en-US"/>
        </w:rPr>
        <w:t xml:space="preserve">(2, 96) = 11.1, </w:t>
      </w:r>
      <w:r>
        <w:rPr>
          <w:rFonts w:ascii="Times New Roman" w:hAnsi="Times New Roman" w:cs="Times New Roman"/>
          <w:i/>
          <w:iCs/>
        </w:rPr>
        <w:t>p</w:t>
      </w:r>
      <w:r>
        <w:rPr>
          <w:rFonts w:ascii="Times New Roman" w:hAnsi="Times New Roman" w:cs="Times New Roman"/>
          <w:lang w:val="en-US"/>
        </w:rPr>
        <w:t xml:space="preserve"> &lt; </w:t>
      </w:r>
      <w:r>
        <w:rPr>
          <w:rFonts w:ascii="Times New Roman" w:hAnsi="Times New Roman" w:cs="Times New Roman"/>
        </w:rPr>
        <w:t xml:space="preserve">.001, </w:t>
      </w:r>
      <w:r>
        <w:rPr>
          <w:rFonts w:ascii="Times New Roman" w:hAnsi="Times New Roman" w:cs="Times New Roman"/>
          <w:i/>
          <w:iCs/>
          <w:lang w:val="en-US"/>
        </w:rPr>
        <w:t>ηp2</w:t>
      </w:r>
      <w:r>
        <w:rPr>
          <w:rFonts w:ascii="Times New Roman" w:hAnsi="Times New Roman" w:cs="Times New Roman"/>
          <w:lang w:val="en-US"/>
        </w:rPr>
        <w:t xml:space="preserve"> = .188</w:t>
      </w:r>
      <w:r>
        <w:rPr>
          <w:rFonts w:ascii="Times New Roman" w:hAnsi="Times New Roman" w:cs="Times New Roman"/>
        </w:rPr>
        <w:t xml:space="preserve">. While there was no difference between groups at T1, </w:t>
      </w:r>
      <w:r>
        <w:rPr>
          <w:rFonts w:ascii="Times New Roman" w:hAnsi="Times New Roman" w:cs="Times New Roman"/>
          <w:i/>
          <w:iCs/>
        </w:rPr>
        <w:t>F</w:t>
      </w:r>
      <w:r>
        <w:rPr>
          <w:rFonts w:ascii="Times New Roman" w:hAnsi="Times New Roman" w:cs="Times New Roman"/>
        </w:rPr>
        <w:t xml:space="preserve">(2, 96) = .2, </w:t>
      </w:r>
      <w:r>
        <w:rPr>
          <w:rFonts w:ascii="Times New Roman" w:hAnsi="Times New Roman" w:cs="Times New Roman"/>
          <w:i/>
          <w:iCs/>
        </w:rPr>
        <w:t>p</w:t>
      </w:r>
      <w:r>
        <w:rPr>
          <w:rFonts w:ascii="Times New Roman" w:hAnsi="Times New Roman" w:cs="Times New Roman"/>
        </w:rPr>
        <w:t xml:space="preserve"> = .807, there was at T2, Welch </w:t>
      </w:r>
      <w:r>
        <w:rPr>
          <w:rFonts w:ascii="Times New Roman" w:hAnsi="Times New Roman" w:cs="Times New Roman"/>
          <w:i/>
          <w:iCs/>
        </w:rPr>
        <w:t>F</w:t>
      </w:r>
      <w:r>
        <w:rPr>
          <w:rFonts w:ascii="Times New Roman" w:hAnsi="Times New Roman" w:cs="Times New Roman"/>
        </w:rPr>
        <w:t xml:space="preserve">(2, 57.7) = 17.5, </w:t>
      </w:r>
      <w:r>
        <w:rPr>
          <w:rFonts w:ascii="Times New Roman" w:hAnsi="Times New Roman" w:cs="Times New Roman"/>
          <w:i/>
          <w:iCs/>
        </w:rPr>
        <w:t>p</w:t>
      </w:r>
      <w:r>
        <w:rPr>
          <w:rFonts w:ascii="Times New Roman" w:hAnsi="Times New Roman" w:cs="Times New Roman"/>
        </w:rPr>
        <w:t xml:space="preserve"> &lt; .001. Games-Howell post hoc tests for T2 showed higher </w:t>
      </w:r>
      <w:r>
        <w:rPr>
          <w:rFonts w:ascii="Times New Roman" w:hAnsi="Times New Roman" w:cs="Times New Roman"/>
          <w:lang w:val="en-US"/>
        </w:rPr>
        <w:t xml:space="preserve">DCCS scores for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children than L2 learners (</w:t>
      </w:r>
      <w:r>
        <w:rPr>
          <w:rFonts w:ascii="Times New Roman" w:hAnsi="Times New Roman" w:cs="Times New Roman"/>
          <w:i/>
          <w:iCs/>
        </w:rPr>
        <w:t>p</w:t>
      </w:r>
      <w:r>
        <w:rPr>
          <w:rFonts w:ascii="Times New Roman" w:hAnsi="Times New Roman" w:cs="Times New Roman"/>
        </w:rPr>
        <w:t xml:space="preserve"> = .012) </w:t>
      </w:r>
      <w:r>
        <w:rPr>
          <w:rFonts w:ascii="Times New Roman" w:hAnsi="Times New Roman" w:cs="Times New Roman"/>
          <w:lang w:val="en-US"/>
        </w:rPr>
        <w:t>and NoL2 children (</w:t>
      </w:r>
      <w:r>
        <w:rPr>
          <w:rFonts w:ascii="Times New Roman" w:hAnsi="Times New Roman" w:cs="Times New Roman"/>
          <w:i/>
          <w:iCs/>
        </w:rPr>
        <w:t>p</w:t>
      </w:r>
      <w:r>
        <w:rPr>
          <w:rFonts w:ascii="Times New Roman" w:hAnsi="Times New Roman" w:cs="Times New Roman"/>
        </w:rPr>
        <w:t xml:space="preserve"> &lt; .001), while scores for L2 learners and NoL2 children did not differ (</w:t>
      </w:r>
      <w:r>
        <w:rPr>
          <w:rFonts w:ascii="Times New Roman" w:hAnsi="Times New Roman" w:cs="Times New Roman"/>
          <w:i/>
          <w:iCs/>
        </w:rPr>
        <w:t>p</w:t>
      </w:r>
      <w:r>
        <w:rPr>
          <w:rFonts w:ascii="Times New Roman" w:hAnsi="Times New Roman" w:cs="Times New Roman"/>
        </w:rPr>
        <w:t xml:space="preserve"> = .161).</w:t>
      </w:r>
      <w:r>
        <w:rPr>
          <w:rFonts w:ascii="Times New Roman" w:hAnsi="Times New Roman" w:cs="Times New Roman"/>
          <w:lang w:val="en-US"/>
        </w:rPr>
        <w:t xml:space="preserve"> This pattern is different from that for the perspective taking task, where L2 learners patterned with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children instead of the NoL2 children and is congruent with the finding that performance improvements in the director task and the DCCS did not correlate. For </w:t>
      </w:r>
      <w:r>
        <w:rPr>
          <w:rFonts w:ascii="Times New Roman" w:hAnsi="Times New Roman" w:cs="Times New Roman"/>
        </w:rPr>
        <w:t>BPVS scores</w:t>
      </w:r>
      <w:r>
        <w:rPr>
          <w:rFonts w:ascii="Times New Roman" w:hAnsi="Times New Roman" w:cs="Times New Roman"/>
          <w:lang w:val="en-US"/>
        </w:rPr>
        <w:t xml:space="preserve">, we found a main effect of Time, </w:t>
      </w:r>
      <w:r>
        <w:rPr>
          <w:rFonts w:ascii="Times New Roman" w:hAnsi="Times New Roman" w:cs="Times New Roman"/>
          <w:i/>
          <w:iCs/>
          <w:lang w:val="en-US"/>
        </w:rPr>
        <w:t>F</w:t>
      </w:r>
      <w:r>
        <w:rPr>
          <w:rFonts w:ascii="Times New Roman" w:hAnsi="Times New Roman" w:cs="Times New Roman"/>
          <w:lang w:val="en-US"/>
        </w:rPr>
        <w:t xml:space="preserve">(1, 96) = 103.9, </w:t>
      </w:r>
      <w:r>
        <w:rPr>
          <w:rFonts w:ascii="Times New Roman" w:hAnsi="Times New Roman" w:cs="Times New Roman"/>
          <w:i/>
          <w:iCs/>
        </w:rPr>
        <w:t>p</w:t>
      </w:r>
      <w:r>
        <w:rPr>
          <w:rFonts w:ascii="Times New Roman" w:hAnsi="Times New Roman" w:cs="Times New Roman"/>
          <w:lang w:val="en-US"/>
        </w:rPr>
        <w:t xml:space="preserve"> &lt;.001, </w:t>
      </w:r>
      <w:r>
        <w:rPr>
          <w:rFonts w:ascii="Times New Roman" w:hAnsi="Times New Roman" w:cs="Times New Roman"/>
          <w:i/>
          <w:iCs/>
        </w:rPr>
        <w:t>ηp2</w:t>
      </w:r>
      <w:r>
        <w:rPr>
          <w:rFonts w:ascii="Times New Roman" w:hAnsi="Times New Roman" w:cs="Times New Roman"/>
        </w:rPr>
        <w:t xml:space="preserve"> = .520, no effect of Group, </w:t>
      </w:r>
      <w:r>
        <w:rPr>
          <w:rFonts w:ascii="Times New Roman" w:hAnsi="Times New Roman" w:cs="Times New Roman"/>
          <w:i/>
          <w:iCs/>
        </w:rPr>
        <w:t>F</w:t>
      </w:r>
      <w:r>
        <w:rPr>
          <w:rFonts w:ascii="Times New Roman" w:hAnsi="Times New Roman" w:cs="Times New Roman"/>
        </w:rPr>
        <w:t xml:space="preserve">(2, 96) = 2.3, </w:t>
      </w:r>
      <w:r>
        <w:rPr>
          <w:rFonts w:ascii="Times New Roman" w:hAnsi="Times New Roman" w:cs="Times New Roman"/>
          <w:i/>
          <w:iCs/>
        </w:rPr>
        <w:t>p</w:t>
      </w:r>
      <w:r>
        <w:rPr>
          <w:rFonts w:ascii="Times New Roman" w:hAnsi="Times New Roman" w:cs="Times New Roman"/>
        </w:rPr>
        <w:t xml:space="preserve"> = .108, </w:t>
      </w:r>
      <w:r>
        <w:rPr>
          <w:rFonts w:ascii="Times New Roman" w:hAnsi="Times New Roman" w:cs="Times New Roman"/>
          <w:i/>
          <w:iCs/>
        </w:rPr>
        <w:t>ηp2</w:t>
      </w:r>
      <w:r>
        <w:rPr>
          <w:rFonts w:ascii="Times New Roman" w:hAnsi="Times New Roman" w:cs="Times New Roman"/>
        </w:rPr>
        <w:t xml:space="preserve"> = .045, but a Time x Group interaction, </w:t>
      </w:r>
      <w:r>
        <w:rPr>
          <w:rFonts w:ascii="Times New Roman" w:hAnsi="Times New Roman" w:cs="Times New Roman"/>
          <w:i/>
          <w:iCs/>
        </w:rPr>
        <w:t>F</w:t>
      </w:r>
      <w:r>
        <w:rPr>
          <w:rFonts w:ascii="Times New Roman" w:hAnsi="Times New Roman" w:cs="Times New Roman"/>
        </w:rPr>
        <w:t xml:space="preserve">(2,96) = 4.1, </w:t>
      </w:r>
      <w:r>
        <w:rPr>
          <w:rFonts w:ascii="Times New Roman" w:hAnsi="Times New Roman" w:cs="Times New Roman"/>
          <w:i/>
          <w:iCs/>
        </w:rPr>
        <w:t>p</w:t>
      </w:r>
      <w:r>
        <w:rPr>
          <w:rFonts w:ascii="Times New Roman" w:hAnsi="Times New Roman" w:cs="Times New Roman"/>
        </w:rPr>
        <w:t xml:space="preserve"> = .019, </w:t>
      </w:r>
      <w:r>
        <w:rPr>
          <w:rFonts w:ascii="Times New Roman" w:hAnsi="Times New Roman" w:cs="Times New Roman"/>
          <w:i/>
          <w:iCs/>
        </w:rPr>
        <w:t>ηp2</w:t>
      </w:r>
      <w:r>
        <w:rPr>
          <w:rFonts w:ascii="Times New Roman" w:hAnsi="Times New Roman" w:cs="Times New Roman"/>
        </w:rPr>
        <w:t xml:space="preserve"> = .079. Groups did not differ at T1, </w:t>
      </w:r>
      <w:r>
        <w:rPr>
          <w:rFonts w:ascii="Times New Roman" w:hAnsi="Times New Roman" w:cs="Times New Roman"/>
          <w:i/>
          <w:iCs/>
        </w:rPr>
        <w:t>F</w:t>
      </w:r>
      <w:r>
        <w:rPr>
          <w:rFonts w:ascii="Times New Roman" w:hAnsi="Times New Roman" w:cs="Times New Roman"/>
        </w:rPr>
        <w:t xml:space="preserve">(2, 96) = .4, </w:t>
      </w:r>
      <w:r>
        <w:rPr>
          <w:rFonts w:ascii="Times New Roman" w:hAnsi="Times New Roman" w:cs="Times New Roman"/>
          <w:i/>
          <w:iCs/>
        </w:rPr>
        <w:t>p</w:t>
      </w:r>
      <w:r>
        <w:rPr>
          <w:rFonts w:ascii="Times New Roman" w:hAnsi="Times New Roman" w:cs="Times New Roman"/>
        </w:rPr>
        <w:t xml:space="preserve"> = .657, but did differ at T2, Welch </w:t>
      </w:r>
      <w:r>
        <w:rPr>
          <w:rFonts w:ascii="Times New Roman" w:hAnsi="Times New Roman" w:cs="Times New Roman"/>
          <w:i/>
          <w:iCs/>
        </w:rPr>
        <w:t>F</w:t>
      </w:r>
      <w:r>
        <w:rPr>
          <w:rFonts w:ascii="Times New Roman" w:hAnsi="Times New Roman" w:cs="Times New Roman"/>
        </w:rPr>
        <w:t xml:space="preserve">(2, 60.85) = 6.824, </w:t>
      </w:r>
      <w:r>
        <w:rPr>
          <w:rFonts w:ascii="Times New Roman" w:hAnsi="Times New Roman" w:cs="Times New Roman"/>
          <w:i/>
          <w:iCs/>
        </w:rPr>
        <w:t>p</w:t>
      </w:r>
      <w:r>
        <w:rPr>
          <w:rFonts w:ascii="Times New Roman" w:hAnsi="Times New Roman" w:cs="Times New Roman"/>
        </w:rPr>
        <w:t xml:space="preserve"> = .002. Games-Howell post hoc tests for T2 showed higher BPVS scores for </w:t>
      </w:r>
      <w:proofErr w:type="spellStart"/>
      <w:r>
        <w:rPr>
          <w:rFonts w:ascii="Times New Roman" w:hAnsi="Times New Roman" w:cs="Times New Roman"/>
        </w:rPr>
        <w:t>BilS</w:t>
      </w:r>
      <w:proofErr w:type="spellEnd"/>
      <w:r>
        <w:rPr>
          <w:rFonts w:ascii="Times New Roman" w:hAnsi="Times New Roman" w:cs="Times New Roman"/>
        </w:rPr>
        <w:t xml:space="preserve"> children than L2 learners, </w:t>
      </w:r>
      <w:r>
        <w:rPr>
          <w:rFonts w:ascii="Times New Roman" w:hAnsi="Times New Roman" w:cs="Times New Roman"/>
          <w:i/>
          <w:iCs/>
        </w:rPr>
        <w:t>p</w:t>
      </w:r>
      <w:r>
        <w:rPr>
          <w:rFonts w:ascii="Times New Roman" w:hAnsi="Times New Roman" w:cs="Times New Roman"/>
        </w:rPr>
        <w:t xml:space="preserve"> = .014, and NoL2 children, </w:t>
      </w:r>
      <w:r>
        <w:rPr>
          <w:rFonts w:ascii="Times New Roman" w:hAnsi="Times New Roman" w:cs="Times New Roman"/>
          <w:i/>
          <w:iCs/>
        </w:rPr>
        <w:t xml:space="preserve">p </w:t>
      </w:r>
      <w:r>
        <w:rPr>
          <w:rFonts w:ascii="Times New Roman" w:hAnsi="Times New Roman" w:cs="Times New Roman"/>
        </w:rPr>
        <w:t xml:space="preserve">= .012, while L2 learners and NoL2 children did not differ, </w:t>
      </w:r>
      <w:r>
        <w:rPr>
          <w:rFonts w:ascii="Times New Roman" w:hAnsi="Times New Roman" w:cs="Times New Roman"/>
          <w:i/>
          <w:iCs/>
        </w:rPr>
        <w:t>p</w:t>
      </w:r>
      <w:r>
        <w:rPr>
          <w:rFonts w:ascii="Times New Roman" w:hAnsi="Times New Roman" w:cs="Times New Roman"/>
        </w:rPr>
        <w:t xml:space="preserve"> =1.0</w:t>
      </w:r>
      <w:r>
        <w:rPr>
          <w:rFonts w:ascii="Times New Roman" w:hAnsi="Times New Roman" w:cs="Times New Roman"/>
          <w:lang w:val="en-US"/>
        </w:rPr>
        <w:t xml:space="preserve">. This result again differs from that for the perspective taking task, where L2 learners patterned with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children instead of the NoL2 children. The result is also in line with the finding that performance improvements in the director task and the BPVS did not correlate. </w:t>
      </w:r>
    </w:p>
    <w:p w14:paraId="41A880DB" w14:textId="77777777" w:rsidR="00E92882" w:rsidRDefault="00E92882" w:rsidP="00E92882">
      <w:pPr>
        <w:spacing w:line="360" w:lineRule="auto"/>
        <w:rPr>
          <w:rFonts w:ascii="Times New Roman" w:hAnsi="Times New Roman" w:cs="Times New Roman"/>
        </w:rPr>
      </w:pPr>
    </w:p>
    <w:p w14:paraId="78642002" w14:textId="13A7F7F0" w:rsidR="00E92882" w:rsidRDefault="00E92882" w:rsidP="00E92882">
      <w:pPr>
        <w:spacing w:line="360" w:lineRule="auto"/>
        <w:rPr>
          <w:rFonts w:ascii="Times New Roman" w:hAnsi="Times New Roman" w:cs="Times New Roman"/>
          <w:b/>
          <w:bCs/>
          <w:lang w:val="en-US"/>
        </w:rPr>
      </w:pPr>
      <w:r>
        <w:rPr>
          <w:rFonts w:ascii="Times New Roman" w:hAnsi="Times New Roman" w:cs="Times New Roman"/>
          <w:b/>
          <w:noProof/>
          <w:lang w:val="en-US"/>
        </w:rPr>
        <w:lastRenderedPageBreak/>
        <w:drawing>
          <wp:inline distT="0" distB="0" distL="0" distR="0" wp14:anchorId="78DAAB58" wp14:editId="367DD02C">
            <wp:extent cx="4972050" cy="4295775"/>
            <wp:effectExtent l="0" t="0" r="0" b="9525"/>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hart, line 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72050" cy="4295775"/>
                    </a:xfrm>
                    <a:prstGeom prst="rect">
                      <a:avLst/>
                    </a:prstGeom>
                    <a:noFill/>
                    <a:ln>
                      <a:noFill/>
                    </a:ln>
                  </pic:spPr>
                </pic:pic>
              </a:graphicData>
            </a:graphic>
          </wp:inline>
        </w:drawing>
      </w:r>
    </w:p>
    <w:p w14:paraId="342CD8D9" w14:textId="77777777" w:rsidR="00E92882" w:rsidRDefault="00E92882" w:rsidP="00E92882">
      <w:pPr>
        <w:spacing w:line="360" w:lineRule="auto"/>
        <w:rPr>
          <w:rFonts w:ascii="Times New Roman" w:hAnsi="Times New Roman" w:cs="Times New Roman"/>
          <w:lang w:val="en-US"/>
        </w:rPr>
      </w:pPr>
      <w:r>
        <w:rPr>
          <w:rFonts w:ascii="Times New Roman" w:hAnsi="Times New Roman" w:cs="Times New Roman"/>
          <w:lang w:val="en-US"/>
        </w:rPr>
        <w:t>Supplementary Figure 1. DCCS (upper panel) and BPVS scores (lower panel) for the three participant groups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 bilingual school children, L2 = L2 learners, NoL2 = children without L2 provision) at both testing points (T1 and T2). Error bars represent 95% confidence intervals. </w:t>
      </w:r>
    </w:p>
    <w:p w14:paraId="3787DADE" w14:textId="77777777" w:rsidR="00E92882" w:rsidRDefault="00E92882" w:rsidP="00E92882">
      <w:pPr>
        <w:spacing w:line="360" w:lineRule="auto"/>
        <w:rPr>
          <w:rFonts w:ascii="Times New Roman" w:hAnsi="Times New Roman" w:cs="Times New Roman"/>
          <w:b/>
          <w:bCs/>
          <w:lang w:val="en-US"/>
        </w:rPr>
      </w:pPr>
    </w:p>
    <w:p w14:paraId="71E44EE9" w14:textId="77777777" w:rsidR="00E92882" w:rsidRDefault="00E92882" w:rsidP="00E92882">
      <w:pPr>
        <w:spacing w:line="360" w:lineRule="auto"/>
        <w:rPr>
          <w:rFonts w:ascii="Times New Roman" w:hAnsi="Times New Roman" w:cs="Times New Roman"/>
          <w:b/>
          <w:bCs/>
          <w:lang w:val="en-US"/>
        </w:rPr>
      </w:pPr>
      <w:r>
        <w:rPr>
          <w:rFonts w:ascii="Times New Roman" w:hAnsi="Times New Roman" w:cs="Times New Roman"/>
          <w:b/>
          <w:bCs/>
          <w:lang w:val="en-US"/>
        </w:rPr>
        <w:t>Results for Attentional Network Task (ANT)</w:t>
      </w:r>
    </w:p>
    <w:p w14:paraId="5EB43FCC" w14:textId="77777777" w:rsidR="00E92882" w:rsidRDefault="00E92882" w:rsidP="00E92882">
      <w:pPr>
        <w:spacing w:line="360" w:lineRule="auto"/>
        <w:rPr>
          <w:rFonts w:ascii="Times New Roman" w:hAnsi="Times New Roman" w:cs="Times New Roman"/>
          <w:lang w:val="en-US"/>
        </w:rPr>
      </w:pPr>
      <w:r>
        <w:rPr>
          <w:rFonts w:ascii="Times New Roman" w:hAnsi="Times New Roman" w:cs="Times New Roman"/>
          <w:lang w:val="en-US"/>
        </w:rPr>
        <w:t>Apart from the conflict index (described in the main manuscript), we also calculated an alerting index and an orienting index for the ANT task. We analyzed differences in the groups’ development in these indices via ANOVAs with the factors Time (T1 vs T2) and Group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L2, NoL2) (see Supplementary Figure 2). </w:t>
      </w:r>
    </w:p>
    <w:p w14:paraId="44005864" w14:textId="77777777" w:rsidR="00E92882" w:rsidRDefault="00E92882" w:rsidP="00E92882">
      <w:pPr>
        <w:spacing w:line="360" w:lineRule="auto"/>
        <w:rPr>
          <w:rFonts w:ascii="Times New Roman" w:hAnsi="Times New Roman" w:cs="Times New Roman"/>
        </w:rPr>
      </w:pPr>
      <w:r>
        <w:rPr>
          <w:rFonts w:ascii="Times New Roman" w:eastAsia="Times New Roman" w:hAnsi="Times New Roman" w:cs="Times New Roman"/>
          <w:b/>
          <w:bCs/>
          <w:lang w:eastAsia="en-GB"/>
        </w:rPr>
        <w:t>Conflict Index</w:t>
      </w:r>
      <w:r>
        <w:rPr>
          <w:rFonts w:ascii="Times New Roman" w:eastAsia="Times New Roman" w:hAnsi="Times New Roman" w:cs="Times New Roman"/>
          <w:i/>
          <w:iCs/>
          <w:lang w:eastAsia="en-GB"/>
        </w:rPr>
        <w:t>.</w:t>
      </w:r>
      <w:r>
        <w:rPr>
          <w:rFonts w:ascii="Times New Roman" w:eastAsia="Times New Roman" w:hAnsi="Times New Roman" w:cs="Times New Roman"/>
          <w:b/>
          <w:bCs/>
          <w:lang w:eastAsia="en-GB"/>
        </w:rPr>
        <w:t xml:space="preserve"> </w:t>
      </w:r>
      <w:r>
        <w:rPr>
          <w:rFonts w:ascii="Times New Roman" w:eastAsia="Times New Roman" w:hAnsi="Times New Roman" w:cs="Times New Roman"/>
          <w:lang w:eastAsia="en-GB"/>
        </w:rPr>
        <w:t xml:space="preserve">As described in the main manuscript, we </w:t>
      </w:r>
      <w:r>
        <w:rPr>
          <w:rFonts w:ascii="Times New Roman" w:hAnsi="Times New Roman" w:cs="Times New Roman"/>
        </w:rPr>
        <w:t xml:space="preserve">subtracted children’s performance in congruent trials from their performance in incongruent trials </w:t>
      </w:r>
      <w:r>
        <w:rPr>
          <w:rFonts w:ascii="Times New Roman" w:eastAsia="Times New Roman" w:hAnsi="Times New Roman" w:cs="Times New Roman"/>
          <w:lang w:eastAsia="en-GB"/>
        </w:rPr>
        <w:t xml:space="preserve">so that a low value corresponded to a higher conflict index for accuracy and a high value corresponded to higher conflict index for RTs. </w:t>
      </w:r>
      <w:r>
        <w:rPr>
          <w:rFonts w:ascii="Times New Roman" w:hAnsi="Times New Roman" w:cs="Times New Roman"/>
        </w:rPr>
        <w:t xml:space="preserve">We calculated an alerting index by adding standardised accuracy scores and standardised reversed RTs, </w:t>
      </w:r>
      <w:r>
        <w:rPr>
          <w:rFonts w:ascii="Times New Roman" w:hAnsi="Times New Roman" w:cs="Times New Roman"/>
          <w:lang w:val="en-US"/>
        </w:rPr>
        <w:t>so that higher values corresponded to better performance</w:t>
      </w:r>
      <w:r>
        <w:rPr>
          <w:rFonts w:ascii="Times New Roman" w:hAnsi="Times New Roman" w:cs="Times New Roman"/>
        </w:rPr>
        <w:t>. For the conflict index</w:t>
      </w:r>
      <w:r>
        <w:rPr>
          <w:rFonts w:ascii="Times New Roman" w:hAnsi="Times New Roman" w:cs="Times New Roman"/>
          <w:lang w:val="en-US"/>
        </w:rPr>
        <w:t xml:space="preserve"> </w:t>
      </w:r>
      <w:r>
        <w:rPr>
          <w:rFonts w:ascii="Times New Roman" w:hAnsi="Times New Roman" w:cs="Times New Roman"/>
          <w:lang w:val="en-US"/>
        </w:rPr>
        <w:lastRenderedPageBreak/>
        <w:t xml:space="preserve">we found </w:t>
      </w:r>
      <w:r>
        <w:rPr>
          <w:rFonts w:ascii="Times New Roman" w:hAnsi="Times New Roman" w:cs="Times New Roman"/>
        </w:rPr>
        <w:t xml:space="preserve">no effect of Time, </w:t>
      </w:r>
      <w:r>
        <w:rPr>
          <w:rFonts w:ascii="Times New Roman" w:hAnsi="Times New Roman" w:cs="Times New Roman"/>
          <w:i/>
          <w:iCs/>
          <w:lang w:val="en-US"/>
        </w:rPr>
        <w:t>F</w:t>
      </w:r>
      <w:r>
        <w:rPr>
          <w:rFonts w:ascii="Times New Roman" w:hAnsi="Times New Roman" w:cs="Times New Roman"/>
          <w:lang w:val="en-US"/>
        </w:rPr>
        <w:t xml:space="preserve">(1, 73) = 2.85, </w:t>
      </w:r>
      <w:r>
        <w:rPr>
          <w:rFonts w:ascii="Times New Roman" w:hAnsi="Times New Roman" w:cs="Times New Roman"/>
          <w:i/>
          <w:iCs/>
        </w:rPr>
        <w:t>p</w:t>
      </w:r>
      <w:r>
        <w:rPr>
          <w:rFonts w:ascii="Times New Roman" w:hAnsi="Times New Roman" w:cs="Times New Roman"/>
          <w:lang w:val="en-US"/>
        </w:rPr>
        <w:t xml:space="preserve"> = .096</w:t>
      </w:r>
      <w:r>
        <w:rPr>
          <w:rFonts w:ascii="Times New Roman" w:hAnsi="Times New Roman" w:cs="Times New Roman"/>
        </w:rPr>
        <w:t xml:space="preserve">, </w:t>
      </w:r>
      <w:r>
        <w:rPr>
          <w:rFonts w:ascii="Times New Roman" w:hAnsi="Times New Roman" w:cs="Times New Roman"/>
          <w:i/>
          <w:iCs/>
        </w:rPr>
        <w:t>ηp2</w:t>
      </w:r>
      <w:r>
        <w:rPr>
          <w:rFonts w:ascii="Times New Roman" w:hAnsi="Times New Roman" w:cs="Times New Roman"/>
        </w:rPr>
        <w:t xml:space="preserve"> = .038, or Group, </w:t>
      </w:r>
      <w:r>
        <w:rPr>
          <w:rFonts w:ascii="Times New Roman" w:hAnsi="Times New Roman" w:cs="Times New Roman"/>
          <w:i/>
          <w:iCs/>
          <w:lang w:val="en-US"/>
        </w:rPr>
        <w:t>F</w:t>
      </w:r>
      <w:r>
        <w:rPr>
          <w:rFonts w:ascii="Times New Roman" w:hAnsi="Times New Roman" w:cs="Times New Roman"/>
          <w:lang w:val="en-US"/>
        </w:rPr>
        <w:t xml:space="preserve">(2, 73) = 1.90, </w:t>
      </w:r>
      <w:r>
        <w:rPr>
          <w:rFonts w:ascii="Times New Roman" w:hAnsi="Times New Roman" w:cs="Times New Roman"/>
          <w:i/>
          <w:iCs/>
        </w:rPr>
        <w:t xml:space="preserve">p </w:t>
      </w:r>
      <w:r>
        <w:rPr>
          <w:rFonts w:ascii="Times New Roman" w:hAnsi="Times New Roman" w:cs="Times New Roman"/>
          <w:lang w:val="en-US"/>
        </w:rPr>
        <w:t>= .157</w:t>
      </w:r>
      <w:r>
        <w:rPr>
          <w:rFonts w:ascii="Times New Roman" w:hAnsi="Times New Roman" w:cs="Times New Roman"/>
        </w:rPr>
        <w:t xml:space="preserve">, </w:t>
      </w:r>
      <w:r>
        <w:rPr>
          <w:rFonts w:ascii="Times New Roman" w:hAnsi="Times New Roman" w:cs="Times New Roman"/>
          <w:i/>
          <w:iCs/>
        </w:rPr>
        <w:t>ηp2</w:t>
      </w:r>
      <w:r>
        <w:rPr>
          <w:rFonts w:ascii="Times New Roman" w:hAnsi="Times New Roman" w:cs="Times New Roman"/>
        </w:rPr>
        <w:t xml:space="preserve"> = .050, </w:t>
      </w:r>
      <w:r>
        <w:rPr>
          <w:rFonts w:ascii="Times New Roman" w:hAnsi="Times New Roman" w:cs="Times New Roman"/>
          <w:lang w:val="en-US"/>
        </w:rPr>
        <w:t xml:space="preserve">or a Time x Group interaction, </w:t>
      </w:r>
      <w:r>
        <w:rPr>
          <w:rFonts w:ascii="Times New Roman" w:hAnsi="Times New Roman" w:cs="Times New Roman"/>
          <w:i/>
          <w:iCs/>
          <w:lang w:val="en-US"/>
        </w:rPr>
        <w:t>F</w:t>
      </w:r>
      <w:r>
        <w:rPr>
          <w:rFonts w:ascii="Times New Roman" w:hAnsi="Times New Roman" w:cs="Times New Roman"/>
          <w:lang w:val="en-US"/>
        </w:rPr>
        <w:t xml:space="preserve">(2, 73) = 1.00, </w:t>
      </w:r>
      <w:r>
        <w:rPr>
          <w:rFonts w:ascii="Times New Roman" w:hAnsi="Times New Roman" w:cs="Times New Roman"/>
          <w:i/>
          <w:iCs/>
        </w:rPr>
        <w:t>p</w:t>
      </w:r>
      <w:r>
        <w:rPr>
          <w:rFonts w:ascii="Times New Roman" w:hAnsi="Times New Roman" w:cs="Times New Roman"/>
          <w:lang w:val="en-US"/>
        </w:rPr>
        <w:t xml:space="preserve"> = </w:t>
      </w:r>
      <w:r>
        <w:rPr>
          <w:rFonts w:ascii="Times New Roman" w:hAnsi="Times New Roman" w:cs="Times New Roman"/>
        </w:rPr>
        <w:t xml:space="preserve">.377, </w:t>
      </w:r>
      <w:r>
        <w:rPr>
          <w:rFonts w:ascii="Times New Roman" w:hAnsi="Times New Roman" w:cs="Times New Roman"/>
          <w:i/>
          <w:iCs/>
        </w:rPr>
        <w:t>ηp2</w:t>
      </w:r>
      <w:r>
        <w:rPr>
          <w:rFonts w:ascii="Times New Roman" w:hAnsi="Times New Roman" w:cs="Times New Roman"/>
        </w:rPr>
        <w:t xml:space="preserve"> = .026.</w:t>
      </w:r>
    </w:p>
    <w:p w14:paraId="5C4BC1A7" w14:textId="77777777" w:rsidR="00E92882" w:rsidRDefault="00E92882" w:rsidP="00E92882">
      <w:pPr>
        <w:spacing w:line="360" w:lineRule="auto"/>
        <w:rPr>
          <w:rFonts w:ascii="Times New Roman" w:hAnsi="Times New Roman" w:cs="Times New Roman"/>
          <w:lang w:val="en-US"/>
        </w:rPr>
      </w:pPr>
      <w:r>
        <w:rPr>
          <w:rFonts w:ascii="Times New Roman" w:eastAsia="Times New Roman" w:hAnsi="Times New Roman" w:cs="Times New Roman"/>
          <w:b/>
          <w:bCs/>
          <w:lang w:eastAsia="en-GB"/>
        </w:rPr>
        <w:t xml:space="preserve">Alerting. </w:t>
      </w:r>
      <w:r>
        <w:rPr>
          <w:rFonts w:ascii="Times New Roman" w:eastAsia="Times New Roman" w:hAnsi="Times New Roman" w:cs="Times New Roman"/>
          <w:lang w:eastAsia="en-GB"/>
        </w:rPr>
        <w:t xml:space="preserve">We subtracted the mean of the Double Cue condition of the ANT from the mean of the No Cue condition so that a low value corresponded to a higher alertness for accuracy and a high value corresponded to higher alertness for RTs. </w:t>
      </w:r>
      <w:r>
        <w:rPr>
          <w:rFonts w:ascii="Times New Roman" w:hAnsi="Times New Roman" w:cs="Times New Roman"/>
        </w:rPr>
        <w:t xml:space="preserve">We calculated an alerting index by adding standardised reversed accuracy scores and standardised RTs, </w:t>
      </w:r>
      <w:r>
        <w:rPr>
          <w:rFonts w:ascii="Times New Roman" w:hAnsi="Times New Roman" w:cs="Times New Roman"/>
          <w:lang w:val="en-US"/>
        </w:rPr>
        <w:t>so that higher values corresponded to better performance</w:t>
      </w:r>
      <w:r>
        <w:rPr>
          <w:rFonts w:ascii="Times New Roman" w:hAnsi="Times New Roman" w:cs="Times New Roman"/>
        </w:rPr>
        <w:t>. For the alerting index,</w:t>
      </w:r>
      <w:r>
        <w:rPr>
          <w:rFonts w:ascii="Times New Roman" w:hAnsi="Times New Roman" w:cs="Times New Roman"/>
          <w:lang w:val="en-US"/>
        </w:rPr>
        <w:t xml:space="preserve"> we found </w:t>
      </w:r>
      <w:r>
        <w:rPr>
          <w:rFonts w:ascii="Times New Roman" w:hAnsi="Times New Roman" w:cs="Times New Roman"/>
        </w:rPr>
        <w:t xml:space="preserve">no effect of Time, </w:t>
      </w:r>
      <w:r>
        <w:rPr>
          <w:rFonts w:ascii="Times New Roman" w:hAnsi="Times New Roman" w:cs="Times New Roman"/>
          <w:i/>
          <w:iCs/>
          <w:lang w:val="en-US"/>
        </w:rPr>
        <w:t>F</w:t>
      </w:r>
      <w:r>
        <w:rPr>
          <w:rFonts w:ascii="Times New Roman" w:hAnsi="Times New Roman" w:cs="Times New Roman"/>
          <w:lang w:val="en-US"/>
        </w:rPr>
        <w:t xml:space="preserve">(1, 73) = .09, </w:t>
      </w:r>
      <w:r>
        <w:rPr>
          <w:rFonts w:ascii="Times New Roman" w:hAnsi="Times New Roman" w:cs="Times New Roman"/>
          <w:i/>
          <w:iCs/>
        </w:rPr>
        <w:t>p</w:t>
      </w:r>
      <w:r>
        <w:rPr>
          <w:rFonts w:ascii="Times New Roman" w:hAnsi="Times New Roman" w:cs="Times New Roman"/>
          <w:lang w:val="en-US"/>
        </w:rPr>
        <w:t xml:space="preserve"> = .762</w:t>
      </w:r>
      <w:r>
        <w:rPr>
          <w:rFonts w:ascii="Times New Roman" w:hAnsi="Times New Roman" w:cs="Times New Roman"/>
        </w:rPr>
        <w:t xml:space="preserve">, </w:t>
      </w:r>
      <w:r>
        <w:rPr>
          <w:rFonts w:ascii="Times New Roman" w:hAnsi="Times New Roman" w:cs="Times New Roman"/>
          <w:i/>
          <w:iCs/>
        </w:rPr>
        <w:t>ηp2</w:t>
      </w:r>
      <w:r>
        <w:rPr>
          <w:rFonts w:ascii="Times New Roman" w:hAnsi="Times New Roman" w:cs="Times New Roman"/>
        </w:rPr>
        <w:t xml:space="preserve"> = .001, </w:t>
      </w:r>
      <w:r>
        <w:rPr>
          <w:rFonts w:ascii="Times New Roman" w:hAnsi="Times New Roman" w:cs="Times New Roman"/>
          <w:lang w:val="en-US"/>
        </w:rPr>
        <w:t xml:space="preserve">or a Time x Group interaction, </w:t>
      </w:r>
      <w:r>
        <w:rPr>
          <w:rFonts w:ascii="Times New Roman" w:hAnsi="Times New Roman" w:cs="Times New Roman"/>
          <w:i/>
          <w:iCs/>
          <w:lang w:val="en-US"/>
        </w:rPr>
        <w:t>F</w:t>
      </w:r>
      <w:r>
        <w:rPr>
          <w:rFonts w:ascii="Times New Roman" w:hAnsi="Times New Roman" w:cs="Times New Roman"/>
          <w:lang w:val="en-US"/>
        </w:rPr>
        <w:t xml:space="preserve">(2, 73) = 1.39, </w:t>
      </w:r>
      <w:r>
        <w:rPr>
          <w:rFonts w:ascii="Times New Roman" w:hAnsi="Times New Roman" w:cs="Times New Roman"/>
          <w:i/>
          <w:iCs/>
        </w:rPr>
        <w:t>p</w:t>
      </w:r>
      <w:r>
        <w:rPr>
          <w:rFonts w:ascii="Times New Roman" w:hAnsi="Times New Roman" w:cs="Times New Roman"/>
          <w:lang w:val="en-US"/>
        </w:rPr>
        <w:t xml:space="preserve"> = .256, </w:t>
      </w:r>
      <w:r>
        <w:rPr>
          <w:rFonts w:ascii="Times New Roman" w:hAnsi="Times New Roman" w:cs="Times New Roman"/>
          <w:i/>
          <w:iCs/>
        </w:rPr>
        <w:t>ηp2</w:t>
      </w:r>
      <w:r>
        <w:rPr>
          <w:rFonts w:ascii="Times New Roman" w:hAnsi="Times New Roman" w:cs="Times New Roman"/>
        </w:rPr>
        <w:t xml:space="preserve"> = .</w:t>
      </w:r>
      <w:r>
        <w:rPr>
          <w:rFonts w:ascii="Times New Roman" w:hAnsi="Times New Roman" w:cs="Times New Roman"/>
          <w:lang w:val="en-US"/>
        </w:rPr>
        <w:t xml:space="preserve">037, </w:t>
      </w:r>
      <w:r>
        <w:rPr>
          <w:rFonts w:ascii="Times New Roman" w:hAnsi="Times New Roman" w:cs="Times New Roman"/>
        </w:rPr>
        <w:t xml:space="preserve">but a significant main effect of Group, </w:t>
      </w:r>
      <w:r>
        <w:rPr>
          <w:rFonts w:ascii="Times New Roman" w:hAnsi="Times New Roman" w:cs="Times New Roman"/>
          <w:i/>
          <w:iCs/>
          <w:lang w:val="en-US"/>
        </w:rPr>
        <w:t>F</w:t>
      </w:r>
      <w:r>
        <w:rPr>
          <w:rFonts w:ascii="Times New Roman" w:hAnsi="Times New Roman" w:cs="Times New Roman"/>
          <w:lang w:val="en-US"/>
        </w:rPr>
        <w:t xml:space="preserve">(2, 73) = 3.77, </w:t>
      </w:r>
      <w:r>
        <w:rPr>
          <w:rFonts w:ascii="Times New Roman" w:hAnsi="Times New Roman" w:cs="Times New Roman"/>
          <w:i/>
          <w:iCs/>
        </w:rPr>
        <w:t xml:space="preserve">p </w:t>
      </w:r>
      <w:r>
        <w:rPr>
          <w:rFonts w:ascii="Times New Roman" w:hAnsi="Times New Roman" w:cs="Times New Roman"/>
          <w:lang w:val="en-US"/>
        </w:rPr>
        <w:t>= .028</w:t>
      </w:r>
      <w:r>
        <w:rPr>
          <w:rFonts w:ascii="Times New Roman" w:hAnsi="Times New Roman" w:cs="Times New Roman"/>
        </w:rPr>
        <w:t xml:space="preserve">, </w:t>
      </w:r>
      <w:r>
        <w:rPr>
          <w:rFonts w:ascii="Times New Roman" w:hAnsi="Times New Roman" w:cs="Times New Roman"/>
          <w:i/>
          <w:iCs/>
        </w:rPr>
        <w:t>ηp2</w:t>
      </w:r>
      <w:r>
        <w:rPr>
          <w:rFonts w:ascii="Times New Roman" w:hAnsi="Times New Roman" w:cs="Times New Roman"/>
        </w:rPr>
        <w:t xml:space="preserve"> = .094. Bonferroni </w:t>
      </w:r>
      <w:proofErr w:type="spellStart"/>
      <w:r>
        <w:rPr>
          <w:rFonts w:ascii="Times New Roman" w:hAnsi="Times New Roman" w:cs="Times New Roman"/>
        </w:rPr>
        <w:t>posthoc</w:t>
      </w:r>
      <w:proofErr w:type="spellEnd"/>
      <w:r>
        <w:rPr>
          <w:rFonts w:ascii="Times New Roman" w:hAnsi="Times New Roman" w:cs="Times New Roman"/>
        </w:rPr>
        <w:t xml:space="preserve"> tests showed that L2 learners had a higher alerting index than </w:t>
      </w:r>
      <w:proofErr w:type="spellStart"/>
      <w:r>
        <w:rPr>
          <w:rFonts w:ascii="Times New Roman" w:hAnsi="Times New Roman" w:cs="Times New Roman"/>
        </w:rPr>
        <w:t>BilS</w:t>
      </w:r>
      <w:proofErr w:type="spellEnd"/>
      <w:r>
        <w:rPr>
          <w:rFonts w:ascii="Times New Roman" w:hAnsi="Times New Roman" w:cs="Times New Roman"/>
        </w:rPr>
        <w:t xml:space="preserve"> children (</w:t>
      </w:r>
      <w:r>
        <w:rPr>
          <w:rFonts w:ascii="Times New Roman" w:hAnsi="Times New Roman" w:cs="Times New Roman"/>
          <w:i/>
          <w:iCs/>
        </w:rPr>
        <w:t xml:space="preserve">p </w:t>
      </w:r>
      <w:r>
        <w:rPr>
          <w:rFonts w:ascii="Times New Roman" w:hAnsi="Times New Roman" w:cs="Times New Roman"/>
          <w:lang w:val="en-US"/>
        </w:rPr>
        <w:t>= .030), but not than NoL2 children (</w:t>
      </w:r>
      <w:r>
        <w:rPr>
          <w:rFonts w:ascii="Times New Roman" w:hAnsi="Times New Roman" w:cs="Times New Roman"/>
          <w:i/>
          <w:iCs/>
        </w:rPr>
        <w:t xml:space="preserve">p </w:t>
      </w:r>
      <w:r>
        <w:rPr>
          <w:rFonts w:ascii="Times New Roman" w:hAnsi="Times New Roman" w:cs="Times New Roman"/>
          <w:lang w:val="en-US"/>
        </w:rPr>
        <w:t xml:space="preserve">= 1.00).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children did not differ from NoL2 children (</w:t>
      </w:r>
      <w:r>
        <w:rPr>
          <w:rFonts w:ascii="Times New Roman" w:hAnsi="Times New Roman" w:cs="Times New Roman"/>
          <w:i/>
          <w:iCs/>
        </w:rPr>
        <w:t xml:space="preserve">p </w:t>
      </w:r>
      <w:r>
        <w:rPr>
          <w:rFonts w:ascii="Times New Roman" w:hAnsi="Times New Roman" w:cs="Times New Roman"/>
          <w:lang w:val="en-US"/>
        </w:rPr>
        <w:t>= .175).</w:t>
      </w:r>
    </w:p>
    <w:p w14:paraId="61510EE3" w14:textId="77777777" w:rsidR="00E92882" w:rsidRDefault="00E92882" w:rsidP="00E92882">
      <w:pPr>
        <w:spacing w:line="360" w:lineRule="auto"/>
        <w:ind w:firstLine="720"/>
        <w:rPr>
          <w:rFonts w:ascii="Times New Roman" w:hAnsi="Times New Roman" w:cs="Times New Roman"/>
        </w:rPr>
      </w:pPr>
      <w:r>
        <w:rPr>
          <w:rFonts w:ascii="Times New Roman" w:hAnsi="Times New Roman" w:cs="Times New Roman"/>
          <w:lang w:val="en-US"/>
        </w:rPr>
        <w:t xml:space="preserve">We found no significant relationship between performance improvement in the director task and in the alerting index, Pearson </w:t>
      </w:r>
      <w:r>
        <w:rPr>
          <w:rFonts w:ascii="Times New Roman" w:hAnsi="Times New Roman" w:cs="Times New Roman"/>
          <w:i/>
          <w:iCs/>
          <w:lang w:val="en-US"/>
        </w:rPr>
        <w:t>r</w:t>
      </w:r>
      <w:r>
        <w:rPr>
          <w:rFonts w:ascii="Times New Roman" w:hAnsi="Times New Roman" w:cs="Times New Roman"/>
          <w:lang w:val="en-US"/>
        </w:rPr>
        <w:t xml:space="preserve">(76) = -.17, </w:t>
      </w:r>
      <w:r>
        <w:rPr>
          <w:rFonts w:ascii="Times New Roman" w:hAnsi="Times New Roman" w:cs="Times New Roman"/>
          <w:i/>
          <w:iCs/>
          <w:lang w:val="en-US"/>
        </w:rPr>
        <w:t>p</w:t>
      </w:r>
      <w:r>
        <w:rPr>
          <w:rFonts w:ascii="Times New Roman" w:hAnsi="Times New Roman" w:cs="Times New Roman"/>
          <w:lang w:val="en-US"/>
        </w:rPr>
        <w:t xml:space="preserve"> = .149. Separate analyses for the three participant groups confirmed this finding,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Pearson </w:t>
      </w:r>
      <w:r>
        <w:rPr>
          <w:rFonts w:ascii="Times New Roman" w:hAnsi="Times New Roman" w:cs="Times New Roman"/>
          <w:i/>
          <w:iCs/>
          <w:lang w:val="en-US"/>
        </w:rPr>
        <w:t>r</w:t>
      </w:r>
      <w:r>
        <w:rPr>
          <w:rFonts w:ascii="Times New Roman" w:hAnsi="Times New Roman" w:cs="Times New Roman"/>
          <w:lang w:val="en-US"/>
        </w:rPr>
        <w:t xml:space="preserve">(26) = -.16, </w:t>
      </w:r>
      <w:r>
        <w:rPr>
          <w:rFonts w:ascii="Times New Roman" w:hAnsi="Times New Roman" w:cs="Times New Roman"/>
          <w:i/>
          <w:iCs/>
          <w:lang w:val="en-US"/>
        </w:rPr>
        <w:t>p</w:t>
      </w:r>
      <w:r>
        <w:rPr>
          <w:rFonts w:ascii="Times New Roman" w:hAnsi="Times New Roman" w:cs="Times New Roman"/>
          <w:lang w:val="en-US"/>
        </w:rPr>
        <w:t xml:space="preserve"> = .443, L2: Pearson </w:t>
      </w:r>
      <w:r>
        <w:rPr>
          <w:rFonts w:ascii="Times New Roman" w:hAnsi="Times New Roman" w:cs="Times New Roman"/>
          <w:i/>
          <w:iCs/>
          <w:lang w:val="en-US"/>
        </w:rPr>
        <w:t>r</w:t>
      </w:r>
      <w:r>
        <w:rPr>
          <w:rFonts w:ascii="Times New Roman" w:hAnsi="Times New Roman" w:cs="Times New Roman"/>
          <w:lang w:val="en-US"/>
        </w:rPr>
        <w:t xml:space="preserve">(24) = -.25, </w:t>
      </w:r>
      <w:r>
        <w:rPr>
          <w:rFonts w:ascii="Times New Roman" w:hAnsi="Times New Roman" w:cs="Times New Roman"/>
          <w:i/>
          <w:iCs/>
          <w:lang w:val="en-US"/>
        </w:rPr>
        <w:t>p</w:t>
      </w:r>
      <w:r>
        <w:rPr>
          <w:rFonts w:ascii="Times New Roman" w:hAnsi="Times New Roman" w:cs="Times New Roman"/>
          <w:lang w:val="en-US"/>
        </w:rPr>
        <w:t xml:space="preserve"> = .246, NoL2: Pearson </w:t>
      </w:r>
      <w:r>
        <w:rPr>
          <w:rFonts w:ascii="Times New Roman" w:hAnsi="Times New Roman" w:cs="Times New Roman"/>
          <w:i/>
          <w:iCs/>
          <w:lang w:val="en-US"/>
        </w:rPr>
        <w:t>r</w:t>
      </w:r>
      <w:r>
        <w:rPr>
          <w:rFonts w:ascii="Times New Roman" w:hAnsi="Times New Roman" w:cs="Times New Roman"/>
          <w:lang w:val="en-US"/>
        </w:rPr>
        <w:t xml:space="preserve">(26) = -.12, </w:t>
      </w:r>
      <w:r>
        <w:rPr>
          <w:rFonts w:ascii="Times New Roman" w:hAnsi="Times New Roman" w:cs="Times New Roman"/>
          <w:i/>
          <w:iCs/>
          <w:lang w:val="en-US"/>
        </w:rPr>
        <w:t>p</w:t>
      </w:r>
      <w:r>
        <w:rPr>
          <w:rFonts w:ascii="Times New Roman" w:hAnsi="Times New Roman" w:cs="Times New Roman"/>
          <w:lang w:val="en-US"/>
        </w:rPr>
        <w:t xml:space="preserve"> = .553. Thus, alerting development cannot explain development of the performance in the director task.</w:t>
      </w:r>
    </w:p>
    <w:p w14:paraId="7DB517E4" w14:textId="77777777" w:rsidR="00E92882" w:rsidRDefault="00E92882" w:rsidP="00E92882">
      <w:pPr>
        <w:spacing w:line="360" w:lineRule="auto"/>
        <w:rPr>
          <w:rFonts w:ascii="Times New Roman" w:hAnsi="Times New Roman" w:cs="Times New Roman"/>
        </w:rPr>
      </w:pPr>
      <w:r>
        <w:rPr>
          <w:rFonts w:ascii="Times New Roman" w:eastAsia="Times New Roman" w:hAnsi="Times New Roman" w:cs="Times New Roman"/>
          <w:b/>
          <w:bCs/>
          <w:lang w:eastAsia="en-GB"/>
        </w:rPr>
        <w:t xml:space="preserve">Orienting. </w:t>
      </w:r>
      <w:r>
        <w:rPr>
          <w:rFonts w:ascii="Times New Roman" w:eastAsia="Times New Roman" w:hAnsi="Times New Roman" w:cs="Times New Roman"/>
          <w:lang w:eastAsia="en-GB"/>
        </w:rPr>
        <w:t xml:space="preserve">We subtracted the mean of the Spatial Cue condition from the mean of the Central Cue condition so that a low value corresponded to a better orienting for accuracy and a high value corresponded with better orienting for RTs. We calculated an orienting index by </w:t>
      </w:r>
      <w:r>
        <w:rPr>
          <w:rFonts w:ascii="Times New Roman" w:hAnsi="Times New Roman" w:cs="Times New Roman"/>
        </w:rPr>
        <w:t xml:space="preserve">adding standardised reversed accuracy scores and standardised RTs, </w:t>
      </w:r>
      <w:r>
        <w:rPr>
          <w:rFonts w:ascii="Times New Roman" w:hAnsi="Times New Roman" w:cs="Times New Roman"/>
          <w:lang w:val="en-US"/>
        </w:rPr>
        <w:t>so that higher values corresponded to better performance</w:t>
      </w:r>
      <w:r>
        <w:rPr>
          <w:rFonts w:ascii="Times New Roman" w:hAnsi="Times New Roman" w:cs="Times New Roman"/>
        </w:rPr>
        <w:t>. We</w:t>
      </w:r>
      <w:r>
        <w:rPr>
          <w:rFonts w:ascii="Times New Roman" w:hAnsi="Times New Roman" w:cs="Times New Roman"/>
          <w:lang w:val="en-US"/>
        </w:rPr>
        <w:t xml:space="preserve"> found </w:t>
      </w:r>
      <w:r>
        <w:rPr>
          <w:rFonts w:ascii="Times New Roman" w:hAnsi="Times New Roman" w:cs="Times New Roman"/>
        </w:rPr>
        <w:t xml:space="preserve">no effect of Time, </w:t>
      </w:r>
      <w:r>
        <w:rPr>
          <w:rFonts w:ascii="Times New Roman" w:hAnsi="Times New Roman" w:cs="Times New Roman"/>
          <w:i/>
          <w:iCs/>
          <w:lang w:val="en-US"/>
        </w:rPr>
        <w:t>F</w:t>
      </w:r>
      <w:r>
        <w:rPr>
          <w:rFonts w:ascii="Times New Roman" w:hAnsi="Times New Roman" w:cs="Times New Roman"/>
          <w:lang w:val="en-US"/>
        </w:rPr>
        <w:t xml:space="preserve">(1, 73) = 1.65, </w:t>
      </w:r>
      <w:r>
        <w:rPr>
          <w:rFonts w:ascii="Times New Roman" w:hAnsi="Times New Roman" w:cs="Times New Roman"/>
          <w:i/>
          <w:iCs/>
        </w:rPr>
        <w:t>p</w:t>
      </w:r>
      <w:r>
        <w:rPr>
          <w:rFonts w:ascii="Times New Roman" w:hAnsi="Times New Roman" w:cs="Times New Roman"/>
          <w:lang w:val="en-US"/>
        </w:rPr>
        <w:t xml:space="preserve"> = .204</w:t>
      </w:r>
      <w:r>
        <w:rPr>
          <w:rFonts w:ascii="Times New Roman" w:hAnsi="Times New Roman" w:cs="Times New Roman"/>
        </w:rPr>
        <w:t xml:space="preserve">, </w:t>
      </w:r>
      <w:r>
        <w:rPr>
          <w:rFonts w:ascii="Times New Roman" w:hAnsi="Times New Roman" w:cs="Times New Roman"/>
          <w:i/>
          <w:iCs/>
        </w:rPr>
        <w:t>ηp2</w:t>
      </w:r>
      <w:r>
        <w:rPr>
          <w:rFonts w:ascii="Times New Roman" w:hAnsi="Times New Roman" w:cs="Times New Roman"/>
        </w:rPr>
        <w:t xml:space="preserve"> = .022, </w:t>
      </w:r>
      <w:r>
        <w:rPr>
          <w:rFonts w:ascii="Times New Roman" w:hAnsi="Times New Roman" w:cs="Times New Roman"/>
          <w:lang w:val="en-US"/>
        </w:rPr>
        <w:t xml:space="preserve">or </w:t>
      </w:r>
      <w:r>
        <w:rPr>
          <w:rFonts w:ascii="Times New Roman" w:hAnsi="Times New Roman" w:cs="Times New Roman"/>
        </w:rPr>
        <w:t xml:space="preserve">of Group, </w:t>
      </w:r>
      <w:r>
        <w:rPr>
          <w:rFonts w:ascii="Times New Roman" w:hAnsi="Times New Roman" w:cs="Times New Roman"/>
          <w:i/>
          <w:iCs/>
          <w:lang w:val="en-US"/>
        </w:rPr>
        <w:t>F</w:t>
      </w:r>
      <w:r>
        <w:rPr>
          <w:rFonts w:ascii="Times New Roman" w:hAnsi="Times New Roman" w:cs="Times New Roman"/>
          <w:lang w:val="en-US"/>
        </w:rPr>
        <w:t xml:space="preserve">(2, 73) = .185, </w:t>
      </w:r>
      <w:r>
        <w:rPr>
          <w:rFonts w:ascii="Times New Roman" w:hAnsi="Times New Roman" w:cs="Times New Roman"/>
          <w:i/>
          <w:iCs/>
        </w:rPr>
        <w:t xml:space="preserve">p </w:t>
      </w:r>
      <w:r>
        <w:rPr>
          <w:rFonts w:ascii="Times New Roman" w:hAnsi="Times New Roman" w:cs="Times New Roman"/>
          <w:lang w:val="en-US"/>
        </w:rPr>
        <w:t>= .832</w:t>
      </w:r>
      <w:r>
        <w:rPr>
          <w:rFonts w:ascii="Times New Roman" w:hAnsi="Times New Roman" w:cs="Times New Roman"/>
        </w:rPr>
        <w:t xml:space="preserve">, </w:t>
      </w:r>
      <w:r>
        <w:rPr>
          <w:rFonts w:ascii="Times New Roman" w:hAnsi="Times New Roman" w:cs="Times New Roman"/>
          <w:i/>
          <w:iCs/>
        </w:rPr>
        <w:t>ηp2</w:t>
      </w:r>
      <w:r>
        <w:rPr>
          <w:rFonts w:ascii="Times New Roman" w:hAnsi="Times New Roman" w:cs="Times New Roman"/>
        </w:rPr>
        <w:t xml:space="preserve"> = .005, but a significant</w:t>
      </w:r>
      <w:r>
        <w:rPr>
          <w:rFonts w:ascii="Times New Roman" w:hAnsi="Times New Roman" w:cs="Times New Roman"/>
          <w:b/>
          <w:bCs/>
          <w:lang w:val="en-US"/>
        </w:rPr>
        <w:t xml:space="preserve"> </w:t>
      </w:r>
      <w:r>
        <w:rPr>
          <w:rFonts w:ascii="Times New Roman" w:hAnsi="Times New Roman" w:cs="Times New Roman"/>
          <w:lang w:val="en-US"/>
        </w:rPr>
        <w:t xml:space="preserve">Time x Group interaction, </w:t>
      </w:r>
      <w:r>
        <w:rPr>
          <w:rFonts w:ascii="Times New Roman" w:hAnsi="Times New Roman" w:cs="Times New Roman"/>
          <w:i/>
          <w:iCs/>
          <w:lang w:val="en-US"/>
        </w:rPr>
        <w:t>F</w:t>
      </w:r>
      <w:r>
        <w:rPr>
          <w:rFonts w:ascii="Times New Roman" w:hAnsi="Times New Roman" w:cs="Times New Roman"/>
          <w:lang w:val="en-US"/>
        </w:rPr>
        <w:t xml:space="preserve">(2, 73) = 3.59, </w:t>
      </w:r>
      <w:r>
        <w:rPr>
          <w:rFonts w:ascii="Times New Roman" w:hAnsi="Times New Roman" w:cs="Times New Roman"/>
          <w:i/>
          <w:iCs/>
        </w:rPr>
        <w:t>p</w:t>
      </w:r>
      <w:r>
        <w:rPr>
          <w:rFonts w:ascii="Times New Roman" w:hAnsi="Times New Roman" w:cs="Times New Roman"/>
          <w:lang w:val="en-US"/>
        </w:rPr>
        <w:t xml:space="preserve"> = </w:t>
      </w:r>
      <w:r>
        <w:rPr>
          <w:rFonts w:ascii="Times New Roman" w:hAnsi="Times New Roman" w:cs="Times New Roman"/>
        </w:rPr>
        <w:t>.</w:t>
      </w:r>
      <w:r>
        <w:rPr>
          <w:rFonts w:ascii="Times New Roman" w:hAnsi="Times New Roman" w:cs="Times New Roman"/>
          <w:lang w:val="en-US"/>
        </w:rPr>
        <w:t xml:space="preserve">033, </w:t>
      </w:r>
      <w:r>
        <w:rPr>
          <w:rFonts w:ascii="Times New Roman" w:hAnsi="Times New Roman" w:cs="Times New Roman"/>
          <w:i/>
          <w:iCs/>
        </w:rPr>
        <w:t>ηp2</w:t>
      </w:r>
      <w:r>
        <w:rPr>
          <w:rFonts w:ascii="Times New Roman" w:hAnsi="Times New Roman" w:cs="Times New Roman"/>
        </w:rPr>
        <w:t xml:space="preserve"> = .090. However, groups did not differ at T1, </w:t>
      </w:r>
      <w:r>
        <w:rPr>
          <w:rFonts w:ascii="Times New Roman" w:hAnsi="Times New Roman" w:cs="Times New Roman"/>
          <w:i/>
          <w:iCs/>
        </w:rPr>
        <w:t>F</w:t>
      </w:r>
      <w:r>
        <w:rPr>
          <w:rFonts w:ascii="Times New Roman" w:hAnsi="Times New Roman" w:cs="Times New Roman"/>
        </w:rPr>
        <w:t xml:space="preserve">(2, 75) = 2.23, </w:t>
      </w:r>
      <w:r>
        <w:rPr>
          <w:rFonts w:ascii="Times New Roman" w:hAnsi="Times New Roman" w:cs="Times New Roman"/>
          <w:i/>
          <w:iCs/>
        </w:rPr>
        <w:t>p</w:t>
      </w:r>
      <w:r>
        <w:rPr>
          <w:rFonts w:ascii="Times New Roman" w:hAnsi="Times New Roman" w:cs="Times New Roman"/>
        </w:rPr>
        <w:t xml:space="preserve"> = .115, or at T2, Welch </w:t>
      </w:r>
      <w:r>
        <w:rPr>
          <w:rFonts w:ascii="Times New Roman" w:hAnsi="Times New Roman" w:cs="Times New Roman"/>
          <w:i/>
          <w:iCs/>
        </w:rPr>
        <w:t>F</w:t>
      </w:r>
      <w:r>
        <w:rPr>
          <w:rFonts w:ascii="Times New Roman" w:hAnsi="Times New Roman" w:cs="Times New Roman"/>
        </w:rPr>
        <w:t xml:space="preserve">(2, 47.3) = 1.12, </w:t>
      </w:r>
      <w:r>
        <w:rPr>
          <w:rFonts w:ascii="Times New Roman" w:hAnsi="Times New Roman" w:cs="Times New Roman"/>
          <w:i/>
          <w:iCs/>
        </w:rPr>
        <w:t>p</w:t>
      </w:r>
      <w:r>
        <w:rPr>
          <w:rFonts w:ascii="Times New Roman" w:hAnsi="Times New Roman" w:cs="Times New Roman"/>
        </w:rPr>
        <w:t xml:space="preserve"> = .334.  </w:t>
      </w:r>
    </w:p>
    <w:p w14:paraId="27628894" w14:textId="77777777" w:rsidR="00E92882" w:rsidRDefault="00E92882" w:rsidP="00E92882">
      <w:pPr>
        <w:spacing w:line="360" w:lineRule="auto"/>
        <w:ind w:firstLine="720"/>
        <w:rPr>
          <w:rFonts w:ascii="Times New Roman" w:hAnsi="Times New Roman" w:cs="Times New Roman"/>
        </w:rPr>
      </w:pPr>
      <w:r>
        <w:rPr>
          <w:rFonts w:ascii="Times New Roman" w:hAnsi="Times New Roman" w:cs="Times New Roman"/>
          <w:lang w:val="en-US"/>
        </w:rPr>
        <w:t xml:space="preserve">We found no significant relationship between performance improvement in the director task and in the orienting index, Pearson </w:t>
      </w:r>
      <w:r>
        <w:rPr>
          <w:rFonts w:ascii="Times New Roman" w:hAnsi="Times New Roman" w:cs="Times New Roman"/>
          <w:i/>
          <w:iCs/>
          <w:lang w:val="en-US"/>
        </w:rPr>
        <w:t>r</w:t>
      </w:r>
      <w:r>
        <w:rPr>
          <w:rFonts w:ascii="Times New Roman" w:hAnsi="Times New Roman" w:cs="Times New Roman"/>
          <w:lang w:val="en-US"/>
        </w:rPr>
        <w:t xml:space="preserve">(76) = -.19, </w:t>
      </w:r>
      <w:r>
        <w:rPr>
          <w:rFonts w:ascii="Times New Roman" w:hAnsi="Times New Roman" w:cs="Times New Roman"/>
          <w:i/>
          <w:iCs/>
          <w:lang w:val="en-US"/>
        </w:rPr>
        <w:t>p</w:t>
      </w:r>
      <w:r>
        <w:rPr>
          <w:rFonts w:ascii="Times New Roman" w:hAnsi="Times New Roman" w:cs="Times New Roman"/>
          <w:lang w:val="en-US"/>
        </w:rPr>
        <w:t xml:space="preserve"> = .107. Separate analyses for the three participant groups confirmed this finding,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Pearson </w:t>
      </w:r>
      <w:r>
        <w:rPr>
          <w:rFonts w:ascii="Times New Roman" w:hAnsi="Times New Roman" w:cs="Times New Roman"/>
          <w:i/>
          <w:iCs/>
          <w:lang w:val="en-US"/>
        </w:rPr>
        <w:t>r</w:t>
      </w:r>
      <w:r>
        <w:rPr>
          <w:rFonts w:ascii="Times New Roman" w:hAnsi="Times New Roman" w:cs="Times New Roman"/>
          <w:lang w:val="en-US"/>
        </w:rPr>
        <w:t xml:space="preserve">(26) = -.04, </w:t>
      </w:r>
      <w:r>
        <w:rPr>
          <w:rFonts w:ascii="Times New Roman" w:hAnsi="Times New Roman" w:cs="Times New Roman"/>
          <w:i/>
          <w:iCs/>
          <w:lang w:val="en-US"/>
        </w:rPr>
        <w:t>p</w:t>
      </w:r>
      <w:r>
        <w:rPr>
          <w:rFonts w:ascii="Times New Roman" w:hAnsi="Times New Roman" w:cs="Times New Roman"/>
          <w:lang w:val="en-US"/>
        </w:rPr>
        <w:t xml:space="preserve"> = .839, L2: Pearson </w:t>
      </w:r>
      <w:r>
        <w:rPr>
          <w:rFonts w:ascii="Times New Roman" w:hAnsi="Times New Roman" w:cs="Times New Roman"/>
          <w:i/>
          <w:iCs/>
          <w:lang w:val="en-US"/>
        </w:rPr>
        <w:t>r</w:t>
      </w:r>
      <w:r>
        <w:rPr>
          <w:rFonts w:ascii="Times New Roman" w:hAnsi="Times New Roman" w:cs="Times New Roman"/>
          <w:lang w:val="en-US"/>
        </w:rPr>
        <w:t xml:space="preserve">(24) = .10, </w:t>
      </w:r>
      <w:r>
        <w:rPr>
          <w:rFonts w:ascii="Times New Roman" w:hAnsi="Times New Roman" w:cs="Times New Roman"/>
          <w:i/>
          <w:iCs/>
          <w:lang w:val="en-US"/>
        </w:rPr>
        <w:t>p</w:t>
      </w:r>
      <w:r>
        <w:rPr>
          <w:rFonts w:ascii="Times New Roman" w:hAnsi="Times New Roman" w:cs="Times New Roman"/>
          <w:lang w:val="en-US"/>
        </w:rPr>
        <w:t xml:space="preserve"> = .650, NoL2: Pearson </w:t>
      </w:r>
      <w:r>
        <w:rPr>
          <w:rFonts w:ascii="Times New Roman" w:hAnsi="Times New Roman" w:cs="Times New Roman"/>
          <w:i/>
          <w:iCs/>
          <w:lang w:val="en-US"/>
        </w:rPr>
        <w:t>r</w:t>
      </w:r>
      <w:r>
        <w:rPr>
          <w:rFonts w:ascii="Times New Roman" w:hAnsi="Times New Roman" w:cs="Times New Roman"/>
          <w:lang w:val="en-US"/>
        </w:rPr>
        <w:t xml:space="preserve">(26) = -.15, </w:t>
      </w:r>
      <w:r>
        <w:rPr>
          <w:rFonts w:ascii="Times New Roman" w:hAnsi="Times New Roman" w:cs="Times New Roman"/>
          <w:i/>
          <w:iCs/>
          <w:lang w:val="en-US"/>
        </w:rPr>
        <w:t>p</w:t>
      </w:r>
      <w:r>
        <w:rPr>
          <w:rFonts w:ascii="Times New Roman" w:hAnsi="Times New Roman" w:cs="Times New Roman"/>
          <w:lang w:val="en-US"/>
        </w:rPr>
        <w:t xml:space="preserve"> = .453. Thus, orienting development cannot explain development of performance in the director task.</w:t>
      </w:r>
    </w:p>
    <w:p w14:paraId="0A1E6E42" w14:textId="3B8B5B9A" w:rsidR="00E92882" w:rsidRDefault="00E92882" w:rsidP="00E92882">
      <w:pPr>
        <w:spacing w:line="360" w:lineRule="auto"/>
        <w:rPr>
          <w:rFonts w:ascii="Times New Roman" w:hAnsi="Times New Roman" w:cs="Times New Roman"/>
          <w:b/>
          <w:bCs/>
          <w:lang w:val="en-US"/>
        </w:rPr>
      </w:pPr>
      <w:r>
        <w:rPr>
          <w:rFonts w:ascii="Times New Roman" w:hAnsi="Times New Roman" w:cs="Times New Roman"/>
          <w:noProof/>
        </w:rPr>
        <w:lastRenderedPageBreak/>
        <w:drawing>
          <wp:inline distT="0" distB="0" distL="0" distR="0" wp14:anchorId="77EC51A4" wp14:editId="34A86730">
            <wp:extent cx="5457825" cy="4724400"/>
            <wp:effectExtent l="0" t="0" r="9525"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hart, line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57825" cy="4724400"/>
                    </a:xfrm>
                    <a:prstGeom prst="rect">
                      <a:avLst/>
                    </a:prstGeom>
                    <a:noFill/>
                    <a:ln>
                      <a:noFill/>
                    </a:ln>
                  </pic:spPr>
                </pic:pic>
              </a:graphicData>
            </a:graphic>
          </wp:inline>
        </w:drawing>
      </w:r>
    </w:p>
    <w:p w14:paraId="4C78A14F" w14:textId="77777777" w:rsidR="00E92882" w:rsidRDefault="00E92882" w:rsidP="00E92882">
      <w:pPr>
        <w:spacing w:line="360" w:lineRule="auto"/>
        <w:rPr>
          <w:rFonts w:ascii="Times New Roman" w:hAnsi="Times New Roman" w:cs="Times New Roman"/>
          <w:lang w:val="en-US"/>
        </w:rPr>
      </w:pPr>
      <w:r>
        <w:rPr>
          <w:rFonts w:ascii="Times New Roman" w:hAnsi="Times New Roman" w:cs="Times New Roman"/>
          <w:lang w:val="en-US"/>
        </w:rPr>
        <w:t>Supplementary Figure 2. Mean conflict index (upper panel), alerting index (middle panel) and orienting index (lower panel) for the three participant groups (</w:t>
      </w:r>
      <w:proofErr w:type="spellStart"/>
      <w:r>
        <w:rPr>
          <w:rFonts w:ascii="Times New Roman" w:hAnsi="Times New Roman" w:cs="Times New Roman"/>
          <w:lang w:val="en-US"/>
        </w:rPr>
        <w:t>BilS</w:t>
      </w:r>
      <w:proofErr w:type="spellEnd"/>
      <w:r>
        <w:rPr>
          <w:rFonts w:ascii="Times New Roman" w:hAnsi="Times New Roman" w:cs="Times New Roman"/>
          <w:lang w:val="en-US"/>
        </w:rPr>
        <w:t xml:space="preserve"> = bilingual school children, L2 = L2 learners, NoL2 = children without L2 provision) at both testing points (T1 and T2). Error bars represent 95% confidence intervals. </w:t>
      </w:r>
    </w:p>
    <w:p w14:paraId="266D639C"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882"/>
    <w:rsid w:val="00AF2E74"/>
    <w:rsid w:val="00E92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5A7E5"/>
  <w15:chartTrackingRefBased/>
  <w15:docId w15:val="{4EA18517-C338-42EF-A647-4C7E24F6A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882"/>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560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889</Words>
  <Characters>5073</Characters>
  <Application>Microsoft Office Word</Application>
  <DocSecurity>0</DocSecurity>
  <Lines>42</Lines>
  <Paragraphs>11</Paragraphs>
  <ScaleCrop>false</ScaleCrop>
  <Company/>
  <LinksUpToDate>false</LinksUpToDate>
  <CharactersWithSpaces>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2022-09-22T22:08:00Z</dcterms:created>
  <dcterms:modified xsi:type="dcterms:W3CDTF">2022-09-22T22:08:00Z</dcterms:modified>
</cp:coreProperties>
</file>