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page" w:horzAnchor="margin" w:tblpY="2101"/>
        <w:tblW w:w="0" w:type="auto"/>
        <w:tblLook w:val="04A0" w:firstRow="1" w:lastRow="0" w:firstColumn="1" w:lastColumn="0" w:noHBand="0" w:noVBand="1"/>
      </w:tblPr>
      <w:tblGrid>
        <w:gridCol w:w="1507"/>
        <w:gridCol w:w="1263"/>
        <w:gridCol w:w="1207"/>
        <w:gridCol w:w="1206"/>
        <w:gridCol w:w="1206"/>
        <w:gridCol w:w="1438"/>
        <w:gridCol w:w="1263"/>
      </w:tblGrid>
      <w:tr w:rsidR="00E15823" w:rsidRPr="00E15823" w:rsidTr="00E15823">
        <w:trPr>
          <w:trHeight w:val="484"/>
        </w:trPr>
        <w:tc>
          <w:tcPr>
            <w:tcW w:w="1507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  <w:tc>
          <w:tcPr>
            <w:tcW w:w="6320" w:type="dxa"/>
            <w:gridSpan w:val="5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 xml:space="preserve">Most invasive treatment ever used </w:t>
            </w: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</w:tr>
      <w:tr w:rsidR="00E15823" w:rsidRPr="00E15823" w:rsidTr="00E15823">
        <w:trPr>
          <w:trHeight w:val="484"/>
        </w:trPr>
        <w:tc>
          <w:tcPr>
            <w:tcW w:w="1507" w:type="dxa"/>
            <w:vMerge w:val="restart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Most invasive treatment during conception cycle</w:t>
            </w: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</w:p>
        </w:tc>
        <w:tc>
          <w:tcPr>
            <w:tcW w:w="1207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None</w:t>
            </w:r>
          </w:p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 (%)</w:t>
            </w:r>
          </w:p>
        </w:tc>
        <w:tc>
          <w:tcPr>
            <w:tcW w:w="1206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Drugs</w:t>
            </w:r>
          </w:p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 (%)</w:t>
            </w:r>
          </w:p>
        </w:tc>
        <w:tc>
          <w:tcPr>
            <w:tcW w:w="1206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IUI</w:t>
            </w:r>
          </w:p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 (%)</w:t>
            </w:r>
          </w:p>
        </w:tc>
        <w:tc>
          <w:tcPr>
            <w:tcW w:w="1438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IVF</w:t>
            </w:r>
          </w:p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 (%)</w:t>
            </w: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</w:rPr>
            </w:pPr>
            <w:r w:rsidRPr="00E15823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</w:tr>
      <w:tr w:rsidR="00E15823" w:rsidRPr="00E15823" w:rsidTr="00E15823">
        <w:trPr>
          <w:trHeight w:val="484"/>
        </w:trPr>
        <w:tc>
          <w:tcPr>
            <w:tcW w:w="1507" w:type="dxa"/>
            <w:vMerge/>
            <w:textDirection w:val="btLr"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None</w:t>
            </w:r>
          </w:p>
        </w:tc>
        <w:tc>
          <w:tcPr>
            <w:tcW w:w="1207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113 (52%)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33 (15%)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36 (17%)</w:t>
            </w:r>
          </w:p>
        </w:tc>
        <w:tc>
          <w:tcPr>
            <w:tcW w:w="1438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35 (16%)</w:t>
            </w:r>
          </w:p>
        </w:tc>
        <w:tc>
          <w:tcPr>
            <w:tcW w:w="1263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color w:val="000000"/>
              </w:rPr>
              <w:t>217</w:t>
            </w:r>
          </w:p>
        </w:tc>
      </w:tr>
      <w:tr w:rsidR="00E15823" w:rsidRPr="00E15823" w:rsidTr="00E15823">
        <w:trPr>
          <w:trHeight w:val="484"/>
        </w:trPr>
        <w:tc>
          <w:tcPr>
            <w:tcW w:w="1507" w:type="dxa"/>
            <w:vMerge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Drugs</w:t>
            </w:r>
          </w:p>
        </w:tc>
        <w:tc>
          <w:tcPr>
            <w:tcW w:w="1207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59 (81%)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9 (12%)</w:t>
            </w:r>
          </w:p>
        </w:tc>
        <w:tc>
          <w:tcPr>
            <w:tcW w:w="1438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5 (7%)</w:t>
            </w:r>
          </w:p>
        </w:tc>
        <w:tc>
          <w:tcPr>
            <w:tcW w:w="1263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color w:val="000000"/>
              </w:rPr>
              <w:t>73</w:t>
            </w:r>
          </w:p>
        </w:tc>
      </w:tr>
      <w:tr w:rsidR="00E15823" w:rsidRPr="00E15823" w:rsidTr="00E15823">
        <w:trPr>
          <w:trHeight w:val="484"/>
        </w:trPr>
        <w:tc>
          <w:tcPr>
            <w:tcW w:w="1507" w:type="dxa"/>
            <w:vMerge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IUI</w:t>
            </w:r>
          </w:p>
        </w:tc>
        <w:tc>
          <w:tcPr>
            <w:tcW w:w="1207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60 (94%)</w:t>
            </w:r>
          </w:p>
        </w:tc>
        <w:tc>
          <w:tcPr>
            <w:tcW w:w="1438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4 (6%)</w:t>
            </w:r>
          </w:p>
        </w:tc>
        <w:tc>
          <w:tcPr>
            <w:tcW w:w="1263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color w:val="000000"/>
              </w:rPr>
              <w:t>64</w:t>
            </w:r>
          </w:p>
        </w:tc>
      </w:tr>
      <w:tr w:rsidR="00E15823" w:rsidRPr="00E15823" w:rsidTr="00E15823">
        <w:trPr>
          <w:trHeight w:val="597"/>
        </w:trPr>
        <w:tc>
          <w:tcPr>
            <w:tcW w:w="1507" w:type="dxa"/>
            <w:vMerge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</w:rPr>
            </w:pP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</w:rPr>
              <w:t>IVF</w:t>
            </w:r>
          </w:p>
        </w:tc>
        <w:tc>
          <w:tcPr>
            <w:tcW w:w="1207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438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</w:rPr>
            </w:pPr>
            <w:r w:rsidRPr="00E15823">
              <w:rPr>
                <w:rFonts w:ascii="Calibri" w:eastAsia="Times New Roman" w:hAnsi="Calibri" w:cs="Calibri"/>
                <w:color w:val="000000"/>
              </w:rPr>
              <w:t>136 (100%)</w:t>
            </w:r>
          </w:p>
        </w:tc>
        <w:tc>
          <w:tcPr>
            <w:tcW w:w="1263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color w:val="000000"/>
              </w:rPr>
              <w:t>136</w:t>
            </w:r>
          </w:p>
        </w:tc>
      </w:tr>
      <w:tr w:rsidR="00E15823" w:rsidRPr="00E15823" w:rsidTr="00E15823">
        <w:trPr>
          <w:trHeight w:val="484"/>
        </w:trPr>
        <w:tc>
          <w:tcPr>
            <w:tcW w:w="1507" w:type="dxa"/>
            <w:textDirection w:val="btLr"/>
            <w:hideMark/>
          </w:tcPr>
          <w:p w:rsidR="00E15823" w:rsidRPr="00E15823" w:rsidRDefault="00E15823" w:rsidP="00E15823">
            <w:pPr>
              <w:contextualSpacing/>
              <w:rPr>
                <w:rFonts w:ascii="Cambria" w:eastAsia="Times New Roman" w:hAnsi="Cambria" w:cs="Times New Roman"/>
                <w:b/>
                <w:i/>
              </w:rPr>
            </w:pPr>
          </w:p>
        </w:tc>
        <w:tc>
          <w:tcPr>
            <w:tcW w:w="1263" w:type="dxa"/>
            <w:noWrap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</w:rPr>
              <w:t>Total</w:t>
            </w:r>
          </w:p>
        </w:tc>
        <w:tc>
          <w:tcPr>
            <w:tcW w:w="1207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113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92</w:t>
            </w:r>
          </w:p>
        </w:tc>
        <w:tc>
          <w:tcPr>
            <w:tcW w:w="1206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105</w:t>
            </w:r>
          </w:p>
        </w:tc>
        <w:tc>
          <w:tcPr>
            <w:tcW w:w="1438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180</w:t>
            </w:r>
          </w:p>
        </w:tc>
        <w:tc>
          <w:tcPr>
            <w:tcW w:w="1263" w:type="dxa"/>
            <w:noWrap/>
            <w:vAlign w:val="bottom"/>
            <w:hideMark/>
          </w:tcPr>
          <w:p w:rsidR="00E15823" w:rsidRPr="00E15823" w:rsidRDefault="00E15823" w:rsidP="00E15823">
            <w:pPr>
              <w:contextualSpacing/>
              <w:rPr>
                <w:rFonts w:ascii="Calibri" w:eastAsia="Times New Roman" w:hAnsi="Calibri" w:cs="Calibri"/>
                <w:b/>
                <w:bCs/>
                <w:i/>
              </w:rPr>
            </w:pPr>
            <w:r w:rsidRPr="00E15823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490</w:t>
            </w:r>
          </w:p>
        </w:tc>
      </w:tr>
    </w:tbl>
    <w:p w:rsidR="00E15823" w:rsidRDefault="00E15823" w:rsidP="00E15823">
      <w:pPr>
        <w:rPr>
          <w:rFonts w:ascii="Calibri" w:eastAsia="Times New Roman" w:hAnsi="Calibri" w:cs="Calibri"/>
          <w:b/>
          <w:i/>
          <w:sz w:val="24"/>
          <w:szCs w:val="24"/>
        </w:rPr>
      </w:pPr>
      <w:r>
        <w:rPr>
          <w:rFonts w:ascii="Calibri" w:eastAsia="Times New Roman" w:hAnsi="Calibri" w:cs="Calibri"/>
          <w:b/>
          <w:i/>
          <w:sz w:val="24"/>
          <w:szCs w:val="24"/>
        </w:rPr>
        <w:t xml:space="preserve">Supplemental </w:t>
      </w:r>
      <w:r w:rsidRPr="00E15823">
        <w:rPr>
          <w:rFonts w:ascii="Calibri" w:eastAsia="Times New Roman" w:hAnsi="Calibri" w:cs="Calibri"/>
          <w:b/>
          <w:i/>
          <w:sz w:val="24"/>
          <w:szCs w:val="24"/>
        </w:rPr>
        <w:t xml:space="preserve">Table </w:t>
      </w:r>
      <w:r>
        <w:rPr>
          <w:rFonts w:ascii="Calibri" w:eastAsia="Times New Roman" w:hAnsi="Calibri" w:cs="Calibri"/>
          <w:b/>
          <w:i/>
          <w:sz w:val="24"/>
          <w:szCs w:val="24"/>
        </w:rPr>
        <w:t>1</w:t>
      </w:r>
      <w:r w:rsidRPr="00E15823">
        <w:rPr>
          <w:rFonts w:ascii="Calibri" w:eastAsia="Times New Roman" w:hAnsi="Calibri" w:cs="Calibri"/>
          <w:b/>
          <w:i/>
          <w:sz w:val="24"/>
          <w:szCs w:val="24"/>
        </w:rPr>
        <w:t>.</w:t>
      </w:r>
      <w:bookmarkStart w:id="0" w:name="_GoBack"/>
      <w:r w:rsidRPr="00E15823">
        <w:rPr>
          <w:rFonts w:ascii="Calibri" w:eastAsia="Times New Roman" w:hAnsi="Calibri" w:cs="Calibri"/>
          <w:b/>
          <w:i/>
          <w:sz w:val="24"/>
          <w:szCs w:val="24"/>
        </w:rPr>
        <w:t xml:space="preserve"> Most invasive treatment used during the month of conception and ever used</w:t>
      </w:r>
      <w:bookmarkEnd w:id="0"/>
    </w:p>
    <w:p w:rsidR="00E15823" w:rsidRPr="00E15823" w:rsidRDefault="00E15823">
      <w:pPr>
        <w:rPr>
          <w:sz w:val="20"/>
          <w:szCs w:val="20"/>
        </w:rPr>
      </w:pPr>
    </w:p>
    <w:p w:rsidR="00E15823" w:rsidRDefault="00E15823"/>
    <w:sectPr w:rsidR="00E15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23"/>
    <w:rsid w:val="00910014"/>
    <w:rsid w:val="00B31C17"/>
    <w:rsid w:val="00E15823"/>
    <w:rsid w:val="00FA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88D7A-DE08-4CCC-9F30-8A4AC0ED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15823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1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Hemmert</dc:creator>
  <cp:keywords/>
  <dc:description/>
  <cp:lastModifiedBy>Rachael Hemmert</cp:lastModifiedBy>
  <cp:revision>2</cp:revision>
  <dcterms:created xsi:type="dcterms:W3CDTF">2021-01-30T00:59:00Z</dcterms:created>
  <dcterms:modified xsi:type="dcterms:W3CDTF">2021-01-30T00:59:00Z</dcterms:modified>
</cp:coreProperties>
</file>