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63049" w14:textId="06862405" w:rsidR="00815E96" w:rsidRPr="00815E96" w:rsidRDefault="00815E96" w:rsidP="00815E96">
      <w:pPr>
        <w:spacing w:line="360" w:lineRule="auto"/>
        <w:rPr>
          <w:sz w:val="28"/>
          <w:szCs w:val="28"/>
        </w:rPr>
      </w:pPr>
      <w:r w:rsidRPr="00815E96">
        <w:rPr>
          <w:sz w:val="28"/>
          <w:szCs w:val="28"/>
          <w:lang w:val="en-US"/>
        </w:rPr>
        <w:t>Supplementary</w:t>
      </w:r>
      <w:r w:rsidRPr="00815E96">
        <w:rPr>
          <w:sz w:val="28"/>
          <w:szCs w:val="28"/>
        </w:rPr>
        <w:t xml:space="preserve"> Information </w:t>
      </w:r>
    </w:p>
    <w:p w14:paraId="6EF53CB1" w14:textId="77777777" w:rsidR="00815E96" w:rsidRDefault="00815E96" w:rsidP="00B71EC5">
      <w:pPr>
        <w:pStyle w:val="Title2"/>
        <w:spacing w:line="360" w:lineRule="auto"/>
      </w:pPr>
    </w:p>
    <w:p w14:paraId="7609D195" w14:textId="6EC3F75A" w:rsidR="002D16A0" w:rsidRPr="00761599" w:rsidRDefault="00405A1A" w:rsidP="00B71EC5">
      <w:pPr>
        <w:pStyle w:val="Title2"/>
        <w:spacing w:line="360" w:lineRule="auto"/>
      </w:pPr>
      <w:r w:rsidRPr="00761599">
        <w:t xml:space="preserve">Spin and Wavelength Multiplexed Eight-Channel Surface Plasmon </w:t>
      </w:r>
      <w:proofErr w:type="spellStart"/>
      <w:r w:rsidRPr="00761599">
        <w:t>Metalensing</w:t>
      </w:r>
      <w:proofErr w:type="spellEnd"/>
    </w:p>
    <w:p w14:paraId="33ECF349" w14:textId="77777777" w:rsidR="0060361F" w:rsidRPr="00761599" w:rsidRDefault="0060361F" w:rsidP="00B71EC5">
      <w:pPr>
        <w:pStyle w:val="Title2"/>
        <w:spacing w:line="360" w:lineRule="auto"/>
      </w:pPr>
    </w:p>
    <w:p w14:paraId="48D1982C" w14:textId="73DA3833" w:rsidR="00405A1A" w:rsidRPr="00761599" w:rsidRDefault="00903BA3" w:rsidP="00B71EC5">
      <w:pPr>
        <w:pStyle w:val="AuthorsFull"/>
        <w:spacing w:line="360" w:lineRule="auto"/>
      </w:pPr>
      <w:proofErr w:type="spellStart"/>
      <w:r w:rsidRPr="00761599">
        <w:t>Xiaohan</w:t>
      </w:r>
      <w:proofErr w:type="spellEnd"/>
      <w:r w:rsidRPr="00761599">
        <w:t xml:space="preserve"> Jiang</w:t>
      </w:r>
      <w:r w:rsidR="005A0054" w:rsidRPr="005A0054">
        <w:rPr>
          <w:vertAlign w:val="superscript"/>
        </w:rPr>
        <w:t>1</w:t>
      </w:r>
      <w:r w:rsidRPr="00761599">
        <w:t>, Quan Xu</w:t>
      </w:r>
      <w:r w:rsidR="005A0054" w:rsidRPr="005A0054">
        <w:rPr>
          <w:vertAlign w:val="superscript"/>
        </w:rPr>
        <w:t>1</w:t>
      </w:r>
      <w:r w:rsidRPr="00761599">
        <w:t>*</w:t>
      </w:r>
      <w:r w:rsidR="005A0054" w:rsidRPr="00761599">
        <w:t>,</w:t>
      </w:r>
      <w:r w:rsidRPr="00761599">
        <w:t xml:space="preserve"> </w:t>
      </w:r>
      <w:proofErr w:type="spellStart"/>
      <w:r w:rsidRPr="00761599">
        <w:t>Yuanhao</w:t>
      </w:r>
      <w:proofErr w:type="spellEnd"/>
      <w:r w:rsidRPr="00761599">
        <w:t xml:space="preserve"> Lang</w:t>
      </w:r>
      <w:r w:rsidR="005A0054" w:rsidRPr="005A0054">
        <w:rPr>
          <w:vertAlign w:val="superscript"/>
        </w:rPr>
        <w:t>1</w:t>
      </w:r>
      <w:r w:rsidRPr="00761599">
        <w:t xml:space="preserve">, </w:t>
      </w:r>
      <w:proofErr w:type="spellStart"/>
      <w:r w:rsidRPr="00761599">
        <w:t>Wanying</w:t>
      </w:r>
      <w:proofErr w:type="spellEnd"/>
      <w:r w:rsidRPr="00761599">
        <w:t xml:space="preserve"> Liu</w:t>
      </w:r>
      <w:r w:rsidR="005A0054" w:rsidRPr="005A0054">
        <w:rPr>
          <w:vertAlign w:val="superscript"/>
        </w:rPr>
        <w:t>1</w:t>
      </w:r>
      <w:r w:rsidRPr="00761599">
        <w:t xml:space="preserve">, </w:t>
      </w:r>
      <w:proofErr w:type="spellStart"/>
      <w:r w:rsidRPr="00761599">
        <w:t>Xieyu</w:t>
      </w:r>
      <w:proofErr w:type="spellEnd"/>
      <w:r w:rsidRPr="00761599">
        <w:t xml:space="preserve"> Chen</w:t>
      </w:r>
      <w:r w:rsidR="005A0054" w:rsidRPr="005A0054">
        <w:rPr>
          <w:vertAlign w:val="superscript"/>
        </w:rPr>
        <w:t>1</w:t>
      </w:r>
      <w:r w:rsidRPr="00761599">
        <w:t xml:space="preserve">, </w:t>
      </w:r>
      <w:proofErr w:type="spellStart"/>
      <w:r w:rsidRPr="00761599">
        <w:t>Yuehong</w:t>
      </w:r>
      <w:proofErr w:type="spellEnd"/>
      <w:r w:rsidRPr="00761599">
        <w:t xml:space="preserve"> Xu</w:t>
      </w:r>
      <w:r w:rsidR="005A0054" w:rsidRPr="005A0054">
        <w:rPr>
          <w:vertAlign w:val="superscript"/>
        </w:rPr>
        <w:t>1</w:t>
      </w:r>
      <w:r w:rsidRPr="00761599">
        <w:t>, Hang Ren</w:t>
      </w:r>
      <w:r w:rsidR="005A0054">
        <w:rPr>
          <w:vertAlign w:val="superscript"/>
        </w:rPr>
        <w:t>2</w:t>
      </w:r>
      <w:r w:rsidRPr="00761599">
        <w:t xml:space="preserve">, </w:t>
      </w:r>
      <w:proofErr w:type="spellStart"/>
      <w:r w:rsidRPr="00761599">
        <w:t>Xibin</w:t>
      </w:r>
      <w:proofErr w:type="spellEnd"/>
      <w:r w:rsidRPr="00761599">
        <w:t xml:space="preserve"> Wang</w:t>
      </w:r>
      <w:r w:rsidR="005A0054">
        <w:rPr>
          <w:vertAlign w:val="superscript"/>
        </w:rPr>
        <w:t>2</w:t>
      </w:r>
      <w:r w:rsidRPr="00761599">
        <w:t xml:space="preserve">, </w:t>
      </w:r>
      <w:proofErr w:type="spellStart"/>
      <w:r w:rsidRPr="00761599">
        <w:t>Su</w:t>
      </w:r>
      <w:proofErr w:type="spellEnd"/>
      <w:r w:rsidRPr="00761599">
        <w:t xml:space="preserve"> Xu</w:t>
      </w:r>
      <w:r w:rsidR="005A0054">
        <w:rPr>
          <w:vertAlign w:val="superscript"/>
        </w:rPr>
        <w:t>2</w:t>
      </w:r>
      <w:r w:rsidRPr="00761599">
        <w:t xml:space="preserve">, </w:t>
      </w:r>
      <w:proofErr w:type="spellStart"/>
      <w:r w:rsidRPr="00761599">
        <w:t>Xueqian</w:t>
      </w:r>
      <w:proofErr w:type="spellEnd"/>
      <w:r w:rsidRPr="00761599">
        <w:t xml:space="preserve"> Zhang</w:t>
      </w:r>
      <w:r w:rsidR="005A0054" w:rsidRPr="005A0054">
        <w:rPr>
          <w:vertAlign w:val="superscript"/>
        </w:rPr>
        <w:t>1</w:t>
      </w:r>
      <w:r w:rsidRPr="00761599">
        <w:t xml:space="preserve">, </w:t>
      </w:r>
      <w:proofErr w:type="spellStart"/>
      <w:r w:rsidRPr="00761599">
        <w:t>Chunmei</w:t>
      </w:r>
      <w:proofErr w:type="spellEnd"/>
      <w:r w:rsidRPr="00761599">
        <w:t xml:space="preserve"> Ouyang</w:t>
      </w:r>
      <w:r w:rsidR="005A0054" w:rsidRPr="005A0054">
        <w:rPr>
          <w:vertAlign w:val="superscript"/>
        </w:rPr>
        <w:t>1</w:t>
      </w:r>
      <w:r w:rsidRPr="00761599">
        <w:t>, Zhen Tian</w:t>
      </w:r>
      <w:r w:rsidR="005A0054" w:rsidRPr="005A0054">
        <w:rPr>
          <w:vertAlign w:val="superscript"/>
        </w:rPr>
        <w:t>1</w:t>
      </w:r>
      <w:r w:rsidRPr="00761599">
        <w:t xml:space="preserve">, </w:t>
      </w:r>
      <w:proofErr w:type="spellStart"/>
      <w:r w:rsidRPr="00761599">
        <w:t>Jianqiang</w:t>
      </w:r>
      <w:proofErr w:type="spellEnd"/>
      <w:r w:rsidRPr="00761599">
        <w:t xml:space="preserve"> Gu</w:t>
      </w:r>
      <w:r w:rsidR="005A0054" w:rsidRPr="005A0054">
        <w:rPr>
          <w:vertAlign w:val="superscript"/>
        </w:rPr>
        <w:t>1</w:t>
      </w:r>
      <w:r w:rsidRPr="00761599">
        <w:t xml:space="preserve">, </w:t>
      </w:r>
      <w:proofErr w:type="spellStart"/>
      <w:r w:rsidRPr="00761599">
        <w:t>Jiaguang</w:t>
      </w:r>
      <w:proofErr w:type="spellEnd"/>
      <w:r w:rsidRPr="00761599">
        <w:t xml:space="preserve"> Han</w:t>
      </w:r>
      <w:r w:rsidR="005A0054" w:rsidRPr="005A0054">
        <w:rPr>
          <w:vertAlign w:val="superscript"/>
        </w:rPr>
        <w:t>1</w:t>
      </w:r>
      <w:r w:rsidR="005A0054">
        <w:rPr>
          <w:vertAlign w:val="superscript"/>
        </w:rPr>
        <w:t>,3</w:t>
      </w:r>
      <w:r w:rsidRPr="00761599">
        <w:t xml:space="preserve">* and </w:t>
      </w:r>
      <w:proofErr w:type="spellStart"/>
      <w:r w:rsidRPr="00761599">
        <w:t>Weili</w:t>
      </w:r>
      <w:proofErr w:type="spellEnd"/>
      <w:r w:rsidRPr="00761599">
        <w:t xml:space="preserve"> Zhang</w:t>
      </w:r>
      <w:r w:rsidR="005A0054">
        <w:rPr>
          <w:vertAlign w:val="superscript"/>
        </w:rPr>
        <w:t>4</w:t>
      </w:r>
      <w:r w:rsidRPr="00761599">
        <w:t>*</w:t>
      </w:r>
    </w:p>
    <w:p w14:paraId="4B9AD088" w14:textId="77777777" w:rsidR="0060361F" w:rsidRPr="00761599" w:rsidRDefault="0060361F" w:rsidP="00B71EC5">
      <w:pPr>
        <w:pStyle w:val="Addresses"/>
        <w:spacing w:line="360" w:lineRule="auto"/>
      </w:pPr>
    </w:p>
    <w:p w14:paraId="1AAE186F" w14:textId="39E011BA" w:rsidR="00470E3C" w:rsidRPr="00761599" w:rsidRDefault="005A0054" w:rsidP="00B71EC5">
      <w:pPr>
        <w:pStyle w:val="Addresses"/>
        <w:spacing w:line="360" w:lineRule="auto"/>
      </w:pPr>
      <w:r w:rsidRPr="005A0054">
        <w:rPr>
          <w:vertAlign w:val="superscript"/>
        </w:rPr>
        <w:t>1</w:t>
      </w:r>
      <w:r>
        <w:t xml:space="preserve"> </w:t>
      </w:r>
      <w:r w:rsidR="00470E3C" w:rsidRPr="00761599">
        <w:t>Center for Terahertz Waves, College of Precision Instrument and Optoelectronics Engineering, and the Key Laboratory of Optoelectronic Information and Technology (Ministry of Education), Tianjin University, Tianjin 300072, China.</w:t>
      </w:r>
    </w:p>
    <w:p w14:paraId="1EB3AD81" w14:textId="77777777" w:rsidR="005A0054" w:rsidRDefault="005A0054" w:rsidP="00B71EC5">
      <w:pPr>
        <w:pStyle w:val="Addresses"/>
        <w:spacing w:line="360" w:lineRule="auto"/>
      </w:pPr>
    </w:p>
    <w:p w14:paraId="1D613A1E" w14:textId="591A5656" w:rsidR="0060361F" w:rsidRPr="00761599" w:rsidRDefault="005A0054" w:rsidP="00B71EC5">
      <w:pPr>
        <w:pStyle w:val="Addresses"/>
        <w:spacing w:line="360" w:lineRule="auto"/>
      </w:pPr>
      <w:r w:rsidRPr="005A0054">
        <w:rPr>
          <w:vertAlign w:val="superscript"/>
        </w:rPr>
        <w:t>2</w:t>
      </w:r>
      <w:r>
        <w:t xml:space="preserve"> </w:t>
      </w:r>
      <w:r w:rsidR="0060361F" w:rsidRPr="00761599">
        <w:t>State Key Laboratory of Integrated Optoelectronics, College of Electronic Science and Engineering, Jilin University, Changchun 130012, China.</w:t>
      </w:r>
    </w:p>
    <w:p w14:paraId="41A144AC" w14:textId="77777777" w:rsidR="005A0054" w:rsidRDefault="005A0054" w:rsidP="00B71EC5">
      <w:pPr>
        <w:pStyle w:val="Addresses"/>
        <w:spacing w:line="360" w:lineRule="auto"/>
      </w:pPr>
    </w:p>
    <w:p w14:paraId="2C0655EB" w14:textId="6CC44BEA" w:rsidR="0060361F" w:rsidRPr="00761599" w:rsidRDefault="005A0054" w:rsidP="00B71EC5">
      <w:pPr>
        <w:pStyle w:val="Addresses"/>
        <w:spacing w:line="360" w:lineRule="auto"/>
      </w:pPr>
      <w:r w:rsidRPr="005A0054">
        <w:rPr>
          <w:vertAlign w:val="superscript"/>
        </w:rPr>
        <w:t xml:space="preserve">3 </w:t>
      </w:r>
      <w:r w:rsidR="0060361F" w:rsidRPr="00761599">
        <w:t>Guangxi Key Laboratory of Optoelectronic Information Processing, School of Optoelectronic Engineering, Guilin University of Electronic Technology, Guilin 541004, China</w:t>
      </w:r>
    </w:p>
    <w:p w14:paraId="243B5BDF" w14:textId="77777777" w:rsidR="005A0054" w:rsidRDefault="005A0054" w:rsidP="00B71EC5">
      <w:pPr>
        <w:pStyle w:val="Addresses"/>
        <w:spacing w:line="360" w:lineRule="auto"/>
      </w:pPr>
    </w:p>
    <w:p w14:paraId="6E21F92F" w14:textId="1E9A5E22" w:rsidR="0060361F" w:rsidRPr="00761599" w:rsidRDefault="005A0054" w:rsidP="00B71EC5">
      <w:pPr>
        <w:pStyle w:val="Addresses"/>
        <w:spacing w:line="360" w:lineRule="auto"/>
      </w:pPr>
      <w:r w:rsidRPr="005A0054">
        <w:rPr>
          <w:vertAlign w:val="superscript"/>
        </w:rPr>
        <w:t xml:space="preserve">4 </w:t>
      </w:r>
      <w:r w:rsidR="0060361F" w:rsidRPr="00761599">
        <w:t>School of Electrical and Computer Engineering, Oklahoma State University, Stillwater, Oklahoma 74078, USA.</w:t>
      </w:r>
    </w:p>
    <w:p w14:paraId="408638B2" w14:textId="77777777" w:rsidR="005A0054" w:rsidRDefault="005A0054" w:rsidP="00B71EC5">
      <w:pPr>
        <w:pStyle w:val="Addresses"/>
        <w:spacing w:line="360" w:lineRule="auto"/>
      </w:pPr>
    </w:p>
    <w:p w14:paraId="68D07D6E" w14:textId="7D559E24" w:rsidR="0060361F" w:rsidRPr="00761599" w:rsidRDefault="005A0054" w:rsidP="00B71EC5">
      <w:pPr>
        <w:pStyle w:val="Addresses"/>
        <w:spacing w:line="360" w:lineRule="auto"/>
      </w:pPr>
      <w:r w:rsidRPr="005A0054">
        <w:rPr>
          <w:vertAlign w:val="superscript"/>
        </w:rPr>
        <w:t>*</w:t>
      </w:r>
      <w:r>
        <w:t>Correspondence</w:t>
      </w:r>
      <w:r w:rsidRPr="00761599">
        <w:t xml:space="preserve">: </w:t>
      </w:r>
      <w:r w:rsidRPr="005A0054">
        <w:rPr>
          <w:rStyle w:val="Hyperlink"/>
        </w:rPr>
        <w:t>quanxu@tju.edu.cn</w:t>
      </w:r>
      <w:r w:rsidRPr="00761599">
        <w:t xml:space="preserve">; </w:t>
      </w:r>
      <w:r w:rsidRPr="005A0054">
        <w:rPr>
          <w:rStyle w:val="Hyperlink"/>
        </w:rPr>
        <w:t>jiaghan@tju.edu.cn</w:t>
      </w:r>
      <w:r w:rsidRPr="00761599">
        <w:t xml:space="preserve">; </w:t>
      </w:r>
      <w:r w:rsidR="0060361F" w:rsidRPr="00761599">
        <w:rPr>
          <w:rStyle w:val="Hyperlink"/>
        </w:rPr>
        <w:t>weili.zhang@okstate.edu</w:t>
      </w:r>
      <w:r w:rsidR="00655EFB" w:rsidRPr="00761599">
        <w:t>;</w:t>
      </w:r>
    </w:p>
    <w:p w14:paraId="20936858" w14:textId="77777777" w:rsidR="00C07661" w:rsidRPr="00761599" w:rsidRDefault="00C07661">
      <w:pPr>
        <w:rPr>
          <w:lang w:val="en-US"/>
        </w:rPr>
      </w:pPr>
      <w:bookmarkStart w:id="0" w:name="OLE_LINK1"/>
      <w:r w:rsidRPr="00761599">
        <w:br w:type="page"/>
      </w:r>
    </w:p>
    <w:bookmarkEnd w:id="0"/>
    <w:p w14:paraId="5271CC50" w14:textId="7375B852" w:rsidR="001C7C15" w:rsidRPr="00761599" w:rsidRDefault="002E5031" w:rsidP="00B3458F">
      <w:pPr>
        <w:pStyle w:val="Head1"/>
      </w:pPr>
      <w:r w:rsidRPr="00761599">
        <w:lastRenderedPageBreak/>
        <w:t>A</w:t>
      </w:r>
      <w:r w:rsidR="001C7C15" w:rsidRPr="00761599">
        <w:t>. Single dipole excitation</w:t>
      </w:r>
    </w:p>
    <w:p w14:paraId="72B7EBEE" w14:textId="0A659AEC" w:rsidR="001C7C15" w:rsidRPr="00761599" w:rsidRDefault="00EA3EE0" w:rsidP="00331A2E">
      <w:pPr>
        <w:jc w:val="center"/>
      </w:pPr>
      <w:r w:rsidRPr="00761599">
        <w:rPr>
          <w:noProof/>
        </w:rPr>
        <w:drawing>
          <wp:inline distT="0" distB="0" distL="0" distR="0" wp14:anchorId="54B92078" wp14:editId="2C0657DE">
            <wp:extent cx="3600450" cy="18097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1809750"/>
                    </a:xfrm>
                    <a:prstGeom prst="rect">
                      <a:avLst/>
                    </a:prstGeom>
                    <a:noFill/>
                    <a:ln>
                      <a:noFill/>
                    </a:ln>
                  </pic:spPr>
                </pic:pic>
              </a:graphicData>
            </a:graphic>
          </wp:inline>
        </w:drawing>
      </w:r>
    </w:p>
    <w:p w14:paraId="14E3059F" w14:textId="3495ACC9" w:rsidR="001C7C15" w:rsidRPr="00761599" w:rsidRDefault="001C7C15" w:rsidP="00F80D12">
      <w:pPr>
        <w:pStyle w:val="Legend"/>
        <w:jc w:val="both"/>
      </w:pPr>
      <w:r w:rsidRPr="00761599">
        <w:rPr>
          <w:b/>
          <w:bCs/>
        </w:rPr>
        <w:t xml:space="preserve">Figure S1. </w:t>
      </w:r>
      <w:r w:rsidRPr="00761599">
        <w:t xml:space="preserve">The calculated SP field (real part) distributions from the dipole sources of </w:t>
      </w:r>
      <w:r w:rsidRPr="00761599">
        <w:rPr>
          <w:i/>
          <w:iCs/>
        </w:rPr>
        <w:t>θ = +</w:t>
      </w:r>
      <w:r w:rsidRPr="00761599">
        <w:t xml:space="preserve">45° and </w:t>
      </w:r>
      <w:r w:rsidRPr="00761599">
        <w:rPr>
          <w:i/>
          <w:iCs/>
        </w:rPr>
        <w:t>θ = –</w:t>
      </w:r>
      <w:r w:rsidRPr="00761599">
        <w:t>45°, respectively, and the corresponding components under RCP incidences compared with Fig</w:t>
      </w:r>
      <w:r w:rsidR="003F2DCB" w:rsidRPr="00761599">
        <w:t>ure</w:t>
      </w:r>
      <w:r w:rsidRPr="00761599">
        <w:t xml:space="preserve"> 1b-g. Scale bar is </w:t>
      </w:r>
      <w:proofErr w:type="spellStart"/>
      <w:r w:rsidRPr="00761599">
        <w:rPr>
          <w:i/>
          <w:iCs/>
        </w:rPr>
        <w:t>λ</w:t>
      </w:r>
      <w:r w:rsidRPr="00761599">
        <w:rPr>
          <w:vertAlign w:val="subscript"/>
        </w:rPr>
        <w:t>SP</w:t>
      </w:r>
      <w:proofErr w:type="spellEnd"/>
      <w:r w:rsidRPr="00761599">
        <w:t>/2 same with in Fig</w:t>
      </w:r>
      <w:r w:rsidR="003F2DCB" w:rsidRPr="00761599">
        <w:t>ure</w:t>
      </w:r>
      <w:r w:rsidRPr="00761599">
        <w:t xml:space="preserve"> 1b.</w:t>
      </w:r>
    </w:p>
    <w:p w14:paraId="2D73EFB2" w14:textId="77777777" w:rsidR="006423FD" w:rsidRPr="006423FD" w:rsidRDefault="006423FD" w:rsidP="00B3458F">
      <w:pPr>
        <w:pStyle w:val="Head1"/>
        <w:rPr>
          <w:b w:val="0"/>
          <w:bCs/>
        </w:rPr>
      </w:pPr>
    </w:p>
    <w:p w14:paraId="1F382F21" w14:textId="0ED5719B" w:rsidR="001C7C15" w:rsidRPr="00761599" w:rsidRDefault="002E5031" w:rsidP="00B3458F">
      <w:pPr>
        <w:pStyle w:val="Head1"/>
      </w:pPr>
      <w:r w:rsidRPr="00761599">
        <w:t>B</w:t>
      </w:r>
      <w:r w:rsidR="001C7C15" w:rsidRPr="00761599">
        <w:t>. Detailed analysis of the SP excitations</w:t>
      </w:r>
    </w:p>
    <w:p w14:paraId="4974BADD" w14:textId="62A70A75" w:rsidR="001C7C15" w:rsidRPr="00761599" w:rsidRDefault="001C7C15" w:rsidP="00F80D12">
      <w:pPr>
        <w:pStyle w:val="MainText"/>
        <w:jc w:val="both"/>
      </w:pPr>
      <w:r w:rsidRPr="00761599">
        <w:t>In order to discuss the interaction of the term exp(</w:t>
      </w:r>
      <w:proofErr w:type="spellStart"/>
      <w:r w:rsidRPr="00761599">
        <w:t>i</w:t>
      </w:r>
      <w:r w:rsidRPr="00761599">
        <w:rPr>
          <w:i/>
          <w:iCs/>
        </w:rPr>
        <w:t>σξ</w:t>
      </w:r>
      <w:proofErr w:type="spellEnd"/>
      <w:r w:rsidRPr="00761599">
        <w:t>)/2 in the Eq</w:t>
      </w:r>
      <w:r w:rsidR="0072580F" w:rsidRPr="00761599">
        <w:t>uation</w:t>
      </w:r>
      <w:r w:rsidRPr="00761599">
        <w:t xml:space="preserve"> 2, we choose the single SP focusing at the (6,0) with the unit of millimeter and compare two parts of excitations in the surface plane. Fig</w:t>
      </w:r>
      <w:r w:rsidR="0072580F" w:rsidRPr="00761599">
        <w:t>ure</w:t>
      </w:r>
      <w:r w:rsidRPr="00761599">
        <w:t xml:space="preserve"> S</w:t>
      </w:r>
      <w:r w:rsidR="0072580F" w:rsidRPr="00761599">
        <w:t>2</w:t>
      </w:r>
      <w:r w:rsidRPr="00761599">
        <w:rPr>
          <w:lang w:eastAsia="zh-CN"/>
        </w:rPr>
        <w:t>a</w:t>
      </w:r>
      <w:r w:rsidRPr="00761599">
        <w:t xml:space="preserve"> shows the orientation distribution of the resonators at the wavelength of 400 </w:t>
      </w:r>
      <w:proofErr w:type="spellStart"/>
      <w:r w:rsidRPr="00761599">
        <w:t>μm</w:t>
      </w:r>
      <w:proofErr w:type="spellEnd"/>
      <w:r w:rsidRPr="00761599">
        <w:t>. According to the extracted equations with the term 1 Eq</w:t>
      </w:r>
      <w:r w:rsidR="0072580F" w:rsidRPr="00761599">
        <w:t>uation</w:t>
      </w:r>
      <w:r w:rsidRPr="00761599">
        <w:t xml:space="preserve"> S1 and the term 2 Eq</w:t>
      </w:r>
      <w:r w:rsidR="0072580F" w:rsidRPr="00761599">
        <w:t>uation</w:t>
      </w:r>
      <w:r w:rsidRPr="00761599">
        <w:t xml:space="preserve"> S2 from the Eq</w:t>
      </w:r>
      <w:r w:rsidR="0072580F" w:rsidRPr="00761599">
        <w:t>uation</w:t>
      </w:r>
      <w:r w:rsidRPr="00761599">
        <w:t xml:space="preserve"> 2 as below,</w:t>
      </w:r>
    </w:p>
    <w:p w14:paraId="329E8FD0" w14:textId="5B7297E0" w:rsidR="009D6881" w:rsidRPr="00761599" w:rsidRDefault="00493797" w:rsidP="006423FD">
      <w:pPr>
        <w:pStyle w:val="MainText"/>
        <w:jc w:val="right"/>
      </w:pPr>
      <w:r w:rsidRPr="00761599">
        <w:rPr>
          <w:noProof/>
          <w:position w:val="-38"/>
        </w:rPr>
        <w:object w:dxaOrig="3440" w:dyaOrig="840" w14:anchorId="75CB76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71.35pt;height:44.65pt;mso-width-percent:0;mso-height-percent:0;mso-width-percent:0;mso-height-percent:0" o:ole="">
            <v:imagedata r:id="rId12" o:title=""/>
          </v:shape>
          <o:OLEObject Type="Embed" ProgID="Equation.DSMT4" ShapeID="_x0000_i1026" DrawAspect="Content" ObjectID="_1724316244" r:id="rId13"/>
        </w:object>
      </w:r>
      <w:r w:rsidR="009D6881" w:rsidRPr="00761599">
        <w:rPr>
          <w:noProof/>
        </w:rPr>
        <w:t>,</w:t>
      </w:r>
      <w:r w:rsidR="009D6881" w:rsidRPr="00761599">
        <w:rPr>
          <w:noProof/>
        </w:rPr>
        <w:tab/>
      </w:r>
      <w:r w:rsidR="009D6881" w:rsidRPr="00761599">
        <w:tab/>
      </w:r>
      <w:r w:rsidR="009D6881" w:rsidRPr="00761599">
        <w:tab/>
      </w:r>
      <w:r w:rsidR="009D6881" w:rsidRPr="00761599">
        <w:tab/>
      </w:r>
      <w:r w:rsidR="009D6881" w:rsidRPr="00761599">
        <w:tab/>
      </w:r>
      <w:r w:rsidR="009D6881" w:rsidRPr="00761599">
        <w:tab/>
      </w:r>
      <w:r w:rsidR="009D6881" w:rsidRPr="00761599">
        <w:tab/>
      </w:r>
      <w:r w:rsidR="009D6881" w:rsidRPr="00761599">
        <w:tab/>
      </w:r>
      <w:r w:rsidR="009D6881" w:rsidRPr="00761599">
        <w:rPr>
          <w:color w:val="000000"/>
        </w:rPr>
        <w:t xml:space="preserve"> (S1)</w:t>
      </w:r>
      <w:r w:rsidR="009D6881" w:rsidRPr="00761599">
        <w:t xml:space="preserve"> </w:t>
      </w:r>
    </w:p>
    <w:p w14:paraId="2248D782" w14:textId="05F9CE78" w:rsidR="009D6881" w:rsidRPr="00761599" w:rsidRDefault="00493797" w:rsidP="006423FD">
      <w:pPr>
        <w:pStyle w:val="MainText"/>
        <w:jc w:val="right"/>
      </w:pPr>
      <w:r w:rsidRPr="00761599">
        <w:rPr>
          <w:noProof/>
          <w:position w:val="-38"/>
        </w:rPr>
        <w:object w:dxaOrig="3060" w:dyaOrig="840" w14:anchorId="04908E23">
          <v:shape id="_x0000_i1025" type="#_x0000_t75" alt="" style="width:151.35pt;height:44.65pt;mso-width-percent:0;mso-height-percent:0;mso-width-percent:0;mso-height-percent:0" o:ole="">
            <v:imagedata r:id="rId14" o:title=""/>
          </v:shape>
          <o:OLEObject Type="Embed" ProgID="Equation.DSMT4" ShapeID="_x0000_i1025" DrawAspect="Content" ObjectID="_1724316245" r:id="rId15"/>
        </w:object>
      </w:r>
      <w:r w:rsidR="009D6881" w:rsidRPr="00761599">
        <w:rPr>
          <w:noProof/>
        </w:rPr>
        <w:t>,</w:t>
      </w:r>
      <w:r w:rsidR="009D6881" w:rsidRPr="00761599">
        <w:tab/>
      </w:r>
      <w:r w:rsidR="009D6881" w:rsidRPr="00761599">
        <w:tab/>
      </w:r>
      <w:r w:rsidR="009D6881" w:rsidRPr="00761599">
        <w:tab/>
      </w:r>
      <w:r w:rsidR="009D6881" w:rsidRPr="00761599">
        <w:tab/>
      </w:r>
      <w:r w:rsidR="009D6881" w:rsidRPr="00761599">
        <w:tab/>
      </w:r>
      <w:r w:rsidR="009D6881" w:rsidRPr="00761599">
        <w:tab/>
      </w:r>
      <w:r w:rsidR="009D6881" w:rsidRPr="00761599">
        <w:tab/>
      </w:r>
      <w:r w:rsidR="009D6881" w:rsidRPr="00761599">
        <w:tab/>
      </w:r>
      <w:r w:rsidR="009D6881" w:rsidRPr="00761599">
        <w:rPr>
          <w:color w:val="000000"/>
        </w:rPr>
        <w:t xml:space="preserve"> (S2)</w:t>
      </w:r>
      <w:r w:rsidR="009D6881" w:rsidRPr="00761599">
        <w:t xml:space="preserve"> </w:t>
      </w:r>
    </w:p>
    <w:p w14:paraId="7D30D469" w14:textId="1907FF68" w:rsidR="001C7C15" w:rsidRPr="00761599" w:rsidRDefault="001C7C15" w:rsidP="00F80D12">
      <w:pPr>
        <w:pStyle w:val="MainText"/>
        <w:jc w:val="both"/>
      </w:pPr>
      <w:r w:rsidRPr="00761599">
        <w:t>the calculated field distributions are respectively illustrated in the Fig</w:t>
      </w:r>
      <w:r w:rsidR="0072580F" w:rsidRPr="00761599">
        <w:t>ure</w:t>
      </w:r>
      <w:r w:rsidRPr="00761599">
        <w:t xml:space="preserve"> S</w:t>
      </w:r>
      <w:r w:rsidR="0072580F" w:rsidRPr="00761599">
        <w:t>2</w:t>
      </w:r>
      <w:r w:rsidRPr="00761599">
        <w:t xml:space="preserve">b and </w:t>
      </w:r>
      <w:r w:rsidR="0072580F" w:rsidRPr="00761599">
        <w:t>S2</w:t>
      </w:r>
      <w:r w:rsidRPr="00761599">
        <w:t>c, where the dash circles outline the emitting region with the radius of 3 mm. Here, we normalize these two profiles with the maximum focusing intensity in Fig</w:t>
      </w:r>
      <w:r w:rsidR="0072580F" w:rsidRPr="00761599">
        <w:t>ure</w:t>
      </w:r>
      <w:r w:rsidRPr="00761599">
        <w:t xml:space="preserve"> S</w:t>
      </w:r>
      <w:r w:rsidR="0072580F" w:rsidRPr="00761599">
        <w:t>2</w:t>
      </w:r>
      <w:r w:rsidRPr="00761599">
        <w:t>b. The intensity colormap displayed in the Fig</w:t>
      </w:r>
      <w:r w:rsidR="0072580F" w:rsidRPr="00761599">
        <w:t>ure</w:t>
      </w:r>
      <w:r w:rsidRPr="00761599">
        <w:t xml:space="preserve"> S</w:t>
      </w:r>
      <w:r w:rsidR="0072580F" w:rsidRPr="00761599">
        <w:t>2</w:t>
      </w:r>
      <w:r w:rsidRPr="00761599">
        <w:t>c is the 1/100 magnitude of the Fig</w:t>
      </w:r>
      <w:r w:rsidR="0072580F" w:rsidRPr="00761599">
        <w:t>ure</w:t>
      </w:r>
      <w:r w:rsidRPr="00761599">
        <w:t xml:space="preserve"> S</w:t>
      </w:r>
      <w:r w:rsidR="0072580F" w:rsidRPr="00761599">
        <w:t>2</w:t>
      </w:r>
      <w:r w:rsidRPr="00761599">
        <w:t>b, which indicates the ignore of the term exp(</w:t>
      </w:r>
      <w:proofErr w:type="spellStart"/>
      <w:r w:rsidRPr="00761599">
        <w:t>i</w:t>
      </w:r>
      <w:r w:rsidRPr="00761599">
        <w:rPr>
          <w:i/>
          <w:iCs/>
        </w:rPr>
        <w:t>σξ</w:t>
      </w:r>
      <w:proofErr w:type="spellEnd"/>
      <w:r w:rsidRPr="00761599">
        <w:t>)/2 in the holographic design is reasonable.</w:t>
      </w:r>
    </w:p>
    <w:p w14:paraId="5551B4A8" w14:textId="3B3A4E92" w:rsidR="001C7C15" w:rsidRPr="00761599" w:rsidRDefault="00BE5BC9" w:rsidP="009D6881">
      <w:pPr>
        <w:jc w:val="center"/>
        <w:rPr>
          <w:b/>
          <w:bCs/>
        </w:rPr>
      </w:pPr>
      <w:r w:rsidRPr="00761599">
        <w:rPr>
          <w:noProof/>
        </w:rPr>
        <w:lastRenderedPageBreak/>
        <w:drawing>
          <wp:inline distT="0" distB="0" distL="0" distR="0" wp14:anchorId="55BB8017" wp14:editId="70E924EB">
            <wp:extent cx="5753100" cy="237172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2371725"/>
                    </a:xfrm>
                    <a:prstGeom prst="rect">
                      <a:avLst/>
                    </a:prstGeom>
                    <a:noFill/>
                    <a:ln>
                      <a:noFill/>
                    </a:ln>
                  </pic:spPr>
                </pic:pic>
              </a:graphicData>
            </a:graphic>
          </wp:inline>
        </w:drawing>
      </w:r>
    </w:p>
    <w:p w14:paraId="3A8C7C41" w14:textId="35DF0350" w:rsidR="001C7C15" w:rsidRPr="00761599" w:rsidRDefault="001C7C15" w:rsidP="00F80D12">
      <w:pPr>
        <w:pStyle w:val="Legend"/>
        <w:jc w:val="both"/>
      </w:pPr>
      <w:r w:rsidRPr="00761599">
        <w:rPr>
          <w:b/>
          <w:bCs/>
          <w:lang w:eastAsia="zh-CN"/>
        </w:rPr>
        <w:t>Figure S2.</w:t>
      </w:r>
      <w:r w:rsidRPr="00761599">
        <w:rPr>
          <w:lang w:eastAsia="zh-CN"/>
        </w:rPr>
        <w:t xml:space="preserve"> </w:t>
      </w:r>
      <w:r w:rsidRPr="00761599">
        <w:t>Compare the influence of term 1 and term 2 in the Eq</w:t>
      </w:r>
      <w:r w:rsidR="008C6D37" w:rsidRPr="00761599">
        <w:t>uation</w:t>
      </w:r>
      <w:r w:rsidRPr="00761599">
        <w:t xml:space="preserve"> 2. </w:t>
      </w:r>
      <w:proofErr w:type="spellStart"/>
      <w:r w:rsidRPr="00937504">
        <w:rPr>
          <w:b/>
          <w:bCs/>
        </w:rPr>
        <w:t>a</w:t>
      </w:r>
      <w:proofErr w:type="spellEnd"/>
      <w:r w:rsidRPr="00761599">
        <w:t xml:space="preserve"> </w:t>
      </w:r>
      <w:proofErr w:type="gramStart"/>
      <w:r w:rsidRPr="00761599">
        <w:t>The</w:t>
      </w:r>
      <w:proofErr w:type="gramEnd"/>
      <w:r w:rsidRPr="00761599">
        <w:t xml:space="preserve"> calculated resonator orientation angle distribution. </w:t>
      </w:r>
      <w:r w:rsidRPr="00937504">
        <w:rPr>
          <w:b/>
          <w:bCs/>
        </w:rPr>
        <w:t>b</w:t>
      </w:r>
      <w:r w:rsidRPr="00761599">
        <w:t xml:space="preserve"> Calculated field intensities of the term 1 in the Eq</w:t>
      </w:r>
      <w:r w:rsidR="008C6D37" w:rsidRPr="00761599">
        <w:t>uation</w:t>
      </w:r>
      <w:r w:rsidRPr="00761599">
        <w:t xml:space="preserve"> 2. </w:t>
      </w:r>
      <w:r w:rsidRPr="00937504">
        <w:rPr>
          <w:b/>
          <w:bCs/>
        </w:rPr>
        <w:t>c</w:t>
      </w:r>
      <w:r w:rsidRPr="00761599">
        <w:t xml:space="preserve"> Calculated field intensities of the term 2 in the Eq</w:t>
      </w:r>
      <w:r w:rsidR="008C6D37" w:rsidRPr="00761599">
        <w:t>uation</w:t>
      </w:r>
      <w:r w:rsidRPr="00761599">
        <w:t xml:space="preserve"> 2.</w:t>
      </w:r>
    </w:p>
    <w:p w14:paraId="002C0F9A" w14:textId="0151F9B0" w:rsidR="001C7C15" w:rsidRDefault="001C7C15" w:rsidP="009D6881">
      <w:pPr>
        <w:pStyle w:val="MainText"/>
      </w:pPr>
    </w:p>
    <w:p w14:paraId="20C31800" w14:textId="77777777" w:rsidR="004B5641" w:rsidRPr="00761599" w:rsidRDefault="004B5641" w:rsidP="004B5641">
      <w:pPr>
        <w:pStyle w:val="MainText"/>
      </w:pPr>
    </w:p>
    <w:p w14:paraId="777C6D0C" w14:textId="2BF916A2" w:rsidR="004B5641" w:rsidRPr="00761599" w:rsidRDefault="004B5641" w:rsidP="004B5641">
      <w:pPr>
        <w:pStyle w:val="Head1"/>
      </w:pPr>
      <w:r w:rsidRPr="00761599">
        <w:t xml:space="preserve">C. </w:t>
      </w:r>
      <w:r w:rsidR="007C0A5A">
        <w:t>Simulated</w:t>
      </w:r>
      <w:r w:rsidR="00155A3D" w:rsidRPr="00155A3D">
        <w:t xml:space="preserve"> </w:t>
      </w:r>
      <w:r w:rsidR="00155A3D">
        <w:t>response</w:t>
      </w:r>
      <w:r w:rsidR="00155A3D" w:rsidRPr="00761599">
        <w:t xml:space="preserve"> </w:t>
      </w:r>
      <w:r w:rsidR="00155A3D">
        <w:t xml:space="preserve">of the </w:t>
      </w:r>
      <w:r w:rsidR="00155A3D" w:rsidRPr="00761599">
        <w:t>connected-double-ring slit</w:t>
      </w:r>
      <w:r w:rsidR="00937504" w:rsidRPr="00761599">
        <w:t xml:space="preserve"> resonator</w:t>
      </w:r>
      <w:r w:rsidR="00937504">
        <w:t xml:space="preserve"> </w:t>
      </w:r>
    </w:p>
    <w:p w14:paraId="406B5A4F" w14:textId="72F3D4FD" w:rsidR="004B5641" w:rsidRDefault="004B5641" w:rsidP="000F2F46">
      <w:pPr>
        <w:pStyle w:val="MainText"/>
        <w:jc w:val="center"/>
      </w:pPr>
      <w:r>
        <w:rPr>
          <w:noProof/>
        </w:rPr>
        <w:drawing>
          <wp:inline distT="0" distB="0" distL="0" distR="0" wp14:anchorId="4631374C" wp14:editId="07956151">
            <wp:extent cx="3594100" cy="288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94100" cy="2882900"/>
                    </a:xfrm>
                    <a:prstGeom prst="rect">
                      <a:avLst/>
                    </a:prstGeom>
                  </pic:spPr>
                </pic:pic>
              </a:graphicData>
            </a:graphic>
          </wp:inline>
        </w:drawing>
      </w:r>
    </w:p>
    <w:p w14:paraId="0F3EE98C" w14:textId="0D46804A" w:rsidR="004B5641" w:rsidRDefault="004B5641" w:rsidP="000F2F46">
      <w:pPr>
        <w:pStyle w:val="MainText"/>
        <w:spacing w:line="240" w:lineRule="auto"/>
        <w:jc w:val="both"/>
        <w:rPr>
          <w:b/>
          <w:bCs/>
        </w:rPr>
      </w:pPr>
      <w:r w:rsidRPr="00761599">
        <w:rPr>
          <w:b/>
          <w:bCs/>
        </w:rPr>
        <w:t>Figure S3.</w:t>
      </w:r>
      <w:r w:rsidRPr="004B5641">
        <w:t xml:space="preserve"> </w:t>
      </w:r>
      <w:r w:rsidRPr="004B5641">
        <w:t xml:space="preserve">The simulated SP excitations of </w:t>
      </w:r>
      <w:r w:rsidRPr="004B5641">
        <w:rPr>
          <w:i/>
          <w:iCs/>
        </w:rPr>
        <w:t>E</w:t>
      </w:r>
      <w:r w:rsidRPr="004B5641">
        <w:rPr>
          <w:rFonts w:ascii="SimSun" w:eastAsia="SimSun" w:hAnsi="SimSun" w:cs="SimSun" w:hint="eastAsia"/>
          <w:vertAlign w:val="subscript"/>
        </w:rPr>
        <w:t>∥</w:t>
      </w:r>
      <w:r w:rsidRPr="004B5641">
        <w:t xml:space="preserve"> and </w:t>
      </w:r>
      <w:r w:rsidRPr="004B5641">
        <w:rPr>
          <w:i/>
          <w:iCs/>
        </w:rPr>
        <w:t>E</w:t>
      </w:r>
      <w:r w:rsidRPr="004B5641">
        <w:rPr>
          <w:rFonts w:ascii="SimSun" w:eastAsia="SimSun" w:hAnsi="SimSun" w:cs="SimSun" w:hint="eastAsia"/>
          <w:vertAlign w:val="subscript"/>
        </w:rPr>
        <w:t>⊥</w:t>
      </w:r>
      <w:r w:rsidRPr="004B5641">
        <w:t xml:space="preserve">, respectively, under the linear incidences polarized parallel and perpendicular to the connect arm of the resonator. </w:t>
      </w:r>
      <w:r w:rsidR="00950CF9">
        <w:t>In</w:t>
      </w:r>
      <w:r w:rsidRPr="004B5641">
        <w:t xml:space="preserve"> a broadband range, the SP excitation of </w:t>
      </w:r>
      <w:r w:rsidRPr="004B5641">
        <w:rPr>
          <w:i/>
          <w:iCs/>
        </w:rPr>
        <w:t>E</w:t>
      </w:r>
      <w:r w:rsidRPr="004B5641">
        <w:rPr>
          <w:rFonts w:ascii="SimSun" w:eastAsia="SimSun" w:hAnsi="SimSun" w:cs="SimSun" w:hint="eastAsia"/>
          <w:vertAlign w:val="subscript"/>
        </w:rPr>
        <w:t>∥</w:t>
      </w:r>
      <w:r w:rsidRPr="004B5641">
        <w:t xml:space="preserve"> is much larger than that of</w:t>
      </w:r>
      <w:r w:rsidRPr="004B5641">
        <w:rPr>
          <w:i/>
          <w:iCs/>
        </w:rPr>
        <w:t xml:space="preserve"> E</w:t>
      </w:r>
      <w:r w:rsidRPr="004B5641">
        <w:rPr>
          <w:rFonts w:ascii="SimSun" w:eastAsia="SimSun" w:hAnsi="SimSun" w:cs="SimSun" w:hint="eastAsia"/>
          <w:vertAlign w:val="subscript"/>
        </w:rPr>
        <w:t>⊥</w:t>
      </w:r>
      <w:r w:rsidRPr="004B5641">
        <w:t xml:space="preserve">, complying the condition that can only be excited by incidence component polarized along its orientation direction. </w:t>
      </w:r>
      <w:r w:rsidR="00950CF9">
        <w:t>As shown in the Fig. 2a, t</w:t>
      </w:r>
      <w:r w:rsidRPr="00761599">
        <w:t xml:space="preserve">he connected-double-ring resonator </w:t>
      </w:r>
      <w:r w:rsidR="00ED7470">
        <w:rPr>
          <w:rFonts w:hint="eastAsia"/>
          <w:lang w:eastAsia="zh-CN"/>
        </w:rPr>
        <w:t>is</w:t>
      </w:r>
      <w:r w:rsidR="00ED7470">
        <w:rPr>
          <w:lang w:eastAsia="zh-CN"/>
        </w:rPr>
        <w:t xml:space="preserve"> </w:t>
      </w:r>
      <w:r w:rsidRPr="00761599">
        <w:t xml:space="preserve">located in </w:t>
      </w:r>
      <w:proofErr w:type="spellStart"/>
      <w:r w:rsidRPr="00761599">
        <w:rPr>
          <w:i/>
          <w:iCs/>
        </w:rPr>
        <w:t>xy</w:t>
      </w:r>
      <w:proofErr w:type="spellEnd"/>
      <w:r w:rsidRPr="00761599">
        <w:t xml:space="preserve">-plane (lower surface at </w:t>
      </w:r>
      <w:r w:rsidRPr="00761599">
        <w:rPr>
          <w:i/>
          <w:iCs/>
        </w:rPr>
        <w:t>z</w:t>
      </w:r>
      <w:r w:rsidRPr="00761599">
        <w:t xml:space="preserve"> = 0), </w:t>
      </w:r>
      <w:bookmarkStart w:id="1" w:name="_Hlk93427295"/>
      <w:r w:rsidRPr="00761599">
        <w:t xml:space="preserve">open boundary conditions </w:t>
      </w:r>
      <w:r w:rsidR="00ED7470">
        <w:rPr>
          <w:rFonts w:hint="eastAsia"/>
          <w:lang w:eastAsia="zh-CN"/>
        </w:rPr>
        <w:t>are</w:t>
      </w:r>
      <w:r w:rsidR="00ED7470">
        <w:rPr>
          <w:lang w:eastAsia="zh-CN"/>
        </w:rPr>
        <w:t xml:space="preserve"> </w:t>
      </w:r>
      <w:r w:rsidRPr="00761599">
        <w:t xml:space="preserve">applied to the </w:t>
      </w:r>
      <w:r w:rsidRPr="00761599">
        <w:rPr>
          <w:i/>
          <w:iCs/>
        </w:rPr>
        <w:t>x</w:t>
      </w:r>
      <w:r w:rsidRPr="00761599">
        <w:t xml:space="preserve"> and </w:t>
      </w:r>
      <w:r w:rsidRPr="00761599">
        <w:rPr>
          <w:i/>
          <w:iCs/>
        </w:rPr>
        <w:t>z</w:t>
      </w:r>
      <w:r w:rsidRPr="00761599">
        <w:t xml:space="preserve"> directions</w:t>
      </w:r>
      <w:bookmarkEnd w:id="1"/>
      <w:r w:rsidRPr="00761599">
        <w:t xml:space="preserve">, and periodic boundary condition </w:t>
      </w:r>
      <w:r w:rsidR="00ED7470">
        <w:rPr>
          <w:rFonts w:hint="eastAsia"/>
          <w:lang w:eastAsia="zh-CN"/>
        </w:rPr>
        <w:t>is</w:t>
      </w:r>
      <w:r w:rsidR="00ED7470">
        <w:rPr>
          <w:lang w:eastAsia="zh-CN"/>
        </w:rPr>
        <w:t xml:space="preserve"> </w:t>
      </w:r>
      <w:r w:rsidRPr="00761599">
        <w:t xml:space="preserve">applied to the </w:t>
      </w:r>
      <w:r w:rsidRPr="00761599">
        <w:rPr>
          <w:i/>
          <w:iCs/>
        </w:rPr>
        <w:t>y</w:t>
      </w:r>
      <w:r w:rsidRPr="00761599">
        <w:t xml:space="preserve"> direction. The excitation source is an </w:t>
      </w:r>
      <w:r w:rsidRPr="00761599">
        <w:rPr>
          <w:i/>
          <w:iCs/>
        </w:rPr>
        <w:t>x</w:t>
      </w:r>
      <w:r w:rsidRPr="00761599">
        <w:t xml:space="preserve">-polarized plane wave imping from the substrate side. By rotating the resonator connected arm to be parallel and perpendicular to </w:t>
      </w:r>
      <w:r w:rsidRPr="00761599">
        <w:rPr>
          <w:i/>
          <w:iCs/>
        </w:rPr>
        <w:t>x</w:t>
      </w:r>
      <w:r w:rsidRPr="00761599">
        <w:t xml:space="preserve">-axis, </w:t>
      </w:r>
      <w:r w:rsidRPr="00761599">
        <w:rPr>
          <w:i/>
          <w:iCs/>
        </w:rPr>
        <w:t>E</w:t>
      </w:r>
      <w:r w:rsidRPr="00761599">
        <w:rPr>
          <w:rFonts w:ascii="SimSun" w:eastAsia="SimSun" w:hAnsi="SimSun" w:cs="SimSun" w:hint="eastAsia"/>
          <w:vertAlign w:val="subscript"/>
        </w:rPr>
        <w:t>∥</w:t>
      </w:r>
      <w:r w:rsidRPr="00761599">
        <w:t xml:space="preserve"> and </w:t>
      </w:r>
      <w:r w:rsidRPr="00761599">
        <w:rPr>
          <w:i/>
          <w:iCs/>
        </w:rPr>
        <w:t>E</w:t>
      </w:r>
      <w:r w:rsidRPr="00761599">
        <w:rPr>
          <w:rFonts w:ascii="SimSun" w:eastAsia="SimSun" w:hAnsi="SimSun" w:cs="SimSun" w:hint="eastAsia"/>
          <w:vertAlign w:val="subscript"/>
        </w:rPr>
        <w:t>⊥</w:t>
      </w:r>
      <w:r w:rsidRPr="00761599">
        <w:t xml:space="preserve"> can thus be obtained by setting a </w:t>
      </w:r>
      <w:proofErr w:type="spellStart"/>
      <w:r w:rsidRPr="00761599">
        <w:rPr>
          <w:i/>
          <w:iCs/>
        </w:rPr>
        <w:t>E</w:t>
      </w:r>
      <w:r w:rsidRPr="00761599">
        <w:rPr>
          <w:i/>
          <w:iCs/>
          <w:vertAlign w:val="subscript"/>
        </w:rPr>
        <w:t>z</w:t>
      </w:r>
      <w:proofErr w:type="spellEnd"/>
      <w:r w:rsidRPr="00761599">
        <w:t xml:space="preserve">-field probe at the position (1750, 0, 50 </w:t>
      </w:r>
      <w:proofErr w:type="spellStart"/>
      <w:r w:rsidRPr="00761599">
        <w:t>μm</w:t>
      </w:r>
      <w:proofErr w:type="spellEnd"/>
      <w:r w:rsidRPr="00761599">
        <w:t>).</w:t>
      </w:r>
    </w:p>
    <w:p w14:paraId="1C8738D5" w14:textId="77777777" w:rsidR="004B5641" w:rsidRPr="00761599" w:rsidRDefault="004B5641" w:rsidP="009D6881">
      <w:pPr>
        <w:pStyle w:val="MainText"/>
      </w:pPr>
    </w:p>
    <w:p w14:paraId="355F3900" w14:textId="38C1A960" w:rsidR="001C7C15" w:rsidRPr="00761599" w:rsidRDefault="00881762" w:rsidP="00B3458F">
      <w:pPr>
        <w:pStyle w:val="Head1"/>
      </w:pPr>
      <w:r>
        <w:lastRenderedPageBreak/>
        <w:t>D</w:t>
      </w:r>
      <w:r w:rsidR="001C7C15" w:rsidRPr="00761599">
        <w:t xml:space="preserve">. </w:t>
      </w:r>
      <w:proofErr w:type="spellStart"/>
      <w:r w:rsidR="001C7C15" w:rsidRPr="00761599">
        <w:t>Metalens</w:t>
      </w:r>
      <w:proofErr w:type="spellEnd"/>
      <w:r w:rsidR="001C7C15" w:rsidRPr="00761599">
        <w:t xml:space="preserve"> III</w:t>
      </w:r>
    </w:p>
    <w:p w14:paraId="211A755E" w14:textId="76A01B10" w:rsidR="001C7C15" w:rsidRPr="00761599" w:rsidRDefault="00FC4173" w:rsidP="00331A2E">
      <w:pPr>
        <w:jc w:val="center"/>
      </w:pPr>
      <w:r w:rsidRPr="00761599">
        <w:rPr>
          <w:noProof/>
        </w:rPr>
        <w:drawing>
          <wp:inline distT="0" distB="0" distL="0" distR="0" wp14:anchorId="19BC2F7A" wp14:editId="3C4322F0">
            <wp:extent cx="5753100" cy="41148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4114800"/>
                    </a:xfrm>
                    <a:prstGeom prst="rect">
                      <a:avLst/>
                    </a:prstGeom>
                    <a:noFill/>
                    <a:ln>
                      <a:noFill/>
                    </a:ln>
                  </pic:spPr>
                </pic:pic>
              </a:graphicData>
            </a:graphic>
          </wp:inline>
        </w:drawing>
      </w:r>
    </w:p>
    <w:p w14:paraId="0F155A23" w14:textId="49208921" w:rsidR="001C7C15" w:rsidRPr="00761599" w:rsidRDefault="001C7C15" w:rsidP="00F80D12">
      <w:pPr>
        <w:pStyle w:val="Legend"/>
        <w:jc w:val="both"/>
      </w:pPr>
      <w:bookmarkStart w:id="2" w:name="_Hlk93425222"/>
      <w:r w:rsidRPr="00761599">
        <w:rPr>
          <w:b/>
          <w:bCs/>
        </w:rPr>
        <w:t>Figure S</w:t>
      </w:r>
      <w:r w:rsidR="00881762">
        <w:rPr>
          <w:b/>
          <w:bCs/>
        </w:rPr>
        <w:t>4</w:t>
      </w:r>
      <w:r w:rsidRPr="00761599">
        <w:rPr>
          <w:b/>
          <w:bCs/>
        </w:rPr>
        <w:t xml:space="preserve">. </w:t>
      </w:r>
      <w:r w:rsidRPr="00145A36">
        <w:rPr>
          <w:b/>
          <w:bCs/>
        </w:rPr>
        <w:t>a</w:t>
      </w:r>
      <w:r w:rsidRPr="00761599">
        <w:t xml:space="preserve"> Schematics of the </w:t>
      </w:r>
      <w:proofErr w:type="spellStart"/>
      <w:r w:rsidRPr="00761599">
        <w:t>metalensing</w:t>
      </w:r>
      <w:proofErr w:type="spellEnd"/>
      <w:r w:rsidRPr="00761599">
        <w:t xml:space="preserve"> towards opposite directions under the CP incidences of four wavelengths and two spin directions. </w:t>
      </w:r>
      <w:r w:rsidRPr="00145A36">
        <w:rPr>
          <w:b/>
          <w:bCs/>
        </w:rPr>
        <w:t>b</w:t>
      </w:r>
      <w:r w:rsidR="00145A36">
        <w:t xml:space="preserve"> and</w:t>
      </w:r>
      <w:r w:rsidRPr="00761599">
        <w:t xml:space="preserve"> </w:t>
      </w:r>
      <w:r w:rsidRPr="00145A36">
        <w:rPr>
          <w:b/>
          <w:bCs/>
        </w:rPr>
        <w:t>c</w:t>
      </w:r>
      <w:r w:rsidRPr="00761599">
        <w:t xml:space="preserve"> </w:t>
      </w:r>
      <w:proofErr w:type="gramStart"/>
      <w:r w:rsidRPr="00761599">
        <w:t>The</w:t>
      </w:r>
      <w:proofErr w:type="gramEnd"/>
      <w:r w:rsidRPr="00761599">
        <w:t xml:space="preserve"> calculated resonator orientation angle distributions and </w:t>
      </w:r>
      <w:r w:rsidRPr="00761599">
        <w:rPr>
          <w:lang w:eastAsia="zh-CN"/>
        </w:rPr>
        <w:t>the</w:t>
      </w:r>
      <w:r w:rsidRPr="00761599">
        <w:t xml:space="preserve"> microscopic image of the </w:t>
      </w:r>
      <w:proofErr w:type="spellStart"/>
      <w:r w:rsidRPr="00761599">
        <w:t>Metalens</w:t>
      </w:r>
      <w:proofErr w:type="spellEnd"/>
      <w:r w:rsidRPr="00761599">
        <w:t xml:space="preserve"> III. </w:t>
      </w:r>
      <w:r w:rsidRPr="00145A36">
        <w:rPr>
          <w:b/>
          <w:bCs/>
        </w:rPr>
        <w:t>d</w:t>
      </w:r>
      <w:r w:rsidR="00145A36">
        <w:rPr>
          <w:b/>
          <w:bCs/>
        </w:rPr>
        <w:t xml:space="preserve"> </w:t>
      </w:r>
      <w:r w:rsidR="00145A36">
        <w:t>and</w:t>
      </w:r>
      <w:r w:rsidRPr="00761599">
        <w:t xml:space="preserve"> </w:t>
      </w:r>
      <w:r w:rsidRPr="00145A36">
        <w:rPr>
          <w:b/>
          <w:bCs/>
        </w:rPr>
        <w:t>e</w:t>
      </w:r>
      <w:r w:rsidRPr="00761599">
        <w:t xml:space="preserve"> Calculated and measured SP intensity distributions under the different CP incidences. The colormaps of each wavelength are normalized by the maximum intensity at the focus spots of two spins, respectively, in calculation and measurements.</w:t>
      </w:r>
      <w:bookmarkEnd w:id="2"/>
    </w:p>
    <w:p w14:paraId="7EBB9B47" w14:textId="77777777" w:rsidR="00881762" w:rsidRPr="00761599" w:rsidRDefault="00881762" w:rsidP="00881762">
      <w:pPr>
        <w:pStyle w:val="MainText"/>
      </w:pPr>
    </w:p>
    <w:p w14:paraId="7E40DCBD" w14:textId="77777777" w:rsidR="00881762" w:rsidRPr="00761599" w:rsidRDefault="00881762" w:rsidP="00881762">
      <w:pPr>
        <w:pStyle w:val="MainText"/>
      </w:pPr>
    </w:p>
    <w:p w14:paraId="196138DF" w14:textId="77777777" w:rsidR="00881762" w:rsidRPr="00761599" w:rsidRDefault="00881762" w:rsidP="00881762">
      <w:pPr>
        <w:pStyle w:val="MainText"/>
      </w:pPr>
    </w:p>
    <w:p w14:paraId="41CF8061" w14:textId="77777777" w:rsidR="00881762" w:rsidRPr="00761599" w:rsidRDefault="00881762" w:rsidP="00881762">
      <w:pPr>
        <w:pStyle w:val="MainText"/>
      </w:pPr>
    </w:p>
    <w:p w14:paraId="507CDA03" w14:textId="77777777" w:rsidR="00881762" w:rsidRPr="00761599" w:rsidRDefault="00881762" w:rsidP="00881762">
      <w:pPr>
        <w:pStyle w:val="MainText"/>
      </w:pPr>
    </w:p>
    <w:p w14:paraId="60C47796" w14:textId="77777777" w:rsidR="00881762" w:rsidRPr="00761599" w:rsidRDefault="00881762" w:rsidP="00881762">
      <w:pPr>
        <w:pStyle w:val="MainText"/>
      </w:pPr>
    </w:p>
    <w:p w14:paraId="6C2C8ECE" w14:textId="77777777" w:rsidR="00881762" w:rsidRPr="00761599" w:rsidRDefault="00881762" w:rsidP="00881762">
      <w:pPr>
        <w:pStyle w:val="MainText"/>
      </w:pPr>
    </w:p>
    <w:p w14:paraId="046F6276" w14:textId="77777777" w:rsidR="00881762" w:rsidRPr="00761599" w:rsidRDefault="00881762" w:rsidP="00881762">
      <w:pPr>
        <w:pStyle w:val="MainText"/>
      </w:pPr>
    </w:p>
    <w:p w14:paraId="4020F274" w14:textId="77777777" w:rsidR="00881762" w:rsidRPr="00761599" w:rsidRDefault="00881762" w:rsidP="00881762">
      <w:pPr>
        <w:pStyle w:val="MainText"/>
      </w:pPr>
    </w:p>
    <w:p w14:paraId="2E0DFE6A" w14:textId="77777777" w:rsidR="009D6881" w:rsidRPr="00761599" w:rsidRDefault="009D6881" w:rsidP="009D6881">
      <w:pPr>
        <w:pStyle w:val="MainText"/>
      </w:pPr>
    </w:p>
    <w:p w14:paraId="5DF3E3DD" w14:textId="16C40D13" w:rsidR="001C7C15" w:rsidRPr="00761599" w:rsidRDefault="00881762" w:rsidP="00B3458F">
      <w:pPr>
        <w:pStyle w:val="Head1"/>
      </w:pPr>
      <w:r>
        <w:lastRenderedPageBreak/>
        <w:t>E</w:t>
      </w:r>
      <w:r w:rsidR="001C7C15" w:rsidRPr="00761599">
        <w:t xml:space="preserve">. </w:t>
      </w:r>
      <w:proofErr w:type="spellStart"/>
      <w:r w:rsidR="001C7C15" w:rsidRPr="00761599">
        <w:t>Metalens</w:t>
      </w:r>
      <w:proofErr w:type="spellEnd"/>
      <w:r w:rsidR="001C7C15" w:rsidRPr="00761599">
        <w:t xml:space="preserve"> IV</w:t>
      </w:r>
    </w:p>
    <w:p w14:paraId="70798AB2" w14:textId="3DD9203C" w:rsidR="001C7C15" w:rsidRPr="00761599" w:rsidRDefault="00BE5BC9" w:rsidP="00BE5BC9">
      <w:pPr>
        <w:jc w:val="center"/>
      </w:pPr>
      <w:r w:rsidRPr="00761599">
        <w:rPr>
          <w:noProof/>
        </w:rPr>
        <w:drawing>
          <wp:inline distT="0" distB="0" distL="0" distR="0" wp14:anchorId="653921D6" wp14:editId="1B163417">
            <wp:extent cx="5753100" cy="41148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4114800"/>
                    </a:xfrm>
                    <a:prstGeom prst="rect">
                      <a:avLst/>
                    </a:prstGeom>
                    <a:noFill/>
                    <a:ln>
                      <a:noFill/>
                    </a:ln>
                  </pic:spPr>
                </pic:pic>
              </a:graphicData>
            </a:graphic>
          </wp:inline>
        </w:drawing>
      </w:r>
    </w:p>
    <w:p w14:paraId="01CAC0B6" w14:textId="619F255F" w:rsidR="001C7C15" w:rsidRPr="00761599" w:rsidRDefault="001C7C15" w:rsidP="00F80D12">
      <w:pPr>
        <w:pStyle w:val="Legend"/>
        <w:jc w:val="both"/>
      </w:pPr>
      <w:r w:rsidRPr="00761599">
        <w:rPr>
          <w:b/>
          <w:bCs/>
        </w:rPr>
        <w:t>Figure S</w:t>
      </w:r>
      <w:r w:rsidR="00881762">
        <w:rPr>
          <w:b/>
          <w:bCs/>
        </w:rPr>
        <w:t>5</w:t>
      </w:r>
      <w:r w:rsidRPr="00761599">
        <w:rPr>
          <w:b/>
          <w:bCs/>
        </w:rPr>
        <w:t>.</w:t>
      </w:r>
      <w:r w:rsidRPr="00761599">
        <w:t xml:space="preserve"> </w:t>
      </w:r>
      <w:r w:rsidRPr="00145A36">
        <w:rPr>
          <w:b/>
          <w:bCs/>
        </w:rPr>
        <w:t>a</w:t>
      </w:r>
      <w:r w:rsidRPr="00761599">
        <w:t xml:space="preserve"> Schematics of the </w:t>
      </w:r>
      <w:proofErr w:type="spellStart"/>
      <w:r w:rsidRPr="00761599">
        <w:t>metalensing</w:t>
      </w:r>
      <w:proofErr w:type="spellEnd"/>
      <w:r w:rsidRPr="00761599">
        <w:t xml:space="preserve"> towards the same direction under the CP incidences of four wavelengths and two spin directions. </w:t>
      </w:r>
      <w:r w:rsidRPr="00145A36">
        <w:rPr>
          <w:b/>
          <w:bCs/>
        </w:rPr>
        <w:t>b</w:t>
      </w:r>
      <w:r w:rsidR="00145A36">
        <w:t xml:space="preserve"> and</w:t>
      </w:r>
      <w:r w:rsidRPr="00761599">
        <w:t xml:space="preserve"> </w:t>
      </w:r>
      <w:r w:rsidRPr="00145A36">
        <w:rPr>
          <w:b/>
          <w:bCs/>
        </w:rPr>
        <w:t>c</w:t>
      </w:r>
      <w:r w:rsidRPr="00761599">
        <w:t xml:space="preserve"> </w:t>
      </w:r>
      <w:proofErr w:type="gramStart"/>
      <w:r w:rsidRPr="00761599">
        <w:t>The</w:t>
      </w:r>
      <w:proofErr w:type="gramEnd"/>
      <w:r w:rsidRPr="00761599">
        <w:t xml:space="preserve"> calculated resonator orientation angle distributions and the microscopic image of the </w:t>
      </w:r>
      <w:proofErr w:type="spellStart"/>
      <w:r w:rsidRPr="00761599">
        <w:t>Metalens</w:t>
      </w:r>
      <w:proofErr w:type="spellEnd"/>
      <w:r w:rsidRPr="00761599">
        <w:t xml:space="preserve"> IV. </w:t>
      </w:r>
      <w:r w:rsidRPr="00145A36">
        <w:rPr>
          <w:b/>
          <w:bCs/>
        </w:rPr>
        <w:t>d</w:t>
      </w:r>
      <w:r w:rsidR="00145A36">
        <w:rPr>
          <w:b/>
          <w:bCs/>
        </w:rPr>
        <w:t xml:space="preserve"> </w:t>
      </w:r>
      <w:r w:rsidR="00145A36">
        <w:t>and</w:t>
      </w:r>
      <w:r w:rsidRPr="00761599">
        <w:t xml:space="preserve"> </w:t>
      </w:r>
      <w:r w:rsidRPr="00145A36">
        <w:rPr>
          <w:b/>
          <w:bCs/>
        </w:rPr>
        <w:t>e</w:t>
      </w:r>
      <w:r w:rsidRPr="00761599">
        <w:t xml:space="preserve"> Calculated and measured SP intensity distributions under the different CP incidences. The colormaps of each wavelength are normalized by the maximum intensity at the focus spots of two spins, respectively, in calculation and measurements.</w:t>
      </w:r>
    </w:p>
    <w:p w14:paraId="5A4FA4E9" w14:textId="77777777" w:rsidR="001C7C15" w:rsidRPr="00761599" w:rsidRDefault="001C7C15" w:rsidP="009D6881">
      <w:pPr>
        <w:pStyle w:val="MainText"/>
      </w:pPr>
    </w:p>
    <w:p w14:paraId="3C767196" w14:textId="77777777" w:rsidR="001C7C15" w:rsidRPr="00761599" w:rsidRDefault="001C7C15" w:rsidP="009D6881">
      <w:pPr>
        <w:pStyle w:val="MainText"/>
      </w:pPr>
    </w:p>
    <w:p w14:paraId="26F06A66" w14:textId="77777777" w:rsidR="001C7C15" w:rsidRPr="00761599" w:rsidRDefault="001C7C15" w:rsidP="009D6881">
      <w:pPr>
        <w:pStyle w:val="MainText"/>
      </w:pPr>
    </w:p>
    <w:p w14:paraId="702E9BE6" w14:textId="77777777" w:rsidR="001C7C15" w:rsidRPr="00761599" w:rsidRDefault="001C7C15" w:rsidP="009D6881">
      <w:pPr>
        <w:pStyle w:val="MainText"/>
      </w:pPr>
    </w:p>
    <w:p w14:paraId="471FC662" w14:textId="77777777" w:rsidR="001C7C15" w:rsidRPr="00761599" w:rsidRDefault="001C7C15" w:rsidP="009D6881">
      <w:pPr>
        <w:pStyle w:val="MainText"/>
      </w:pPr>
    </w:p>
    <w:p w14:paraId="290A72F2" w14:textId="77777777" w:rsidR="001C7C15" w:rsidRPr="00761599" w:rsidRDefault="001C7C15" w:rsidP="009D6881">
      <w:pPr>
        <w:pStyle w:val="MainText"/>
      </w:pPr>
    </w:p>
    <w:p w14:paraId="10E8837C" w14:textId="76F4F6D8" w:rsidR="001C7C15" w:rsidRPr="00761599" w:rsidRDefault="001C7C15" w:rsidP="009D6881">
      <w:pPr>
        <w:pStyle w:val="MainText"/>
      </w:pPr>
    </w:p>
    <w:p w14:paraId="2EAEB5A1" w14:textId="0CDE1BBE" w:rsidR="00EA3EE0" w:rsidRDefault="00EA3EE0" w:rsidP="009D6881">
      <w:pPr>
        <w:pStyle w:val="MainText"/>
      </w:pPr>
    </w:p>
    <w:p w14:paraId="3FDAEE50" w14:textId="77777777" w:rsidR="00881762" w:rsidRPr="00761599" w:rsidRDefault="00881762" w:rsidP="009D6881">
      <w:pPr>
        <w:pStyle w:val="MainText"/>
      </w:pPr>
    </w:p>
    <w:p w14:paraId="20CDAA12" w14:textId="77777777" w:rsidR="00EA3EE0" w:rsidRPr="00761599" w:rsidRDefault="00EA3EE0" w:rsidP="009D6881">
      <w:pPr>
        <w:pStyle w:val="MainText"/>
      </w:pPr>
    </w:p>
    <w:p w14:paraId="652CBB36" w14:textId="5773C782" w:rsidR="001C7C15" w:rsidRPr="00761599" w:rsidRDefault="00881762" w:rsidP="00B3458F">
      <w:pPr>
        <w:pStyle w:val="Head1"/>
      </w:pPr>
      <w:r>
        <w:lastRenderedPageBreak/>
        <w:t>F</w:t>
      </w:r>
      <w:r w:rsidR="001C7C15" w:rsidRPr="00761599">
        <w:t>.</w:t>
      </w:r>
      <w:r w:rsidR="001C7C15" w:rsidRPr="00761599">
        <w:rPr>
          <w:noProof/>
          <w:lang w:eastAsia="zh-CN"/>
        </w:rPr>
        <w:t xml:space="preserve"> Quantitative analysis from Metalens I II III IV</w:t>
      </w:r>
    </w:p>
    <w:p w14:paraId="0016EE3F" w14:textId="520F0BEC" w:rsidR="001C7C15" w:rsidRPr="00EB2C68" w:rsidRDefault="005D6C01" w:rsidP="00EA3EE0">
      <w:pPr>
        <w:jc w:val="center"/>
        <w:rPr>
          <w:noProof/>
          <w:lang w:val="en-US" w:eastAsia="zh-CN"/>
        </w:rPr>
      </w:pPr>
      <w:r>
        <w:rPr>
          <w:noProof/>
          <w:lang w:val="en-US" w:eastAsia="zh-CN"/>
        </w:rPr>
        <w:drawing>
          <wp:inline distT="0" distB="0" distL="0" distR="0" wp14:anchorId="26494F00" wp14:editId="4B5CD3A4">
            <wp:extent cx="4178595" cy="79398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06022" cy="7991943"/>
                    </a:xfrm>
                    <a:prstGeom prst="rect">
                      <a:avLst/>
                    </a:prstGeom>
                  </pic:spPr>
                </pic:pic>
              </a:graphicData>
            </a:graphic>
          </wp:inline>
        </w:drawing>
      </w:r>
    </w:p>
    <w:p w14:paraId="0ABEA262" w14:textId="4938C95A" w:rsidR="001C7C15" w:rsidRDefault="001C7C15" w:rsidP="00F80D12">
      <w:pPr>
        <w:pStyle w:val="Legend"/>
        <w:jc w:val="both"/>
        <w:rPr>
          <w:noProof/>
          <w:lang w:eastAsia="zh-CN"/>
        </w:rPr>
      </w:pPr>
      <w:r w:rsidRPr="00761599">
        <w:rPr>
          <w:b/>
          <w:bCs/>
          <w:noProof/>
          <w:lang w:eastAsia="zh-CN"/>
        </w:rPr>
        <w:t>Figure S</w:t>
      </w:r>
      <w:r w:rsidR="00881762">
        <w:rPr>
          <w:b/>
          <w:bCs/>
          <w:noProof/>
          <w:lang w:eastAsia="zh-CN"/>
        </w:rPr>
        <w:t>6</w:t>
      </w:r>
      <w:r w:rsidRPr="00761599">
        <w:rPr>
          <w:b/>
          <w:bCs/>
          <w:noProof/>
          <w:lang w:eastAsia="zh-CN"/>
        </w:rPr>
        <w:t>.</w:t>
      </w:r>
      <w:r w:rsidRPr="00761599">
        <w:rPr>
          <w:noProof/>
          <w:lang w:eastAsia="zh-CN"/>
        </w:rPr>
        <w:t xml:space="preserve"> Corresponding spatial direction results extracted from the 6-mm radius in each measured SP profile. We normalized intensity spectra at each focal spot for the wavelengths of 600 μm, 525 μm, 450 μm, and 375 μm under the LCP and RCP incidences.</w:t>
      </w:r>
    </w:p>
    <w:p w14:paraId="0310E30B" w14:textId="77777777" w:rsidR="006423FD" w:rsidRDefault="006423FD" w:rsidP="00B3458F">
      <w:pPr>
        <w:pStyle w:val="Head1"/>
      </w:pPr>
    </w:p>
    <w:p w14:paraId="4E68459F" w14:textId="461FEBBB" w:rsidR="001C7C15" w:rsidRPr="00761599" w:rsidRDefault="00881762" w:rsidP="00B3458F">
      <w:pPr>
        <w:pStyle w:val="Head1"/>
      </w:pPr>
      <w:r>
        <w:lastRenderedPageBreak/>
        <w:t>G</w:t>
      </w:r>
      <w:r w:rsidR="001C7C15" w:rsidRPr="00761599">
        <w:t xml:space="preserve">. Ten-channel </w:t>
      </w:r>
      <w:proofErr w:type="spellStart"/>
      <w:r w:rsidR="001C7C15" w:rsidRPr="00761599">
        <w:t>metalens</w:t>
      </w:r>
      <w:proofErr w:type="spellEnd"/>
    </w:p>
    <w:p w14:paraId="1143B8DA" w14:textId="032DD342" w:rsidR="001C7C15" w:rsidRPr="00761599" w:rsidRDefault="00EA3EE0" w:rsidP="00EA3EE0">
      <w:pPr>
        <w:jc w:val="center"/>
        <w:rPr>
          <w:b/>
          <w:bCs/>
          <w:lang w:eastAsia="zh-CN"/>
        </w:rPr>
      </w:pPr>
      <w:r w:rsidRPr="00761599">
        <w:rPr>
          <w:b/>
          <w:bCs/>
          <w:noProof/>
          <w:lang w:eastAsia="zh-CN"/>
        </w:rPr>
        <w:drawing>
          <wp:inline distT="0" distB="0" distL="0" distR="0" wp14:anchorId="3F56ED7A" wp14:editId="16BD9C9C">
            <wp:extent cx="5753100" cy="30480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3048000"/>
                    </a:xfrm>
                    <a:prstGeom prst="rect">
                      <a:avLst/>
                    </a:prstGeom>
                    <a:noFill/>
                    <a:ln>
                      <a:noFill/>
                    </a:ln>
                  </pic:spPr>
                </pic:pic>
              </a:graphicData>
            </a:graphic>
          </wp:inline>
        </w:drawing>
      </w:r>
    </w:p>
    <w:p w14:paraId="6E174D86" w14:textId="5CA5C8BC" w:rsidR="001C7C15" w:rsidRPr="00761599" w:rsidRDefault="001C7C15" w:rsidP="00F80D12">
      <w:pPr>
        <w:pStyle w:val="Legend"/>
        <w:jc w:val="both"/>
      </w:pPr>
      <w:r w:rsidRPr="00761599">
        <w:rPr>
          <w:b/>
          <w:bCs/>
        </w:rPr>
        <w:t>Figure S</w:t>
      </w:r>
      <w:r w:rsidR="00881762">
        <w:rPr>
          <w:b/>
          <w:bCs/>
        </w:rPr>
        <w:t>7</w:t>
      </w:r>
      <w:r w:rsidRPr="00761599">
        <w:rPr>
          <w:b/>
          <w:bCs/>
        </w:rPr>
        <w:t xml:space="preserve">. </w:t>
      </w:r>
      <w:r w:rsidRPr="00761599">
        <w:t xml:space="preserve">By utilizing the holographic design principle, a ten-channel multiplexed focusing of SPs can easily be constructed with the identical </w:t>
      </w:r>
      <w:proofErr w:type="spellStart"/>
      <w:r w:rsidRPr="00761599">
        <w:t>metasurface</w:t>
      </w:r>
      <w:proofErr w:type="spellEnd"/>
      <w:r w:rsidRPr="00761599">
        <w:t xml:space="preserve"> region. The predefined focusing positions are located at a circle with radius of 6 mm as well. Five wavelengths of 550 </w:t>
      </w:r>
      <w:proofErr w:type="spellStart"/>
      <w:r w:rsidRPr="00761599">
        <w:t>μm</w:t>
      </w:r>
      <w:proofErr w:type="spellEnd"/>
      <w:r w:rsidRPr="00761599">
        <w:t xml:space="preserve">, 500 </w:t>
      </w:r>
      <w:proofErr w:type="spellStart"/>
      <w:r w:rsidRPr="00761599">
        <w:t>μm</w:t>
      </w:r>
      <w:proofErr w:type="spellEnd"/>
      <w:r w:rsidRPr="00761599">
        <w:t xml:space="preserve">, 450 </w:t>
      </w:r>
      <w:proofErr w:type="spellStart"/>
      <w:r w:rsidRPr="00761599">
        <w:t>μm</w:t>
      </w:r>
      <w:proofErr w:type="spellEnd"/>
      <w:r w:rsidRPr="00761599">
        <w:t xml:space="preserve">, 400 </w:t>
      </w:r>
      <w:proofErr w:type="spellStart"/>
      <w:r w:rsidRPr="00761599">
        <w:t>μm</w:t>
      </w:r>
      <w:proofErr w:type="spellEnd"/>
      <w:r w:rsidRPr="00761599">
        <w:t xml:space="preserve">, and 350 </w:t>
      </w:r>
      <w:proofErr w:type="spellStart"/>
      <w:r w:rsidRPr="00761599">
        <w:t>μm</w:t>
      </w:r>
      <w:proofErr w:type="spellEnd"/>
      <w:r w:rsidRPr="00761599">
        <w:t xml:space="preserve"> are chosen and respectively route to the azimuth angle</w:t>
      </w:r>
      <w:r w:rsidRPr="00761599">
        <w:rPr>
          <w:lang w:eastAsia="zh-CN"/>
        </w:rPr>
        <w:t>s</w:t>
      </w:r>
      <w:r w:rsidRPr="00761599">
        <w:t xml:space="preserve"> of 3π/5, 4π/5, π, –4π/5, and –3π/5 for LCP incidences. For RCP incidences the focusing positions are opposite to that of the LCP cases. In the simulation, a CP plane wave is set to the incidence from the bottom of a 2 </w:t>
      </w:r>
      <w:proofErr w:type="spellStart"/>
      <w:r w:rsidRPr="00761599">
        <w:t>μm</w:t>
      </w:r>
      <w:proofErr w:type="spellEnd"/>
      <w:r w:rsidRPr="00761599">
        <w:t xml:space="preserve">-thick silicon substance with a 200 nm-thick patterned Al film covered a 10 </w:t>
      </w:r>
      <w:proofErr w:type="spellStart"/>
      <w:r w:rsidRPr="00761599">
        <w:t>μm</w:t>
      </w:r>
      <w:proofErr w:type="spellEnd"/>
      <w:r w:rsidRPr="00761599">
        <w:t xml:space="preserve">-thick polyimide layer and open boundary conditions are applied to all directions. The simulated </w:t>
      </w:r>
      <w:proofErr w:type="spellStart"/>
      <w:r w:rsidRPr="00761599">
        <w:rPr>
          <w:i/>
          <w:iCs/>
        </w:rPr>
        <w:t>Ez</w:t>
      </w:r>
      <w:proofErr w:type="spellEnd"/>
      <w:r w:rsidRPr="00761599">
        <w:t xml:space="preserve">-field distributions are extracted at the 50 </w:t>
      </w:r>
      <w:proofErr w:type="spellStart"/>
      <w:r w:rsidRPr="00761599">
        <w:t>μm</w:t>
      </w:r>
      <w:proofErr w:type="spellEnd"/>
      <w:r w:rsidRPr="00761599">
        <w:t xml:space="preserve"> surface above the dielectric layer. The colormaps of each wavelength are normalized by the maximum intensity at the focus spots of two spins.</w:t>
      </w:r>
    </w:p>
    <w:p w14:paraId="3AE5F1ED" w14:textId="77777777" w:rsidR="00EA3EE0" w:rsidRPr="00761599" w:rsidRDefault="00EA3EE0" w:rsidP="00EA3EE0">
      <w:pPr>
        <w:pStyle w:val="MainText"/>
      </w:pPr>
    </w:p>
    <w:p w14:paraId="2D0A1AAD" w14:textId="059C9E02" w:rsidR="001C7C15" w:rsidRPr="00761599" w:rsidRDefault="00881762" w:rsidP="00B3458F">
      <w:pPr>
        <w:pStyle w:val="Head1"/>
      </w:pPr>
      <w:r>
        <w:t>H</w:t>
      </w:r>
      <w:r w:rsidR="001C7C15" w:rsidRPr="00761599">
        <w:t xml:space="preserve">. </w:t>
      </w:r>
      <w:r w:rsidR="001C7C15" w:rsidRPr="00761599">
        <w:rPr>
          <w:lang w:eastAsia="zh-CN"/>
        </w:rPr>
        <w:t>Multi-channel focal intensity analysis</w:t>
      </w:r>
    </w:p>
    <w:p w14:paraId="77AE26B3" w14:textId="3316313C" w:rsidR="001C7C15" w:rsidRPr="00761599" w:rsidRDefault="00EA3EE0" w:rsidP="00EA3EE0">
      <w:pPr>
        <w:jc w:val="center"/>
      </w:pPr>
      <w:r w:rsidRPr="00761599">
        <w:rPr>
          <w:noProof/>
        </w:rPr>
        <w:drawing>
          <wp:inline distT="0" distB="0" distL="0" distR="0" wp14:anchorId="1A77B4E9" wp14:editId="7E87996F">
            <wp:extent cx="5753100" cy="1724025"/>
            <wp:effectExtent l="0" t="0" r="0"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1724025"/>
                    </a:xfrm>
                    <a:prstGeom prst="rect">
                      <a:avLst/>
                    </a:prstGeom>
                    <a:noFill/>
                    <a:ln>
                      <a:noFill/>
                    </a:ln>
                  </pic:spPr>
                </pic:pic>
              </a:graphicData>
            </a:graphic>
          </wp:inline>
        </w:drawing>
      </w:r>
    </w:p>
    <w:p w14:paraId="6F0FA8A5" w14:textId="7B43D1E9" w:rsidR="001C7C15" w:rsidRPr="00761599" w:rsidRDefault="001C7C15" w:rsidP="00F80D12">
      <w:pPr>
        <w:pStyle w:val="Legend"/>
        <w:jc w:val="both"/>
        <w:rPr>
          <w:rFonts w:eastAsia="SimSun"/>
          <w:shd w:val="clear" w:color="auto" w:fill="FFFFFF"/>
          <w:lang w:eastAsia="zh-CN"/>
        </w:rPr>
      </w:pPr>
      <w:r w:rsidRPr="00761599">
        <w:rPr>
          <w:b/>
          <w:bCs/>
          <w:lang w:eastAsia="zh-CN"/>
        </w:rPr>
        <w:t>Figure S</w:t>
      </w:r>
      <w:r w:rsidR="00881762">
        <w:rPr>
          <w:b/>
          <w:bCs/>
          <w:lang w:eastAsia="zh-CN"/>
        </w:rPr>
        <w:t>8</w:t>
      </w:r>
      <w:r w:rsidRPr="00761599">
        <w:rPr>
          <w:b/>
          <w:bCs/>
          <w:lang w:eastAsia="zh-CN"/>
        </w:rPr>
        <w:t>.</w:t>
      </w:r>
      <w:r w:rsidRPr="00761599">
        <w:rPr>
          <w:lang w:eastAsia="zh-CN"/>
        </w:rPr>
        <w:t xml:space="preserve"> </w:t>
      </w:r>
      <w:r w:rsidRPr="00761599">
        <w:rPr>
          <w:shd w:val="clear" w:color="auto" w:fill="FFFFFF"/>
          <w:lang w:eastAsia="zh-CN"/>
        </w:rPr>
        <w:t>T</w:t>
      </w:r>
      <w:r w:rsidRPr="00761599">
        <w:rPr>
          <w:shd w:val="clear" w:color="auto" w:fill="FFFFFF"/>
        </w:rPr>
        <w:t>he</w:t>
      </w:r>
      <w:r w:rsidRPr="00761599">
        <w:rPr>
          <w:shd w:val="clear" w:color="auto" w:fill="FFFFFF"/>
          <w:lang w:eastAsia="zh-CN"/>
        </w:rPr>
        <w:t xml:space="preserve"> stacked</w:t>
      </w:r>
      <w:r w:rsidRPr="00761599">
        <w:rPr>
          <w:shd w:val="clear" w:color="auto" w:fill="FFFFFF"/>
        </w:rPr>
        <w:t xml:space="preserve"> focus intensities </w:t>
      </w:r>
      <w:r w:rsidRPr="00761599">
        <w:rPr>
          <w:shd w:val="clear" w:color="auto" w:fill="FFFFFF"/>
          <w:lang w:eastAsia="zh-CN"/>
        </w:rPr>
        <w:t xml:space="preserve">are </w:t>
      </w:r>
      <w:r w:rsidRPr="00761599">
        <w:rPr>
          <w:shd w:val="clear" w:color="auto" w:fill="FFFFFF"/>
        </w:rPr>
        <w:t xml:space="preserve">respectively extracted from the calculated results from one to five wavelengths multiplexing. Due to the complete phase controllability and the simplicity of </w:t>
      </w:r>
      <w:r w:rsidRPr="00761599">
        <w:rPr>
          <w:shd w:val="clear" w:color="auto" w:fill="FFFFFF"/>
          <w:lang w:eastAsia="zh-CN"/>
        </w:rPr>
        <w:t xml:space="preserve">assigning all the imaginary source </w:t>
      </w:r>
      <w:r w:rsidRPr="00761599">
        <w:rPr>
          <w:i/>
          <w:iCs/>
          <w:shd w:val="clear" w:color="auto" w:fill="FFFFFF"/>
          <w:lang w:eastAsia="zh-CN"/>
        </w:rPr>
        <w:t>S</w:t>
      </w:r>
      <w:r w:rsidRPr="00761599">
        <w:rPr>
          <w:i/>
          <w:iCs/>
          <w:shd w:val="clear" w:color="auto" w:fill="FFFFFF"/>
          <w:vertAlign w:val="subscript"/>
          <w:lang w:eastAsia="zh-CN"/>
        </w:rPr>
        <w:t>n</w:t>
      </w:r>
      <w:r w:rsidRPr="00761599">
        <w:rPr>
          <w:shd w:val="clear" w:color="auto" w:fill="FFFFFF"/>
          <w:lang w:eastAsia="zh-CN"/>
        </w:rPr>
        <w:t xml:space="preserve"> to 1 in the holographic process,</w:t>
      </w:r>
      <w:r w:rsidRPr="00761599">
        <w:rPr>
          <w:shd w:val="clear" w:color="auto" w:fill="FFFFFF"/>
        </w:rPr>
        <w:t xml:space="preserve"> the intensity distributions are not</w:t>
      </w:r>
      <w:r w:rsidRPr="00761599">
        <w:t xml:space="preserve"> </w:t>
      </w:r>
      <w:r w:rsidRPr="00761599">
        <w:rPr>
          <w:shd w:val="clear" w:color="auto" w:fill="FFFFFF"/>
        </w:rPr>
        <w:t>absolute</w:t>
      </w:r>
      <w:r w:rsidRPr="00761599">
        <w:rPr>
          <w:shd w:val="clear" w:color="auto" w:fill="FFFFFF"/>
          <w:lang w:eastAsia="zh-CN"/>
        </w:rPr>
        <w:t>ly</w:t>
      </w:r>
      <w:r w:rsidRPr="00761599">
        <w:rPr>
          <w:shd w:val="clear" w:color="auto" w:fill="FFFFFF"/>
        </w:rPr>
        <w:t xml:space="preserve"> uniform for different wavelength</w:t>
      </w:r>
      <w:r w:rsidRPr="00761599">
        <w:rPr>
          <w:shd w:val="clear" w:color="auto" w:fill="FFFFFF"/>
          <w:lang w:eastAsia="zh-CN"/>
        </w:rPr>
        <w:t>s.</w:t>
      </w:r>
      <w:r w:rsidRPr="00761599">
        <w:rPr>
          <w:shd w:val="clear" w:color="auto" w:fill="FFFFFF"/>
        </w:rPr>
        <w:t xml:space="preserve"> </w:t>
      </w:r>
      <w:r w:rsidRPr="00761599">
        <w:rPr>
          <w:shd w:val="clear" w:color="auto" w:fill="FFFFFF"/>
          <w:lang w:eastAsia="zh-CN"/>
        </w:rPr>
        <w:t xml:space="preserve">According to </w:t>
      </w:r>
      <w:r w:rsidRPr="00761599">
        <w:t xml:space="preserve">the </w:t>
      </w:r>
      <w:r w:rsidRPr="00761599">
        <w:rPr>
          <w:lang w:eastAsia="zh-CN"/>
        </w:rPr>
        <w:t xml:space="preserve">constant </w:t>
      </w:r>
      <w:r w:rsidRPr="00761599">
        <w:t xml:space="preserve">capacity of </w:t>
      </w:r>
      <w:r w:rsidRPr="00761599">
        <w:rPr>
          <w:lang w:eastAsia="zh-CN"/>
        </w:rPr>
        <w:t>multiplexing</w:t>
      </w:r>
      <w:r w:rsidRPr="00761599">
        <w:t xml:space="preserve"> energy</w:t>
      </w:r>
      <w:r w:rsidRPr="00761599">
        <w:rPr>
          <w:lang w:eastAsia="zh-CN"/>
        </w:rPr>
        <w:t xml:space="preserve">, the SP excitation from a given </w:t>
      </w:r>
      <w:proofErr w:type="spellStart"/>
      <w:r w:rsidRPr="00761599">
        <w:rPr>
          <w:lang w:eastAsia="zh-CN"/>
        </w:rPr>
        <w:t>metasurface</w:t>
      </w:r>
      <w:proofErr w:type="spellEnd"/>
      <w:r w:rsidRPr="00761599">
        <w:rPr>
          <w:lang w:eastAsia="zh-CN"/>
        </w:rPr>
        <w:t xml:space="preserve"> will be divided by all the wavelengths.</w:t>
      </w:r>
    </w:p>
    <w:p w14:paraId="4DE7BABD" w14:textId="77777777" w:rsidR="006423FD" w:rsidRPr="006423FD" w:rsidRDefault="006423FD" w:rsidP="00B3458F">
      <w:pPr>
        <w:pStyle w:val="Head1"/>
        <w:rPr>
          <w:b w:val="0"/>
          <w:bCs/>
        </w:rPr>
      </w:pPr>
    </w:p>
    <w:p w14:paraId="0225317C" w14:textId="0CFD9455" w:rsidR="001C7C15" w:rsidRPr="00761599" w:rsidRDefault="00881762" w:rsidP="00B3458F">
      <w:pPr>
        <w:pStyle w:val="Head1"/>
      </w:pPr>
      <w:r>
        <w:lastRenderedPageBreak/>
        <w:t>I</w:t>
      </w:r>
      <w:r w:rsidR="001C7C15" w:rsidRPr="00761599">
        <w:t xml:space="preserve">. Other </w:t>
      </w:r>
      <w:proofErr w:type="spellStart"/>
      <w:r w:rsidR="001C7C15" w:rsidRPr="00761599">
        <w:t>metalenses</w:t>
      </w:r>
      <w:proofErr w:type="spellEnd"/>
      <w:r w:rsidR="001C7C15" w:rsidRPr="00761599">
        <w:t xml:space="preserve"> design</w:t>
      </w:r>
    </w:p>
    <w:p w14:paraId="67E800B1" w14:textId="15F2A661" w:rsidR="001C7C15" w:rsidRPr="00761599" w:rsidRDefault="00EA3EE0" w:rsidP="00EA3EE0">
      <w:pPr>
        <w:jc w:val="center"/>
      </w:pPr>
      <w:r w:rsidRPr="00761599">
        <w:rPr>
          <w:noProof/>
        </w:rPr>
        <w:drawing>
          <wp:inline distT="0" distB="0" distL="0" distR="0" wp14:anchorId="17281037" wp14:editId="1F5B8B10">
            <wp:extent cx="5753100" cy="5419725"/>
            <wp:effectExtent l="0" t="0" r="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5419725"/>
                    </a:xfrm>
                    <a:prstGeom prst="rect">
                      <a:avLst/>
                    </a:prstGeom>
                    <a:noFill/>
                    <a:ln>
                      <a:noFill/>
                    </a:ln>
                  </pic:spPr>
                </pic:pic>
              </a:graphicData>
            </a:graphic>
          </wp:inline>
        </w:drawing>
      </w:r>
    </w:p>
    <w:p w14:paraId="4A6F6B4E" w14:textId="54B56FD8" w:rsidR="001C7C15" w:rsidRPr="00761599" w:rsidRDefault="001C7C15" w:rsidP="00F80D12">
      <w:pPr>
        <w:pStyle w:val="Legend"/>
        <w:jc w:val="both"/>
      </w:pPr>
      <w:r w:rsidRPr="00761599">
        <w:rPr>
          <w:b/>
          <w:bCs/>
        </w:rPr>
        <w:t>Figure S</w:t>
      </w:r>
      <w:r w:rsidR="00881762">
        <w:rPr>
          <w:b/>
          <w:bCs/>
        </w:rPr>
        <w:t>9</w:t>
      </w:r>
      <w:r w:rsidRPr="00761599">
        <w:rPr>
          <w:b/>
          <w:bCs/>
        </w:rPr>
        <w:t xml:space="preserve">. </w:t>
      </w:r>
      <w:r w:rsidRPr="00761599">
        <w:t xml:space="preserve">Calculated </w:t>
      </w:r>
      <w:proofErr w:type="spellStart"/>
      <w:r w:rsidRPr="00761599">
        <w:rPr>
          <w:i/>
          <w:iCs/>
        </w:rPr>
        <w:t>E</w:t>
      </w:r>
      <w:r w:rsidRPr="00761599">
        <w:rPr>
          <w:i/>
          <w:iCs/>
          <w:u w:val="single"/>
        </w:rPr>
        <w:t>z</w:t>
      </w:r>
      <w:proofErr w:type="spellEnd"/>
      <w:r w:rsidRPr="00761599">
        <w:t xml:space="preserve">-field intensity distributions for the spin and wavelength of 600 </w:t>
      </w:r>
      <w:proofErr w:type="spellStart"/>
      <w:r w:rsidRPr="00761599">
        <w:t>μm</w:t>
      </w:r>
      <w:proofErr w:type="spellEnd"/>
      <w:r w:rsidRPr="00761599">
        <w:t xml:space="preserve">, 500 </w:t>
      </w:r>
      <w:proofErr w:type="spellStart"/>
      <w:r w:rsidRPr="00761599">
        <w:t>μm</w:t>
      </w:r>
      <w:proofErr w:type="spellEnd"/>
      <w:r w:rsidRPr="00761599">
        <w:t xml:space="preserve">, 400 </w:t>
      </w:r>
      <w:proofErr w:type="spellStart"/>
      <w:r w:rsidRPr="00761599">
        <w:t>μm</w:t>
      </w:r>
      <w:proofErr w:type="spellEnd"/>
      <w:r w:rsidRPr="00761599">
        <w:t xml:space="preserve">, and 300 </w:t>
      </w:r>
      <w:proofErr w:type="spellStart"/>
      <w:r w:rsidRPr="00761599">
        <w:t>μm</w:t>
      </w:r>
      <w:proofErr w:type="spellEnd"/>
      <w:r w:rsidRPr="00761599">
        <w:t xml:space="preserve"> multiplexed focusing. </w:t>
      </w:r>
      <w:r w:rsidRPr="009D1A69">
        <w:rPr>
          <w:b/>
          <w:bCs/>
        </w:rPr>
        <w:t>a</w:t>
      </w:r>
      <w:r w:rsidRPr="00761599">
        <w:t xml:space="preserve"> Focusing symmetrically about </w:t>
      </w:r>
      <w:r w:rsidRPr="00761599">
        <w:rPr>
          <w:i/>
          <w:iCs/>
        </w:rPr>
        <w:t>y</w:t>
      </w:r>
      <w:r w:rsidRPr="00761599">
        <w:t xml:space="preserve"> axis. </w:t>
      </w:r>
      <w:r w:rsidRPr="009D1A69">
        <w:rPr>
          <w:b/>
          <w:bCs/>
        </w:rPr>
        <w:t>b</w:t>
      </w:r>
      <w:r w:rsidRPr="00761599">
        <w:t xml:space="preserve"> Focusing at different focal radiuses. The wavelengths of 600 </w:t>
      </w:r>
      <w:proofErr w:type="spellStart"/>
      <w:r w:rsidRPr="00761599">
        <w:t>μm</w:t>
      </w:r>
      <w:proofErr w:type="spellEnd"/>
      <w:r w:rsidRPr="00761599">
        <w:t xml:space="preserve"> and 500 </w:t>
      </w:r>
      <w:proofErr w:type="spellStart"/>
      <w:r w:rsidRPr="00761599">
        <w:t>μm</w:t>
      </w:r>
      <w:proofErr w:type="spellEnd"/>
      <w:r w:rsidRPr="00761599">
        <w:t xml:space="preserve"> focus at the radius of 6 mm, while 400 </w:t>
      </w:r>
      <w:proofErr w:type="spellStart"/>
      <w:r w:rsidRPr="00761599">
        <w:t>μm</w:t>
      </w:r>
      <w:proofErr w:type="spellEnd"/>
      <w:r w:rsidRPr="00761599">
        <w:t xml:space="preserve"> and 300 </w:t>
      </w:r>
      <w:proofErr w:type="spellStart"/>
      <w:r w:rsidRPr="00761599">
        <w:t>μm</w:t>
      </w:r>
      <w:proofErr w:type="spellEnd"/>
      <w:r w:rsidRPr="00761599">
        <w:t xml:space="preserve"> focus at the radius of 9 mm. The colormaps of each wavelength are normalized by the maximum intensity at the focus spots of two spins, respectively, in two designs.</w:t>
      </w:r>
    </w:p>
    <w:p w14:paraId="2F747A7C" w14:textId="77777777" w:rsidR="001C7C15" w:rsidRPr="00761599" w:rsidRDefault="001C7C15" w:rsidP="00EA3EE0">
      <w:pPr>
        <w:pStyle w:val="MainText"/>
      </w:pPr>
    </w:p>
    <w:p w14:paraId="228BB726" w14:textId="77777777" w:rsidR="001C7C15" w:rsidRPr="00761599" w:rsidRDefault="001C7C15" w:rsidP="00EA3EE0">
      <w:pPr>
        <w:pStyle w:val="MainText"/>
      </w:pPr>
    </w:p>
    <w:p w14:paraId="64FDE6F2" w14:textId="77777777" w:rsidR="001C7C15" w:rsidRPr="00761599" w:rsidRDefault="001C7C15" w:rsidP="00EA3EE0">
      <w:pPr>
        <w:pStyle w:val="MainText"/>
      </w:pPr>
    </w:p>
    <w:p w14:paraId="7B91D051" w14:textId="77777777" w:rsidR="001C7C15" w:rsidRPr="00761599" w:rsidRDefault="001C7C15" w:rsidP="00EA3EE0">
      <w:pPr>
        <w:pStyle w:val="MainText"/>
      </w:pPr>
    </w:p>
    <w:p w14:paraId="23F19DAD" w14:textId="77777777" w:rsidR="001C7C15" w:rsidRPr="00761599" w:rsidRDefault="001C7C15" w:rsidP="00EA3EE0">
      <w:pPr>
        <w:pStyle w:val="MainText"/>
      </w:pPr>
    </w:p>
    <w:p w14:paraId="073ABF35" w14:textId="77777777" w:rsidR="001C7C15" w:rsidRPr="00761599" w:rsidRDefault="001C7C15" w:rsidP="00EA3EE0">
      <w:pPr>
        <w:pStyle w:val="MainText"/>
      </w:pPr>
    </w:p>
    <w:p w14:paraId="4CB17814" w14:textId="26B28EFA" w:rsidR="001C7C15" w:rsidRPr="00761599" w:rsidRDefault="00881762" w:rsidP="00B3458F">
      <w:pPr>
        <w:pStyle w:val="Head1"/>
      </w:pPr>
      <w:r>
        <w:rPr>
          <w:lang w:eastAsia="zh-CN"/>
        </w:rPr>
        <w:lastRenderedPageBreak/>
        <w:t>J</w:t>
      </w:r>
      <w:r w:rsidR="001C7C15" w:rsidRPr="00761599">
        <w:t>. Compare two types of resonators</w:t>
      </w:r>
    </w:p>
    <w:p w14:paraId="4F58656A" w14:textId="30556BC3" w:rsidR="001C7C15" w:rsidRPr="00761599" w:rsidRDefault="005B661F" w:rsidP="00EA3EE0">
      <w:pPr>
        <w:jc w:val="center"/>
      </w:pPr>
      <w:r w:rsidRPr="00761599">
        <w:rPr>
          <w:noProof/>
          <w:lang w:val="en-US"/>
        </w:rPr>
        <w:drawing>
          <wp:inline distT="0" distB="0" distL="0" distR="0" wp14:anchorId="5813E3D1" wp14:editId="3F8A25AA">
            <wp:extent cx="4680000" cy="324293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80000" cy="3242935"/>
                    </a:xfrm>
                    <a:prstGeom prst="rect">
                      <a:avLst/>
                    </a:prstGeom>
                  </pic:spPr>
                </pic:pic>
              </a:graphicData>
            </a:graphic>
          </wp:inline>
        </w:drawing>
      </w:r>
    </w:p>
    <w:p w14:paraId="0D377EA9" w14:textId="70E4FB42" w:rsidR="001C7C15" w:rsidRPr="00761599" w:rsidRDefault="001C7C15" w:rsidP="00F80D12">
      <w:pPr>
        <w:pStyle w:val="Legend"/>
        <w:jc w:val="both"/>
      </w:pPr>
      <w:r w:rsidRPr="00761599">
        <w:rPr>
          <w:b/>
          <w:bCs/>
        </w:rPr>
        <w:t>Figure S</w:t>
      </w:r>
      <w:r w:rsidR="00881762">
        <w:rPr>
          <w:b/>
          <w:bCs/>
        </w:rPr>
        <w:t>10</w:t>
      </w:r>
      <w:r w:rsidRPr="00761599">
        <w:rPr>
          <w:b/>
          <w:bCs/>
        </w:rPr>
        <w:t>.</w:t>
      </w:r>
      <w:r w:rsidRPr="00761599">
        <w:t xml:space="preserve"> Compare two types of resonators: connected-double-ring slit resonator and normal slit resonator. The Resonator I have the higher efficiency than the Resonator II within the wavelength region concerned from the right chart.</w:t>
      </w:r>
    </w:p>
    <w:p w14:paraId="31107F96" w14:textId="77777777" w:rsidR="001C7C15" w:rsidRPr="00761599" w:rsidRDefault="001C7C15" w:rsidP="00EA3EE0">
      <w:pPr>
        <w:pStyle w:val="MainText"/>
      </w:pPr>
    </w:p>
    <w:p w14:paraId="26B110FF" w14:textId="148D1586" w:rsidR="001C7C15" w:rsidRPr="00761599" w:rsidRDefault="00881762" w:rsidP="00B3458F">
      <w:pPr>
        <w:pStyle w:val="Head1"/>
      </w:pPr>
      <w:r>
        <w:rPr>
          <w:lang w:eastAsia="zh-CN"/>
        </w:rPr>
        <w:t>K</w:t>
      </w:r>
      <w:r w:rsidR="001C7C15" w:rsidRPr="00761599">
        <w:t xml:space="preserve">. Coupling efficiencies of </w:t>
      </w:r>
      <w:proofErr w:type="spellStart"/>
      <w:r w:rsidR="001C7C15" w:rsidRPr="00761599">
        <w:t>Metalenses</w:t>
      </w:r>
      <w:proofErr w:type="spellEnd"/>
    </w:p>
    <w:p w14:paraId="71E5D6F5" w14:textId="77777777" w:rsidR="001C7C15" w:rsidRPr="00761599" w:rsidRDefault="001C7C15" w:rsidP="00F80D12">
      <w:pPr>
        <w:pStyle w:val="MainText"/>
        <w:jc w:val="both"/>
        <w:rPr>
          <w:lang w:eastAsia="zh-CN"/>
        </w:rPr>
      </w:pPr>
      <w:r w:rsidRPr="00761599">
        <w:t xml:space="preserve">In simulation, we </w:t>
      </w:r>
      <w:r w:rsidRPr="00761599">
        <w:rPr>
          <w:lang w:eastAsia="zh-CN"/>
        </w:rPr>
        <w:t xml:space="preserve">integrate </w:t>
      </w:r>
      <w:proofErr w:type="spellStart"/>
      <w:r w:rsidRPr="00761599">
        <w:rPr>
          <w:i/>
          <w:iCs/>
        </w:rPr>
        <w:t>E</w:t>
      </w:r>
      <w:r w:rsidRPr="00761599">
        <w:rPr>
          <w:i/>
          <w:iCs/>
          <w:vertAlign w:val="subscript"/>
        </w:rPr>
        <w:t>z</w:t>
      </w:r>
      <w:proofErr w:type="spellEnd"/>
      <w:r w:rsidRPr="00761599">
        <w:t xml:space="preserve"> field intensities on the cross section </w:t>
      </w:r>
      <w:r w:rsidRPr="00761599">
        <w:rPr>
          <w:lang w:eastAsia="zh-CN"/>
        </w:rPr>
        <w:t xml:space="preserve">extracted along each own travel direction where the width is twice of wavelength and the height is 1 mm above the metallic surface. There are 2821 double-connected-ring resonators used in all </w:t>
      </w:r>
      <w:proofErr w:type="spellStart"/>
      <w:r w:rsidRPr="00761599">
        <w:rPr>
          <w:lang w:eastAsia="zh-CN"/>
        </w:rPr>
        <w:t>metalensing</w:t>
      </w:r>
      <w:proofErr w:type="spellEnd"/>
      <w:r w:rsidRPr="00761599">
        <w:rPr>
          <w:lang w:eastAsia="zh-CN"/>
        </w:rPr>
        <w:t xml:space="preserve"> designs to couple free space light. The income beam can illuminate the whole </w:t>
      </w:r>
      <w:proofErr w:type="spellStart"/>
      <w:r w:rsidRPr="00761599">
        <w:rPr>
          <w:lang w:eastAsia="zh-CN"/>
        </w:rPr>
        <w:t>metasurface</w:t>
      </w:r>
      <w:proofErr w:type="spellEnd"/>
      <w:r w:rsidRPr="00761599">
        <w:rPr>
          <w:lang w:eastAsia="zh-CN"/>
        </w:rPr>
        <w:t xml:space="preserve"> area and be scattered through the apertures.</w:t>
      </w:r>
      <w:r w:rsidRPr="00761599">
        <w:t xml:space="preserve"> </w:t>
      </w:r>
      <w:r w:rsidRPr="00761599">
        <w:rPr>
          <w:lang w:eastAsia="zh-CN"/>
        </w:rPr>
        <w:t>Thus, t</w:t>
      </w:r>
      <w:r w:rsidRPr="00761599">
        <w:t xml:space="preserve">he estimated couple efficiencies </w:t>
      </w:r>
      <w:r w:rsidRPr="00761599">
        <w:rPr>
          <w:lang w:eastAsia="zh-CN"/>
        </w:rPr>
        <w:t>f</w:t>
      </w:r>
      <w:r w:rsidRPr="00761599">
        <w:t xml:space="preserve">or these </w:t>
      </w:r>
      <w:proofErr w:type="spellStart"/>
      <w:r w:rsidRPr="00761599">
        <w:t>metalenses</w:t>
      </w:r>
      <w:proofErr w:type="spellEnd"/>
      <w:r w:rsidRPr="00761599">
        <w:t xml:space="preserve"> with different wavelengths and spins </w:t>
      </w:r>
      <w:r w:rsidRPr="00761599">
        <w:rPr>
          <w:lang w:eastAsia="zh-CN"/>
        </w:rPr>
        <w:t xml:space="preserve">can be clearly </w:t>
      </w:r>
      <w:r w:rsidRPr="00761599">
        <w:t>listed in the Table S1.</w:t>
      </w:r>
    </w:p>
    <w:p w14:paraId="19746A6B" w14:textId="7B3F29D5" w:rsidR="001C7C15" w:rsidRPr="00761599" w:rsidRDefault="001C7C15" w:rsidP="009A2C53">
      <w:pPr>
        <w:pStyle w:val="Legend"/>
        <w:jc w:val="center"/>
      </w:pPr>
      <w:r w:rsidRPr="00761599">
        <w:rPr>
          <w:b/>
          <w:bCs/>
        </w:rPr>
        <w:t>Table S1.</w:t>
      </w:r>
      <w:r w:rsidRPr="00761599">
        <w:t xml:space="preserve"> Channel coupling efficiencies for four </w:t>
      </w:r>
      <w:proofErr w:type="spellStart"/>
      <w:r w:rsidRPr="00761599">
        <w:t>Metalenses</w:t>
      </w:r>
      <w:proofErr w:type="spellEnd"/>
      <w:r w:rsidRPr="00761599">
        <w:t>.</w:t>
      </w:r>
    </w:p>
    <w:p w14:paraId="7030D896" w14:textId="77777777" w:rsidR="00724337" w:rsidRPr="00761599" w:rsidRDefault="00724337" w:rsidP="00724337">
      <w:pPr>
        <w:pStyle w:val="Legend"/>
        <w:jc w:val="center"/>
      </w:pPr>
    </w:p>
    <w:tbl>
      <w:tblPr>
        <w:tblStyle w:val="TableThem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50"/>
        <w:gridCol w:w="222"/>
        <w:gridCol w:w="837"/>
        <w:gridCol w:w="837"/>
        <w:gridCol w:w="837"/>
        <w:gridCol w:w="837"/>
        <w:gridCol w:w="222"/>
        <w:gridCol w:w="837"/>
        <w:gridCol w:w="837"/>
        <w:gridCol w:w="833"/>
        <w:gridCol w:w="837"/>
      </w:tblGrid>
      <w:tr w:rsidR="00724337" w:rsidRPr="00E757C9" w14:paraId="74B0B715" w14:textId="77777777" w:rsidTr="00215257">
        <w:trPr>
          <w:jc w:val="center"/>
        </w:trPr>
        <w:tc>
          <w:tcPr>
            <w:tcW w:w="0" w:type="auto"/>
            <w:vMerge w:val="restart"/>
            <w:vAlign w:val="center"/>
          </w:tcPr>
          <w:p w14:paraId="222356A0" w14:textId="77777777" w:rsidR="001C7C15" w:rsidRPr="00E757C9" w:rsidRDefault="001C7C15" w:rsidP="00724337">
            <w:pPr>
              <w:pStyle w:val="TableBody"/>
              <w:rPr>
                <w:rFonts w:ascii="Times New Roman" w:eastAsia="Microsoft YaHei" w:hAnsi="Times New Roman" w:cs="Times New Roman"/>
                <w:sz w:val="20"/>
                <w:szCs w:val="20"/>
              </w:rPr>
            </w:pPr>
            <w:proofErr w:type="spellStart"/>
            <w:r w:rsidRPr="00E757C9">
              <w:rPr>
                <w:rFonts w:ascii="Times New Roman" w:eastAsia="Microsoft YaHei" w:hAnsi="Times New Roman" w:cs="Times New Roman"/>
                <w:sz w:val="20"/>
                <w:szCs w:val="20"/>
              </w:rPr>
              <w:t>Metalens</w:t>
            </w:r>
            <w:proofErr w:type="spellEnd"/>
          </w:p>
        </w:tc>
        <w:tc>
          <w:tcPr>
            <w:tcW w:w="0" w:type="auto"/>
            <w:tcBorders>
              <w:bottom w:val="nil"/>
            </w:tcBorders>
          </w:tcPr>
          <w:p w14:paraId="40BF041A"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gridSpan w:val="4"/>
            <w:vAlign w:val="center"/>
          </w:tcPr>
          <w:p w14:paraId="7B0D3A53"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LCP</w:t>
            </w:r>
          </w:p>
        </w:tc>
        <w:tc>
          <w:tcPr>
            <w:tcW w:w="0" w:type="auto"/>
            <w:tcBorders>
              <w:bottom w:val="nil"/>
            </w:tcBorders>
          </w:tcPr>
          <w:p w14:paraId="45837D09"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gridSpan w:val="4"/>
            <w:vAlign w:val="center"/>
          </w:tcPr>
          <w:p w14:paraId="606097E9"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RCP</w:t>
            </w:r>
          </w:p>
        </w:tc>
      </w:tr>
      <w:tr w:rsidR="00724337" w:rsidRPr="00E757C9" w14:paraId="1528B9B4" w14:textId="77777777" w:rsidTr="00215257">
        <w:trPr>
          <w:jc w:val="center"/>
        </w:trPr>
        <w:tc>
          <w:tcPr>
            <w:tcW w:w="0" w:type="auto"/>
            <w:vMerge/>
            <w:tcBorders>
              <w:bottom w:val="single" w:sz="4" w:space="0" w:color="auto"/>
            </w:tcBorders>
            <w:vAlign w:val="center"/>
          </w:tcPr>
          <w:p w14:paraId="3A6CA0FB"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tcBorders>
              <w:top w:val="nil"/>
              <w:bottom w:val="single" w:sz="4" w:space="0" w:color="auto"/>
            </w:tcBorders>
          </w:tcPr>
          <w:p w14:paraId="74689CDD"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tcBorders>
              <w:bottom w:val="single" w:sz="4" w:space="0" w:color="auto"/>
            </w:tcBorders>
            <w:vAlign w:val="center"/>
          </w:tcPr>
          <w:p w14:paraId="6C56C8C3"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600 µm</w:t>
            </w:r>
          </w:p>
        </w:tc>
        <w:tc>
          <w:tcPr>
            <w:tcW w:w="0" w:type="auto"/>
            <w:tcBorders>
              <w:bottom w:val="single" w:sz="4" w:space="0" w:color="auto"/>
            </w:tcBorders>
            <w:vAlign w:val="center"/>
          </w:tcPr>
          <w:p w14:paraId="5860D20E"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525 µm</w:t>
            </w:r>
          </w:p>
        </w:tc>
        <w:tc>
          <w:tcPr>
            <w:tcW w:w="0" w:type="auto"/>
            <w:tcBorders>
              <w:bottom w:val="single" w:sz="4" w:space="0" w:color="auto"/>
            </w:tcBorders>
            <w:vAlign w:val="center"/>
          </w:tcPr>
          <w:p w14:paraId="15674E9C"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450 µm</w:t>
            </w:r>
          </w:p>
        </w:tc>
        <w:tc>
          <w:tcPr>
            <w:tcW w:w="0" w:type="auto"/>
            <w:tcBorders>
              <w:bottom w:val="single" w:sz="4" w:space="0" w:color="auto"/>
            </w:tcBorders>
            <w:vAlign w:val="center"/>
          </w:tcPr>
          <w:p w14:paraId="373F8340"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375 µm</w:t>
            </w:r>
          </w:p>
        </w:tc>
        <w:tc>
          <w:tcPr>
            <w:tcW w:w="0" w:type="auto"/>
            <w:tcBorders>
              <w:top w:val="nil"/>
              <w:bottom w:val="single" w:sz="4" w:space="0" w:color="auto"/>
            </w:tcBorders>
          </w:tcPr>
          <w:p w14:paraId="1A9AFA28"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tcBorders>
              <w:bottom w:val="single" w:sz="4" w:space="0" w:color="auto"/>
            </w:tcBorders>
            <w:vAlign w:val="center"/>
          </w:tcPr>
          <w:p w14:paraId="467B8415"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600 µm</w:t>
            </w:r>
          </w:p>
        </w:tc>
        <w:tc>
          <w:tcPr>
            <w:tcW w:w="0" w:type="auto"/>
            <w:tcBorders>
              <w:bottom w:val="single" w:sz="4" w:space="0" w:color="auto"/>
            </w:tcBorders>
            <w:vAlign w:val="center"/>
          </w:tcPr>
          <w:p w14:paraId="0B86F246"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525 µm</w:t>
            </w:r>
          </w:p>
        </w:tc>
        <w:tc>
          <w:tcPr>
            <w:tcW w:w="0" w:type="auto"/>
            <w:tcBorders>
              <w:bottom w:val="single" w:sz="4" w:space="0" w:color="auto"/>
            </w:tcBorders>
            <w:vAlign w:val="center"/>
          </w:tcPr>
          <w:p w14:paraId="53091655"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450µm</w:t>
            </w:r>
          </w:p>
        </w:tc>
        <w:tc>
          <w:tcPr>
            <w:tcW w:w="0" w:type="auto"/>
            <w:tcBorders>
              <w:bottom w:val="single" w:sz="4" w:space="0" w:color="auto"/>
            </w:tcBorders>
            <w:vAlign w:val="center"/>
          </w:tcPr>
          <w:p w14:paraId="1EAAAFD8"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375 µm</w:t>
            </w:r>
          </w:p>
        </w:tc>
      </w:tr>
      <w:tr w:rsidR="00724337" w:rsidRPr="00E757C9" w14:paraId="1B476E4E" w14:textId="77777777" w:rsidTr="00215257">
        <w:trPr>
          <w:jc w:val="center"/>
        </w:trPr>
        <w:tc>
          <w:tcPr>
            <w:tcW w:w="0" w:type="auto"/>
            <w:tcBorders>
              <w:bottom w:val="nil"/>
            </w:tcBorders>
            <w:vAlign w:val="center"/>
          </w:tcPr>
          <w:p w14:paraId="5668E5C3"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I</w:t>
            </w:r>
          </w:p>
        </w:tc>
        <w:tc>
          <w:tcPr>
            <w:tcW w:w="0" w:type="auto"/>
            <w:tcBorders>
              <w:bottom w:val="nil"/>
            </w:tcBorders>
          </w:tcPr>
          <w:p w14:paraId="11434C99"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tcBorders>
              <w:bottom w:val="nil"/>
            </w:tcBorders>
            <w:vAlign w:val="center"/>
          </w:tcPr>
          <w:p w14:paraId="5DDE4C7E"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9.68%</w:t>
            </w:r>
          </w:p>
        </w:tc>
        <w:tc>
          <w:tcPr>
            <w:tcW w:w="0" w:type="auto"/>
            <w:tcBorders>
              <w:bottom w:val="nil"/>
            </w:tcBorders>
            <w:vAlign w:val="center"/>
          </w:tcPr>
          <w:p w14:paraId="34295F7B"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17.49%</w:t>
            </w:r>
          </w:p>
        </w:tc>
        <w:tc>
          <w:tcPr>
            <w:tcW w:w="0" w:type="auto"/>
            <w:tcBorders>
              <w:bottom w:val="nil"/>
            </w:tcBorders>
            <w:vAlign w:val="center"/>
          </w:tcPr>
          <w:p w14:paraId="3240C621"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13.60%</w:t>
            </w:r>
          </w:p>
        </w:tc>
        <w:tc>
          <w:tcPr>
            <w:tcW w:w="0" w:type="auto"/>
            <w:tcBorders>
              <w:bottom w:val="nil"/>
            </w:tcBorders>
            <w:vAlign w:val="center"/>
          </w:tcPr>
          <w:p w14:paraId="79FDAEA9"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10.35%</w:t>
            </w:r>
          </w:p>
        </w:tc>
        <w:tc>
          <w:tcPr>
            <w:tcW w:w="0" w:type="auto"/>
            <w:tcBorders>
              <w:bottom w:val="nil"/>
            </w:tcBorders>
          </w:tcPr>
          <w:p w14:paraId="14227EF6"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tcBorders>
              <w:bottom w:val="nil"/>
            </w:tcBorders>
            <w:vAlign w:val="center"/>
          </w:tcPr>
          <w:p w14:paraId="0A6D56B2"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9.88%</w:t>
            </w:r>
          </w:p>
        </w:tc>
        <w:tc>
          <w:tcPr>
            <w:tcW w:w="0" w:type="auto"/>
            <w:tcBorders>
              <w:bottom w:val="nil"/>
            </w:tcBorders>
            <w:vAlign w:val="center"/>
          </w:tcPr>
          <w:p w14:paraId="1FA3AE67"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16.63%</w:t>
            </w:r>
          </w:p>
        </w:tc>
        <w:tc>
          <w:tcPr>
            <w:tcW w:w="0" w:type="auto"/>
            <w:tcBorders>
              <w:bottom w:val="nil"/>
            </w:tcBorders>
            <w:vAlign w:val="center"/>
          </w:tcPr>
          <w:p w14:paraId="656660AF"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14.07%</w:t>
            </w:r>
          </w:p>
        </w:tc>
        <w:tc>
          <w:tcPr>
            <w:tcW w:w="0" w:type="auto"/>
            <w:tcBorders>
              <w:bottom w:val="nil"/>
            </w:tcBorders>
            <w:vAlign w:val="center"/>
          </w:tcPr>
          <w:p w14:paraId="23980D6A"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9.18%</w:t>
            </w:r>
          </w:p>
        </w:tc>
      </w:tr>
      <w:tr w:rsidR="00724337" w:rsidRPr="00E757C9" w14:paraId="73647B0E" w14:textId="77777777" w:rsidTr="00215257">
        <w:trPr>
          <w:jc w:val="center"/>
        </w:trPr>
        <w:tc>
          <w:tcPr>
            <w:tcW w:w="0" w:type="auto"/>
            <w:tcBorders>
              <w:top w:val="nil"/>
              <w:bottom w:val="nil"/>
            </w:tcBorders>
            <w:vAlign w:val="center"/>
          </w:tcPr>
          <w:p w14:paraId="1E5F752A"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II</w:t>
            </w:r>
          </w:p>
        </w:tc>
        <w:tc>
          <w:tcPr>
            <w:tcW w:w="0" w:type="auto"/>
            <w:tcBorders>
              <w:top w:val="nil"/>
              <w:bottom w:val="nil"/>
            </w:tcBorders>
          </w:tcPr>
          <w:p w14:paraId="4F1E8308"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tcBorders>
              <w:top w:val="nil"/>
              <w:bottom w:val="nil"/>
            </w:tcBorders>
            <w:vAlign w:val="center"/>
          </w:tcPr>
          <w:p w14:paraId="60959B47"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10.88%</w:t>
            </w:r>
          </w:p>
        </w:tc>
        <w:tc>
          <w:tcPr>
            <w:tcW w:w="0" w:type="auto"/>
            <w:tcBorders>
              <w:top w:val="nil"/>
              <w:bottom w:val="nil"/>
            </w:tcBorders>
            <w:vAlign w:val="center"/>
          </w:tcPr>
          <w:p w14:paraId="6672D6AC"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11.87%</w:t>
            </w:r>
          </w:p>
        </w:tc>
        <w:tc>
          <w:tcPr>
            <w:tcW w:w="0" w:type="auto"/>
            <w:tcBorders>
              <w:top w:val="nil"/>
              <w:bottom w:val="nil"/>
            </w:tcBorders>
            <w:vAlign w:val="center"/>
          </w:tcPr>
          <w:p w14:paraId="5EA26331"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14.39%</w:t>
            </w:r>
          </w:p>
        </w:tc>
        <w:tc>
          <w:tcPr>
            <w:tcW w:w="0" w:type="auto"/>
            <w:tcBorders>
              <w:top w:val="nil"/>
              <w:bottom w:val="nil"/>
            </w:tcBorders>
            <w:vAlign w:val="center"/>
          </w:tcPr>
          <w:p w14:paraId="16C43F6C"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9.34%</w:t>
            </w:r>
          </w:p>
        </w:tc>
        <w:tc>
          <w:tcPr>
            <w:tcW w:w="0" w:type="auto"/>
            <w:tcBorders>
              <w:top w:val="nil"/>
              <w:bottom w:val="nil"/>
            </w:tcBorders>
          </w:tcPr>
          <w:p w14:paraId="01C1C5F0"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tcBorders>
              <w:top w:val="nil"/>
              <w:bottom w:val="nil"/>
            </w:tcBorders>
            <w:vAlign w:val="center"/>
          </w:tcPr>
          <w:p w14:paraId="01D34868"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10.98%</w:t>
            </w:r>
          </w:p>
        </w:tc>
        <w:tc>
          <w:tcPr>
            <w:tcW w:w="0" w:type="auto"/>
            <w:tcBorders>
              <w:top w:val="nil"/>
              <w:bottom w:val="nil"/>
            </w:tcBorders>
            <w:vAlign w:val="center"/>
          </w:tcPr>
          <w:p w14:paraId="218D6473"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12.31%</w:t>
            </w:r>
          </w:p>
        </w:tc>
        <w:tc>
          <w:tcPr>
            <w:tcW w:w="0" w:type="auto"/>
            <w:tcBorders>
              <w:top w:val="nil"/>
              <w:bottom w:val="nil"/>
            </w:tcBorders>
            <w:vAlign w:val="center"/>
          </w:tcPr>
          <w:p w14:paraId="48534FC3"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14.71%</w:t>
            </w:r>
          </w:p>
        </w:tc>
        <w:tc>
          <w:tcPr>
            <w:tcW w:w="0" w:type="auto"/>
            <w:tcBorders>
              <w:top w:val="nil"/>
              <w:bottom w:val="nil"/>
            </w:tcBorders>
            <w:vAlign w:val="center"/>
          </w:tcPr>
          <w:p w14:paraId="3F27C2AF"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9.53%</w:t>
            </w:r>
          </w:p>
        </w:tc>
      </w:tr>
      <w:tr w:rsidR="00724337" w:rsidRPr="00E757C9" w14:paraId="70FB308C" w14:textId="77777777" w:rsidTr="00215257">
        <w:trPr>
          <w:jc w:val="center"/>
        </w:trPr>
        <w:tc>
          <w:tcPr>
            <w:tcW w:w="0" w:type="auto"/>
            <w:tcBorders>
              <w:top w:val="nil"/>
              <w:bottom w:val="nil"/>
            </w:tcBorders>
            <w:vAlign w:val="center"/>
          </w:tcPr>
          <w:p w14:paraId="70D1ACDD"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III</w:t>
            </w:r>
          </w:p>
        </w:tc>
        <w:tc>
          <w:tcPr>
            <w:tcW w:w="0" w:type="auto"/>
            <w:tcBorders>
              <w:top w:val="nil"/>
              <w:bottom w:val="nil"/>
            </w:tcBorders>
          </w:tcPr>
          <w:p w14:paraId="36E17FF7"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tcBorders>
              <w:top w:val="nil"/>
              <w:bottom w:val="nil"/>
            </w:tcBorders>
            <w:vAlign w:val="center"/>
          </w:tcPr>
          <w:p w14:paraId="03F6ECF1"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11.20%</w:t>
            </w:r>
          </w:p>
        </w:tc>
        <w:tc>
          <w:tcPr>
            <w:tcW w:w="0" w:type="auto"/>
            <w:tcBorders>
              <w:top w:val="nil"/>
              <w:bottom w:val="nil"/>
            </w:tcBorders>
            <w:vAlign w:val="center"/>
          </w:tcPr>
          <w:p w14:paraId="32EC9498"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14.12%</w:t>
            </w:r>
          </w:p>
        </w:tc>
        <w:tc>
          <w:tcPr>
            <w:tcW w:w="0" w:type="auto"/>
            <w:tcBorders>
              <w:top w:val="nil"/>
              <w:bottom w:val="nil"/>
            </w:tcBorders>
            <w:vAlign w:val="center"/>
          </w:tcPr>
          <w:p w14:paraId="390D6A27"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12.73%</w:t>
            </w:r>
          </w:p>
        </w:tc>
        <w:tc>
          <w:tcPr>
            <w:tcW w:w="0" w:type="auto"/>
            <w:tcBorders>
              <w:top w:val="nil"/>
              <w:bottom w:val="nil"/>
            </w:tcBorders>
            <w:vAlign w:val="center"/>
          </w:tcPr>
          <w:p w14:paraId="52AE3953"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9.06%</w:t>
            </w:r>
          </w:p>
        </w:tc>
        <w:tc>
          <w:tcPr>
            <w:tcW w:w="0" w:type="auto"/>
            <w:tcBorders>
              <w:top w:val="nil"/>
              <w:bottom w:val="nil"/>
            </w:tcBorders>
          </w:tcPr>
          <w:p w14:paraId="00DA1938"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tcBorders>
              <w:top w:val="nil"/>
              <w:bottom w:val="nil"/>
            </w:tcBorders>
            <w:vAlign w:val="center"/>
          </w:tcPr>
          <w:p w14:paraId="4A063AAE"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11.20%</w:t>
            </w:r>
          </w:p>
        </w:tc>
        <w:tc>
          <w:tcPr>
            <w:tcW w:w="0" w:type="auto"/>
            <w:tcBorders>
              <w:top w:val="nil"/>
              <w:bottom w:val="nil"/>
            </w:tcBorders>
            <w:vAlign w:val="center"/>
          </w:tcPr>
          <w:p w14:paraId="6C060E09"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14.14%</w:t>
            </w:r>
          </w:p>
        </w:tc>
        <w:tc>
          <w:tcPr>
            <w:tcW w:w="0" w:type="auto"/>
            <w:tcBorders>
              <w:top w:val="nil"/>
              <w:bottom w:val="nil"/>
            </w:tcBorders>
            <w:vAlign w:val="center"/>
          </w:tcPr>
          <w:p w14:paraId="3F5558FE"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12.73%</w:t>
            </w:r>
          </w:p>
        </w:tc>
        <w:tc>
          <w:tcPr>
            <w:tcW w:w="0" w:type="auto"/>
            <w:tcBorders>
              <w:top w:val="nil"/>
              <w:bottom w:val="nil"/>
            </w:tcBorders>
            <w:vAlign w:val="center"/>
          </w:tcPr>
          <w:p w14:paraId="4843ED80"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9.06%</w:t>
            </w:r>
          </w:p>
        </w:tc>
      </w:tr>
      <w:tr w:rsidR="00724337" w:rsidRPr="00E757C9" w14:paraId="098FDD04" w14:textId="77777777" w:rsidTr="00215257">
        <w:trPr>
          <w:jc w:val="center"/>
        </w:trPr>
        <w:tc>
          <w:tcPr>
            <w:tcW w:w="0" w:type="auto"/>
            <w:tcBorders>
              <w:top w:val="nil"/>
            </w:tcBorders>
            <w:vAlign w:val="center"/>
          </w:tcPr>
          <w:p w14:paraId="6F825E06"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IV</w:t>
            </w:r>
          </w:p>
        </w:tc>
        <w:tc>
          <w:tcPr>
            <w:tcW w:w="0" w:type="auto"/>
            <w:tcBorders>
              <w:top w:val="nil"/>
            </w:tcBorders>
          </w:tcPr>
          <w:p w14:paraId="775DED0F"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tcBorders>
              <w:top w:val="nil"/>
            </w:tcBorders>
            <w:vAlign w:val="center"/>
          </w:tcPr>
          <w:p w14:paraId="695C5368"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8.90%</w:t>
            </w:r>
          </w:p>
        </w:tc>
        <w:tc>
          <w:tcPr>
            <w:tcW w:w="0" w:type="auto"/>
            <w:tcBorders>
              <w:top w:val="nil"/>
            </w:tcBorders>
            <w:vAlign w:val="center"/>
          </w:tcPr>
          <w:p w14:paraId="15F89978"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8.10%</w:t>
            </w:r>
          </w:p>
        </w:tc>
        <w:tc>
          <w:tcPr>
            <w:tcW w:w="0" w:type="auto"/>
            <w:tcBorders>
              <w:top w:val="nil"/>
            </w:tcBorders>
            <w:vAlign w:val="center"/>
          </w:tcPr>
          <w:p w14:paraId="7D245E84"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11.37%</w:t>
            </w:r>
          </w:p>
        </w:tc>
        <w:tc>
          <w:tcPr>
            <w:tcW w:w="0" w:type="auto"/>
            <w:tcBorders>
              <w:top w:val="nil"/>
            </w:tcBorders>
            <w:vAlign w:val="center"/>
          </w:tcPr>
          <w:p w14:paraId="774AEA8E"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4.44%</w:t>
            </w:r>
          </w:p>
        </w:tc>
        <w:tc>
          <w:tcPr>
            <w:tcW w:w="0" w:type="auto"/>
            <w:tcBorders>
              <w:top w:val="nil"/>
            </w:tcBorders>
          </w:tcPr>
          <w:p w14:paraId="10154C7D" w14:textId="77777777" w:rsidR="001C7C15" w:rsidRPr="00E757C9" w:rsidRDefault="001C7C15" w:rsidP="00724337">
            <w:pPr>
              <w:pStyle w:val="TableBody"/>
              <w:rPr>
                <w:rFonts w:ascii="Times New Roman" w:eastAsia="Microsoft YaHei" w:hAnsi="Times New Roman" w:cs="Times New Roman"/>
                <w:sz w:val="20"/>
                <w:szCs w:val="20"/>
              </w:rPr>
            </w:pPr>
          </w:p>
        </w:tc>
        <w:tc>
          <w:tcPr>
            <w:tcW w:w="0" w:type="auto"/>
            <w:tcBorders>
              <w:top w:val="nil"/>
            </w:tcBorders>
            <w:vAlign w:val="center"/>
          </w:tcPr>
          <w:p w14:paraId="1C24177A"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8.32%</w:t>
            </w:r>
          </w:p>
        </w:tc>
        <w:tc>
          <w:tcPr>
            <w:tcW w:w="0" w:type="auto"/>
            <w:tcBorders>
              <w:top w:val="nil"/>
            </w:tcBorders>
            <w:vAlign w:val="center"/>
          </w:tcPr>
          <w:p w14:paraId="2FA56269"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8.38%</w:t>
            </w:r>
          </w:p>
        </w:tc>
        <w:tc>
          <w:tcPr>
            <w:tcW w:w="0" w:type="auto"/>
            <w:tcBorders>
              <w:top w:val="nil"/>
            </w:tcBorders>
            <w:vAlign w:val="center"/>
          </w:tcPr>
          <w:p w14:paraId="76BD2DBC"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12.67%</w:t>
            </w:r>
          </w:p>
        </w:tc>
        <w:tc>
          <w:tcPr>
            <w:tcW w:w="0" w:type="auto"/>
            <w:tcBorders>
              <w:top w:val="nil"/>
            </w:tcBorders>
            <w:vAlign w:val="center"/>
          </w:tcPr>
          <w:p w14:paraId="52906C19" w14:textId="77777777" w:rsidR="001C7C15" w:rsidRPr="00E757C9" w:rsidRDefault="001C7C15" w:rsidP="00724337">
            <w:pPr>
              <w:pStyle w:val="TableBody"/>
              <w:rPr>
                <w:rFonts w:ascii="Times New Roman" w:eastAsia="Microsoft YaHei" w:hAnsi="Times New Roman" w:cs="Times New Roman"/>
                <w:sz w:val="20"/>
                <w:szCs w:val="20"/>
              </w:rPr>
            </w:pPr>
            <w:r w:rsidRPr="00E757C9">
              <w:rPr>
                <w:rFonts w:ascii="Times New Roman" w:eastAsia="Microsoft YaHei" w:hAnsi="Times New Roman" w:cs="Times New Roman"/>
                <w:sz w:val="20"/>
                <w:szCs w:val="20"/>
              </w:rPr>
              <w:t>4.28%</w:t>
            </w:r>
          </w:p>
        </w:tc>
      </w:tr>
    </w:tbl>
    <w:p w14:paraId="6F1EA570" w14:textId="0241BED0" w:rsidR="001C7C15" w:rsidRPr="00761599" w:rsidRDefault="001C7C15" w:rsidP="00724337">
      <w:pPr>
        <w:pStyle w:val="MainText"/>
      </w:pPr>
    </w:p>
    <w:p w14:paraId="05BDA25E" w14:textId="4C4FB6F7" w:rsidR="001C7C15" w:rsidRPr="00761599" w:rsidRDefault="00881762" w:rsidP="00B3458F">
      <w:pPr>
        <w:pStyle w:val="Head1"/>
      </w:pPr>
      <w:r>
        <w:rPr>
          <w:lang w:eastAsia="zh-CN"/>
        </w:rPr>
        <w:lastRenderedPageBreak/>
        <w:t>L</w:t>
      </w:r>
      <w:r w:rsidR="001C7C15" w:rsidRPr="00761599">
        <w:t>. Duty cycles of meta-atoms</w:t>
      </w:r>
    </w:p>
    <w:p w14:paraId="570A9A2F" w14:textId="1D3F1F08" w:rsidR="001C7C15" w:rsidRPr="00761599" w:rsidRDefault="001C7C15" w:rsidP="00F80D12">
      <w:pPr>
        <w:pStyle w:val="MainText"/>
        <w:jc w:val="both"/>
      </w:pPr>
      <w:r w:rsidRPr="00761599">
        <w:t>A four-wavelength multiplexed focusing was fabricated without the limit of chirality by use of the same PB meta-atom, as illustrated in Fig</w:t>
      </w:r>
      <w:r w:rsidR="008C6D37" w:rsidRPr="00761599">
        <w:t>ure</w:t>
      </w:r>
      <w:r w:rsidRPr="00761599">
        <w:t xml:space="preserve"> S</w:t>
      </w:r>
      <w:r w:rsidR="008C6D37" w:rsidRPr="00761599">
        <w:t>10</w:t>
      </w:r>
      <w:r w:rsidRPr="00761599">
        <w:t xml:space="preserve">a. The SP waves with the wavelengths of 500 </w:t>
      </w:r>
      <w:proofErr w:type="spellStart"/>
      <w:r w:rsidRPr="00761599">
        <w:t>μm</w:t>
      </w:r>
      <w:proofErr w:type="spellEnd"/>
      <w:r w:rsidRPr="00761599">
        <w:t xml:space="preserve">, 450 </w:t>
      </w:r>
      <w:proofErr w:type="spellStart"/>
      <w:r w:rsidRPr="00761599">
        <w:t>μm</w:t>
      </w:r>
      <w:proofErr w:type="spellEnd"/>
      <w:r w:rsidRPr="00761599">
        <w:t xml:space="preserve">, 400 </w:t>
      </w:r>
      <w:proofErr w:type="spellStart"/>
      <w:r w:rsidRPr="00761599">
        <w:t>μm</w:t>
      </w:r>
      <w:proofErr w:type="spellEnd"/>
      <w:r w:rsidRPr="00761599">
        <w:t xml:space="preserve">, and 350 </w:t>
      </w:r>
      <w:proofErr w:type="spellStart"/>
      <w:r w:rsidRPr="00761599">
        <w:t>μm</w:t>
      </w:r>
      <w:proofErr w:type="spellEnd"/>
      <w:r w:rsidRPr="00761599">
        <w:t xml:space="preserve"> are respectively propagating to four symmetrical directions, where the focal spots of the 500 </w:t>
      </w:r>
      <w:proofErr w:type="spellStart"/>
      <w:r w:rsidRPr="00761599">
        <w:t>μm</w:t>
      </w:r>
      <w:proofErr w:type="spellEnd"/>
      <w:r w:rsidRPr="00761599">
        <w:t xml:space="preserve"> and 450 </w:t>
      </w:r>
      <w:proofErr w:type="spellStart"/>
      <w:r w:rsidRPr="00761599">
        <w:t>μm</w:t>
      </w:r>
      <w:proofErr w:type="spellEnd"/>
      <w:r w:rsidRPr="00761599">
        <w:t xml:space="preserve"> are respectively at 6[−sin(π/4), cos(π/4)] and 6[−sin(3π/4), cos(3π/4)] with the LCP incidences, and the other focal spots of the 400 </w:t>
      </w:r>
      <w:proofErr w:type="spellStart"/>
      <w:r w:rsidRPr="00761599">
        <w:t>μm</w:t>
      </w:r>
      <w:proofErr w:type="spellEnd"/>
      <w:r w:rsidRPr="00761599">
        <w:t xml:space="preserve"> and 350 </w:t>
      </w:r>
      <w:proofErr w:type="spellStart"/>
      <w:r w:rsidRPr="00761599">
        <w:t>μm</w:t>
      </w:r>
      <w:proofErr w:type="spellEnd"/>
      <w:r w:rsidRPr="00761599">
        <w:t xml:space="preserve"> are respectively at 6[−sin(5π/4), cos(5π/4)] and 6[−sin(7π/4), cos(7π/4)] with the RCP incidences. Here, the spin of circular polarization incidences can be used to switch the in-plane SPs states. The experimental profiles can be completely mapped by the near-field scanning terahertz microscope system. Furthermore, we compare another proposed design approach for linear polarizations based on holographic principle to realize the same functionality of four-channel SPs focusing as above. The detailed implement is to determine the wavefronts of SPs that would propagate out from the imaginary point sources located at the focus spots. The intersections of the wavefronts from two imaginary point sources are the available positions where we place the unit structures. If all of the unit structures are excited in phase, then the reradiated SPs will constructively interfere at the predefined foci. In this way, we can combine four foci on a plane by steering two orthogonal linear polarization at most. This </w:t>
      </w:r>
      <w:proofErr w:type="spellStart"/>
      <w:r w:rsidRPr="00761599">
        <w:t>metalens</w:t>
      </w:r>
      <w:proofErr w:type="spellEnd"/>
      <w:r w:rsidRPr="00761599">
        <w:t xml:space="preserve"> sample is also fabricated with the same PB meta-atoms drilled on the metallic surfaces, as illustrated in Fig</w:t>
      </w:r>
      <w:r w:rsidR="008C6D37" w:rsidRPr="00761599">
        <w:t>ure</w:t>
      </w:r>
      <w:r w:rsidRPr="00761599">
        <w:t xml:space="preserve"> S</w:t>
      </w:r>
      <w:r w:rsidR="008C6D37" w:rsidRPr="00761599">
        <w:t>10</w:t>
      </w:r>
      <w:r w:rsidRPr="00761599">
        <w:t>b. We can clearly notice the different duty cycles of meta-atoms between the Fig</w:t>
      </w:r>
      <w:r w:rsidR="008C6D37" w:rsidRPr="00761599">
        <w:t>ure</w:t>
      </w:r>
      <w:r w:rsidRPr="00761599">
        <w:t xml:space="preserve"> S</w:t>
      </w:r>
      <w:r w:rsidR="008C6D37" w:rsidRPr="00761599">
        <w:t>10</w:t>
      </w:r>
      <w:r w:rsidRPr="00761599">
        <w:t xml:space="preserve">a and </w:t>
      </w:r>
      <w:r w:rsidR="008C6D37" w:rsidRPr="00761599">
        <w:t>S10</w:t>
      </w:r>
      <w:r w:rsidRPr="00761599">
        <w:t>b, which will directly influence the excited efficiency under the same coupling region. Fig</w:t>
      </w:r>
      <w:r w:rsidR="008C6D37" w:rsidRPr="00761599">
        <w:t>ure</w:t>
      </w:r>
      <w:r w:rsidRPr="00761599">
        <w:t xml:space="preserve"> S</w:t>
      </w:r>
      <w:r w:rsidR="008C6D37" w:rsidRPr="00761599">
        <w:t>10</w:t>
      </w:r>
      <w:r w:rsidRPr="00761599">
        <w:t xml:space="preserve">c further compares the intensities of these two </w:t>
      </w:r>
      <w:proofErr w:type="spellStart"/>
      <w:r w:rsidRPr="00761599">
        <w:t>metalens</w:t>
      </w:r>
      <w:proofErr w:type="spellEnd"/>
      <w:r w:rsidRPr="00761599">
        <w:t xml:space="preserve"> measured above each focal spot at different wavelengths. As for the consistent incidence, the fields are similarly superposed by use of the same polarizers generating two orthogonal polarizations so that the circular polarization or linear polarization incidences can be regarded as the equal energy. Therefore, the new holographic principle cannot only overcome the limit of the arrangement of resonators placed on the intersections, but also </w:t>
      </w:r>
      <w:r w:rsidRPr="00761599">
        <w:lastRenderedPageBreak/>
        <w:t>improve the freedom of the focusing design. We both theoretically and experimentally demonstrate the strengths of novel holographic principle on the focusing efficiency and flexible manipulation of SP waves.</w:t>
      </w:r>
    </w:p>
    <w:p w14:paraId="4CC9D317" w14:textId="77777777" w:rsidR="001C7C15" w:rsidRPr="00761599" w:rsidRDefault="001C7C15" w:rsidP="00724337">
      <w:pPr>
        <w:jc w:val="center"/>
      </w:pPr>
      <w:r w:rsidRPr="00761599">
        <w:rPr>
          <w:noProof/>
        </w:rPr>
        <w:drawing>
          <wp:inline distT="0" distB="0" distL="0" distR="0" wp14:anchorId="4697CDCC" wp14:editId="48BEDC08">
            <wp:extent cx="2876550" cy="43243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6550" cy="4324350"/>
                    </a:xfrm>
                    <a:prstGeom prst="rect">
                      <a:avLst/>
                    </a:prstGeom>
                    <a:noFill/>
                    <a:ln>
                      <a:noFill/>
                    </a:ln>
                  </pic:spPr>
                </pic:pic>
              </a:graphicData>
            </a:graphic>
          </wp:inline>
        </w:drawing>
      </w:r>
    </w:p>
    <w:p w14:paraId="75B40746" w14:textId="4F50054D" w:rsidR="001C7C15" w:rsidRPr="00761599" w:rsidRDefault="001C7C15" w:rsidP="00F80D12">
      <w:pPr>
        <w:pStyle w:val="Legend"/>
        <w:jc w:val="both"/>
      </w:pPr>
      <w:r w:rsidRPr="00761599">
        <w:rPr>
          <w:b/>
          <w:bCs/>
        </w:rPr>
        <w:t>Figure S1</w:t>
      </w:r>
      <w:r w:rsidR="00881762">
        <w:rPr>
          <w:b/>
          <w:bCs/>
        </w:rPr>
        <w:t>1</w:t>
      </w:r>
      <w:r w:rsidRPr="00761599">
        <w:rPr>
          <w:b/>
          <w:bCs/>
        </w:rPr>
        <w:t>.</w:t>
      </w:r>
      <w:r w:rsidRPr="00761599">
        <w:t xml:space="preserve"> Samples images and focal intensity comparisons. </w:t>
      </w:r>
      <w:r w:rsidR="009D1A69">
        <w:rPr>
          <w:b/>
          <w:bCs/>
        </w:rPr>
        <w:t>a</w:t>
      </w:r>
      <w:r w:rsidR="009D1A69">
        <w:t xml:space="preserve"> and</w:t>
      </w:r>
      <w:r w:rsidRPr="00761599">
        <w:t xml:space="preserve"> </w:t>
      </w:r>
      <w:r w:rsidRPr="009D1A69">
        <w:rPr>
          <w:b/>
          <w:bCs/>
        </w:rPr>
        <w:t>b</w:t>
      </w:r>
      <w:r w:rsidRPr="00761599">
        <w:t xml:space="preserve"> Fabricated </w:t>
      </w:r>
      <w:proofErr w:type="spellStart"/>
      <w:r w:rsidRPr="00761599">
        <w:t>metalens</w:t>
      </w:r>
      <w:proofErr w:type="spellEnd"/>
      <w:r w:rsidRPr="00761599">
        <w:t xml:space="preserve"> with the same meta-atoms by the two different methods, respectively. </w:t>
      </w:r>
      <w:r w:rsidRPr="009D1A69">
        <w:rPr>
          <w:b/>
          <w:bCs/>
        </w:rPr>
        <w:t>c</w:t>
      </w:r>
      <w:r w:rsidRPr="00761599">
        <w:t xml:space="preserve"> Intensities of each </w:t>
      </w:r>
      <w:proofErr w:type="spellStart"/>
      <w:r w:rsidRPr="00761599">
        <w:t>metalens</w:t>
      </w:r>
      <w:proofErr w:type="spellEnd"/>
      <w:r w:rsidRPr="00761599">
        <w:t xml:space="preserve"> measured at the focal spots under the identical energy incidences.</w:t>
      </w:r>
    </w:p>
    <w:p w14:paraId="6CE515CF" w14:textId="336E28E0" w:rsidR="0092576B" w:rsidRPr="00761599" w:rsidRDefault="0092576B" w:rsidP="009A2C53">
      <w:pPr>
        <w:pStyle w:val="MainText"/>
      </w:pPr>
    </w:p>
    <w:sectPr w:rsidR="0092576B" w:rsidRPr="00761599" w:rsidSect="00915FF5">
      <w:headerReference w:type="default" r:id="rId26"/>
      <w:footerReference w:type="default" r:id="rId27"/>
      <w:type w:val="continuous"/>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E8128" w14:textId="77777777" w:rsidR="00493797" w:rsidRDefault="00493797">
      <w:r>
        <w:separator/>
      </w:r>
    </w:p>
  </w:endnote>
  <w:endnote w:type="continuationSeparator" w:id="0">
    <w:p w14:paraId="2468ED30" w14:textId="77777777" w:rsidR="00493797" w:rsidRDefault="00493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altName w:val="微软雅黑"/>
    <w:panose1 w:val="020B0503020204020204"/>
    <w:charset w:val="86"/>
    <w:family w:val="swiss"/>
    <w:pitch w:val="variable"/>
    <w:sig w:usb0="80000287" w:usb1="2ACF3C52"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6A1" w14:textId="77777777" w:rsidR="007B7A09" w:rsidRDefault="007B7A09">
    <w:pPr>
      <w:pStyle w:val="Footer"/>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1DF70" w14:textId="77777777" w:rsidR="00493797" w:rsidRDefault="00493797">
      <w:r>
        <w:separator/>
      </w:r>
    </w:p>
  </w:footnote>
  <w:footnote w:type="continuationSeparator" w:id="0">
    <w:p w14:paraId="10554978" w14:textId="77777777" w:rsidR="00493797" w:rsidRDefault="00493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7A9FE175" w:rsidR="00562E2B" w:rsidRPr="009B44CC" w:rsidRDefault="00562E2B" w:rsidP="009B44CC">
    <w:pPr>
      <w:pStyle w:val="Header"/>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10ED4"/>
    <w:multiLevelType w:val="multilevel"/>
    <w:tmpl w:val="72E88FE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201984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dvanced 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d509ss9pgaavvoep29uxtxdf0az9azea59rz&quot;&gt;My EndNote Library&lt;record-ids&gt;&lt;item&gt;8&lt;/item&gt;&lt;item&gt;10&lt;/item&gt;&lt;item&gt;18&lt;/item&gt;&lt;item&gt;21&lt;/item&gt;&lt;item&gt;22&lt;/item&gt;&lt;item&gt;23&lt;/item&gt;&lt;item&gt;30&lt;/item&gt;&lt;item&gt;32&lt;/item&gt;&lt;item&gt;34&lt;/item&gt;&lt;item&gt;36&lt;/item&gt;&lt;item&gt;41&lt;/item&gt;&lt;item&gt;42&lt;/item&gt;&lt;item&gt;45&lt;/item&gt;&lt;item&gt;53&lt;/item&gt;&lt;item&gt;54&lt;/item&gt;&lt;item&gt;61&lt;/item&gt;&lt;item&gt;71&lt;/item&gt;&lt;item&gt;76&lt;/item&gt;&lt;item&gt;80&lt;/item&gt;&lt;item&gt;84&lt;/item&gt;&lt;item&gt;89&lt;/item&gt;&lt;item&gt;97&lt;/item&gt;&lt;item&gt;98&lt;/item&gt;&lt;item&gt;100&lt;/item&gt;&lt;item&gt;103&lt;/item&gt;&lt;item&gt;106&lt;/item&gt;&lt;item&gt;108&lt;/item&gt;&lt;item&gt;110&lt;/item&gt;&lt;item&gt;111&lt;/item&gt;&lt;item&gt;112&lt;/item&gt;&lt;item&gt;113&lt;/item&gt;&lt;item&gt;114&lt;/item&gt;&lt;item&gt;115&lt;/item&gt;&lt;item&gt;116&lt;/item&gt;&lt;item&gt;117&lt;/item&gt;&lt;item&gt;119&lt;/item&gt;&lt;item&gt;120&lt;/item&gt;&lt;item&gt;121&lt;/item&gt;&lt;item&gt;122&lt;/item&gt;&lt;item&gt;123&lt;/item&gt;&lt;item&gt;124&lt;/item&gt;&lt;item&gt;125&lt;/item&gt;&lt;item&gt;126&lt;/item&gt;&lt;item&gt;129&lt;/item&gt;&lt;item&gt;130&lt;/item&gt;&lt;item&gt;136&lt;/item&gt;&lt;item&gt;137&lt;/item&gt;&lt;item&gt;152&lt;/item&gt;&lt;item&gt;153&lt;/item&gt;&lt;item&gt;154&lt;/item&gt;&lt;item&gt;155&lt;/item&gt;&lt;/record-ids&gt;&lt;/item&gt;&lt;/Libraries&gt;"/>
  </w:docVars>
  <w:rsids>
    <w:rsidRoot w:val="002D16A0"/>
    <w:rsid w:val="000003BB"/>
    <w:rsid w:val="0000374D"/>
    <w:rsid w:val="00004A23"/>
    <w:rsid w:val="00006A0A"/>
    <w:rsid w:val="0000703E"/>
    <w:rsid w:val="000112FC"/>
    <w:rsid w:val="000118B0"/>
    <w:rsid w:val="00011F40"/>
    <w:rsid w:val="0001454A"/>
    <w:rsid w:val="0001683C"/>
    <w:rsid w:val="000172E7"/>
    <w:rsid w:val="000214A8"/>
    <w:rsid w:val="00023F64"/>
    <w:rsid w:val="00027FB5"/>
    <w:rsid w:val="000314D2"/>
    <w:rsid w:val="0003318F"/>
    <w:rsid w:val="0004094E"/>
    <w:rsid w:val="00040B7B"/>
    <w:rsid w:val="0004158D"/>
    <w:rsid w:val="00041C1B"/>
    <w:rsid w:val="000437F7"/>
    <w:rsid w:val="00050985"/>
    <w:rsid w:val="0005501E"/>
    <w:rsid w:val="00055883"/>
    <w:rsid w:val="000602A7"/>
    <w:rsid w:val="0006044D"/>
    <w:rsid w:val="00060D37"/>
    <w:rsid w:val="00062324"/>
    <w:rsid w:val="00063C0E"/>
    <w:rsid w:val="00072EA7"/>
    <w:rsid w:val="00076EAD"/>
    <w:rsid w:val="0008287E"/>
    <w:rsid w:val="00083031"/>
    <w:rsid w:val="0008740B"/>
    <w:rsid w:val="000904D3"/>
    <w:rsid w:val="0009309C"/>
    <w:rsid w:val="00093F1B"/>
    <w:rsid w:val="000A1F4B"/>
    <w:rsid w:val="000A21A9"/>
    <w:rsid w:val="000A26E7"/>
    <w:rsid w:val="000A3E93"/>
    <w:rsid w:val="000A472C"/>
    <w:rsid w:val="000A5773"/>
    <w:rsid w:val="000A682F"/>
    <w:rsid w:val="000B05A0"/>
    <w:rsid w:val="000B33EE"/>
    <w:rsid w:val="000B4293"/>
    <w:rsid w:val="000C0F55"/>
    <w:rsid w:val="000C259E"/>
    <w:rsid w:val="000C3E0C"/>
    <w:rsid w:val="000C6252"/>
    <w:rsid w:val="000C6F8A"/>
    <w:rsid w:val="000D2D4B"/>
    <w:rsid w:val="000D45F4"/>
    <w:rsid w:val="000D5AB4"/>
    <w:rsid w:val="000D66DB"/>
    <w:rsid w:val="000D7EBA"/>
    <w:rsid w:val="000E788B"/>
    <w:rsid w:val="000E7A5B"/>
    <w:rsid w:val="000E7BBA"/>
    <w:rsid w:val="000F2F46"/>
    <w:rsid w:val="000F512F"/>
    <w:rsid w:val="001013F4"/>
    <w:rsid w:val="001054D4"/>
    <w:rsid w:val="0010686C"/>
    <w:rsid w:val="00107C5F"/>
    <w:rsid w:val="00107CCC"/>
    <w:rsid w:val="00110011"/>
    <w:rsid w:val="001105BD"/>
    <w:rsid w:val="0011170E"/>
    <w:rsid w:val="00116C82"/>
    <w:rsid w:val="00120BE6"/>
    <w:rsid w:val="00120E85"/>
    <w:rsid w:val="00123ADA"/>
    <w:rsid w:val="00125573"/>
    <w:rsid w:val="0012642A"/>
    <w:rsid w:val="00126D17"/>
    <w:rsid w:val="001305BF"/>
    <w:rsid w:val="00131D58"/>
    <w:rsid w:val="001370B1"/>
    <w:rsid w:val="001377CA"/>
    <w:rsid w:val="00140B94"/>
    <w:rsid w:val="001423B2"/>
    <w:rsid w:val="001450FB"/>
    <w:rsid w:val="00145A36"/>
    <w:rsid w:val="0014658A"/>
    <w:rsid w:val="00147DB8"/>
    <w:rsid w:val="00151683"/>
    <w:rsid w:val="0015392F"/>
    <w:rsid w:val="0015563E"/>
    <w:rsid w:val="00155A3D"/>
    <w:rsid w:val="00155F66"/>
    <w:rsid w:val="0016390D"/>
    <w:rsid w:val="00164057"/>
    <w:rsid w:val="00165B37"/>
    <w:rsid w:val="00170369"/>
    <w:rsid w:val="00173757"/>
    <w:rsid w:val="00174176"/>
    <w:rsid w:val="00181D92"/>
    <w:rsid w:val="001823B6"/>
    <w:rsid w:val="001848EB"/>
    <w:rsid w:val="00187DB9"/>
    <w:rsid w:val="0019077D"/>
    <w:rsid w:val="0019194D"/>
    <w:rsid w:val="0019723B"/>
    <w:rsid w:val="001A4240"/>
    <w:rsid w:val="001A6821"/>
    <w:rsid w:val="001A734D"/>
    <w:rsid w:val="001B4224"/>
    <w:rsid w:val="001B7472"/>
    <w:rsid w:val="001C10AC"/>
    <w:rsid w:val="001C55FB"/>
    <w:rsid w:val="001C7C15"/>
    <w:rsid w:val="001D12BC"/>
    <w:rsid w:val="001D561D"/>
    <w:rsid w:val="001E18CC"/>
    <w:rsid w:val="001E3D2D"/>
    <w:rsid w:val="001E4605"/>
    <w:rsid w:val="001E5F4E"/>
    <w:rsid w:val="001F2689"/>
    <w:rsid w:val="001F2AB7"/>
    <w:rsid w:val="001F3C9B"/>
    <w:rsid w:val="001F3E77"/>
    <w:rsid w:val="001F4522"/>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5BC6"/>
    <w:rsid w:val="002162B2"/>
    <w:rsid w:val="00216F54"/>
    <w:rsid w:val="00220933"/>
    <w:rsid w:val="00220C72"/>
    <w:rsid w:val="0022540C"/>
    <w:rsid w:val="00226AA4"/>
    <w:rsid w:val="00232C19"/>
    <w:rsid w:val="00233C8A"/>
    <w:rsid w:val="00236036"/>
    <w:rsid w:val="00240D90"/>
    <w:rsid w:val="00253CB1"/>
    <w:rsid w:val="002543F9"/>
    <w:rsid w:val="00257ADD"/>
    <w:rsid w:val="00263723"/>
    <w:rsid w:val="00263CF8"/>
    <w:rsid w:val="00265635"/>
    <w:rsid w:val="00266389"/>
    <w:rsid w:val="002675F7"/>
    <w:rsid w:val="002725A5"/>
    <w:rsid w:val="0027314F"/>
    <w:rsid w:val="0028289F"/>
    <w:rsid w:val="00284157"/>
    <w:rsid w:val="00285631"/>
    <w:rsid w:val="00290D94"/>
    <w:rsid w:val="0029203C"/>
    <w:rsid w:val="00294873"/>
    <w:rsid w:val="002A4A81"/>
    <w:rsid w:val="002A73A2"/>
    <w:rsid w:val="002A7CE8"/>
    <w:rsid w:val="002B0671"/>
    <w:rsid w:val="002B262F"/>
    <w:rsid w:val="002B3553"/>
    <w:rsid w:val="002B5E06"/>
    <w:rsid w:val="002C0CFF"/>
    <w:rsid w:val="002C3385"/>
    <w:rsid w:val="002D09B9"/>
    <w:rsid w:val="002D16A0"/>
    <w:rsid w:val="002D2930"/>
    <w:rsid w:val="002D2DFF"/>
    <w:rsid w:val="002D3D6D"/>
    <w:rsid w:val="002D5BF8"/>
    <w:rsid w:val="002D7ECC"/>
    <w:rsid w:val="002E1B8F"/>
    <w:rsid w:val="002E2DEF"/>
    <w:rsid w:val="002E4E3E"/>
    <w:rsid w:val="002E5031"/>
    <w:rsid w:val="002E76B2"/>
    <w:rsid w:val="002E79A2"/>
    <w:rsid w:val="002F4F4B"/>
    <w:rsid w:val="002F55FD"/>
    <w:rsid w:val="002F594C"/>
    <w:rsid w:val="00301984"/>
    <w:rsid w:val="00301B0B"/>
    <w:rsid w:val="00301E84"/>
    <w:rsid w:val="00302E7A"/>
    <w:rsid w:val="00303D1B"/>
    <w:rsid w:val="003046B7"/>
    <w:rsid w:val="00317A57"/>
    <w:rsid w:val="00320A99"/>
    <w:rsid w:val="0032144B"/>
    <w:rsid w:val="00321E38"/>
    <w:rsid w:val="00322D5B"/>
    <w:rsid w:val="00325AC2"/>
    <w:rsid w:val="00326A1C"/>
    <w:rsid w:val="00327FDC"/>
    <w:rsid w:val="00331A2E"/>
    <w:rsid w:val="003360E3"/>
    <w:rsid w:val="003371D5"/>
    <w:rsid w:val="00337497"/>
    <w:rsid w:val="003376CD"/>
    <w:rsid w:val="003452C3"/>
    <w:rsid w:val="00345FD3"/>
    <w:rsid w:val="003501A7"/>
    <w:rsid w:val="0035048A"/>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B7A59"/>
    <w:rsid w:val="003C00ED"/>
    <w:rsid w:val="003C1C0A"/>
    <w:rsid w:val="003C35DF"/>
    <w:rsid w:val="003C4A68"/>
    <w:rsid w:val="003C554F"/>
    <w:rsid w:val="003C57D6"/>
    <w:rsid w:val="003C61DD"/>
    <w:rsid w:val="003D2EE5"/>
    <w:rsid w:val="003D63E7"/>
    <w:rsid w:val="003E05F1"/>
    <w:rsid w:val="003E113B"/>
    <w:rsid w:val="003E5092"/>
    <w:rsid w:val="003E715D"/>
    <w:rsid w:val="003F103E"/>
    <w:rsid w:val="003F2DCB"/>
    <w:rsid w:val="003F2E48"/>
    <w:rsid w:val="003F440C"/>
    <w:rsid w:val="003F525A"/>
    <w:rsid w:val="003F7BE6"/>
    <w:rsid w:val="004006A9"/>
    <w:rsid w:val="00404548"/>
    <w:rsid w:val="004052AE"/>
    <w:rsid w:val="00405A1A"/>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41EAC"/>
    <w:rsid w:val="004507E5"/>
    <w:rsid w:val="004519AD"/>
    <w:rsid w:val="0045459A"/>
    <w:rsid w:val="004545DB"/>
    <w:rsid w:val="0045786A"/>
    <w:rsid w:val="00460F76"/>
    <w:rsid w:val="00462F12"/>
    <w:rsid w:val="00463050"/>
    <w:rsid w:val="0046340F"/>
    <w:rsid w:val="00466168"/>
    <w:rsid w:val="0046778B"/>
    <w:rsid w:val="00470E3C"/>
    <w:rsid w:val="004714D4"/>
    <w:rsid w:val="004755D6"/>
    <w:rsid w:val="00475712"/>
    <w:rsid w:val="004760FF"/>
    <w:rsid w:val="00480CCE"/>
    <w:rsid w:val="00482FAA"/>
    <w:rsid w:val="00487211"/>
    <w:rsid w:val="0049075F"/>
    <w:rsid w:val="00492DA8"/>
    <w:rsid w:val="00493797"/>
    <w:rsid w:val="004A0888"/>
    <w:rsid w:val="004A1F1F"/>
    <w:rsid w:val="004A43B6"/>
    <w:rsid w:val="004A70EE"/>
    <w:rsid w:val="004A774E"/>
    <w:rsid w:val="004A7D3E"/>
    <w:rsid w:val="004A7FF9"/>
    <w:rsid w:val="004B379D"/>
    <w:rsid w:val="004B5641"/>
    <w:rsid w:val="004B5F0C"/>
    <w:rsid w:val="004B6031"/>
    <w:rsid w:val="004C046E"/>
    <w:rsid w:val="004C1609"/>
    <w:rsid w:val="004C216B"/>
    <w:rsid w:val="004C5DD3"/>
    <w:rsid w:val="004D30F9"/>
    <w:rsid w:val="004D4A32"/>
    <w:rsid w:val="004D6105"/>
    <w:rsid w:val="004D64AB"/>
    <w:rsid w:val="004E7CE8"/>
    <w:rsid w:val="004F271D"/>
    <w:rsid w:val="004F5114"/>
    <w:rsid w:val="004F756C"/>
    <w:rsid w:val="005001FA"/>
    <w:rsid w:val="005019AF"/>
    <w:rsid w:val="0050488D"/>
    <w:rsid w:val="00504D12"/>
    <w:rsid w:val="0050527A"/>
    <w:rsid w:val="0050535A"/>
    <w:rsid w:val="005106F5"/>
    <w:rsid w:val="00511192"/>
    <w:rsid w:val="005118AD"/>
    <w:rsid w:val="00512353"/>
    <w:rsid w:val="005220C2"/>
    <w:rsid w:val="00522E88"/>
    <w:rsid w:val="00523369"/>
    <w:rsid w:val="0052398F"/>
    <w:rsid w:val="0053296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3ED5"/>
    <w:rsid w:val="00587437"/>
    <w:rsid w:val="00592678"/>
    <w:rsid w:val="00594644"/>
    <w:rsid w:val="0059526F"/>
    <w:rsid w:val="00596F36"/>
    <w:rsid w:val="005A0054"/>
    <w:rsid w:val="005A1741"/>
    <w:rsid w:val="005A235F"/>
    <w:rsid w:val="005A751F"/>
    <w:rsid w:val="005A7719"/>
    <w:rsid w:val="005A77C2"/>
    <w:rsid w:val="005B0393"/>
    <w:rsid w:val="005B291B"/>
    <w:rsid w:val="005B661F"/>
    <w:rsid w:val="005B76C5"/>
    <w:rsid w:val="005B7AF0"/>
    <w:rsid w:val="005B7B8A"/>
    <w:rsid w:val="005C09C6"/>
    <w:rsid w:val="005C458D"/>
    <w:rsid w:val="005C491E"/>
    <w:rsid w:val="005C5E0A"/>
    <w:rsid w:val="005C6C0C"/>
    <w:rsid w:val="005D2276"/>
    <w:rsid w:val="005D25FD"/>
    <w:rsid w:val="005D2808"/>
    <w:rsid w:val="005D6C01"/>
    <w:rsid w:val="005E0858"/>
    <w:rsid w:val="005E2794"/>
    <w:rsid w:val="005E2C68"/>
    <w:rsid w:val="005E3CBF"/>
    <w:rsid w:val="005E45B5"/>
    <w:rsid w:val="005E6F9D"/>
    <w:rsid w:val="005E7B5A"/>
    <w:rsid w:val="005F01FC"/>
    <w:rsid w:val="005F0C89"/>
    <w:rsid w:val="005F3701"/>
    <w:rsid w:val="005F41DF"/>
    <w:rsid w:val="005F4521"/>
    <w:rsid w:val="005F5478"/>
    <w:rsid w:val="006006FC"/>
    <w:rsid w:val="0060361F"/>
    <w:rsid w:val="006045BA"/>
    <w:rsid w:val="0060583A"/>
    <w:rsid w:val="00611649"/>
    <w:rsid w:val="00611A0E"/>
    <w:rsid w:val="00614154"/>
    <w:rsid w:val="00614BD3"/>
    <w:rsid w:val="00623A77"/>
    <w:rsid w:val="006256F5"/>
    <w:rsid w:val="0063097B"/>
    <w:rsid w:val="006364B8"/>
    <w:rsid w:val="00636A64"/>
    <w:rsid w:val="00636B93"/>
    <w:rsid w:val="00640550"/>
    <w:rsid w:val="006423FD"/>
    <w:rsid w:val="0064326A"/>
    <w:rsid w:val="00644D5D"/>
    <w:rsid w:val="0064695B"/>
    <w:rsid w:val="0064695E"/>
    <w:rsid w:val="00646DC7"/>
    <w:rsid w:val="006511FB"/>
    <w:rsid w:val="00651770"/>
    <w:rsid w:val="00651A9D"/>
    <w:rsid w:val="00654C93"/>
    <w:rsid w:val="00655EFB"/>
    <w:rsid w:val="00656092"/>
    <w:rsid w:val="0065741C"/>
    <w:rsid w:val="00660B85"/>
    <w:rsid w:val="006622E0"/>
    <w:rsid w:val="00662DCE"/>
    <w:rsid w:val="00663811"/>
    <w:rsid w:val="00664F6D"/>
    <w:rsid w:val="006650B8"/>
    <w:rsid w:val="00666329"/>
    <w:rsid w:val="006672EE"/>
    <w:rsid w:val="0067011F"/>
    <w:rsid w:val="0067015E"/>
    <w:rsid w:val="00680453"/>
    <w:rsid w:val="00682526"/>
    <w:rsid w:val="00683555"/>
    <w:rsid w:val="00686F1D"/>
    <w:rsid w:val="00692F7A"/>
    <w:rsid w:val="00695E06"/>
    <w:rsid w:val="00696315"/>
    <w:rsid w:val="006A0D51"/>
    <w:rsid w:val="006A1C05"/>
    <w:rsid w:val="006A225B"/>
    <w:rsid w:val="006A30D2"/>
    <w:rsid w:val="006A5A6A"/>
    <w:rsid w:val="006A5FE3"/>
    <w:rsid w:val="006B23B2"/>
    <w:rsid w:val="006B262E"/>
    <w:rsid w:val="006B4845"/>
    <w:rsid w:val="006B635C"/>
    <w:rsid w:val="006C0150"/>
    <w:rsid w:val="006C1708"/>
    <w:rsid w:val="006C1C29"/>
    <w:rsid w:val="006C3782"/>
    <w:rsid w:val="006C3CDE"/>
    <w:rsid w:val="006C4745"/>
    <w:rsid w:val="006D0EE8"/>
    <w:rsid w:val="006D3162"/>
    <w:rsid w:val="006D37E7"/>
    <w:rsid w:val="006D5146"/>
    <w:rsid w:val="006D59D6"/>
    <w:rsid w:val="006D5C04"/>
    <w:rsid w:val="006D7508"/>
    <w:rsid w:val="006E0F2F"/>
    <w:rsid w:val="006E19D7"/>
    <w:rsid w:val="006E71B9"/>
    <w:rsid w:val="006F39B2"/>
    <w:rsid w:val="006F5384"/>
    <w:rsid w:val="006F6604"/>
    <w:rsid w:val="006F6896"/>
    <w:rsid w:val="006F71D8"/>
    <w:rsid w:val="006F7D1A"/>
    <w:rsid w:val="00702F6F"/>
    <w:rsid w:val="0070346C"/>
    <w:rsid w:val="007051A0"/>
    <w:rsid w:val="00706496"/>
    <w:rsid w:val="00711A12"/>
    <w:rsid w:val="00711F11"/>
    <w:rsid w:val="007154C4"/>
    <w:rsid w:val="00715DB9"/>
    <w:rsid w:val="007174BE"/>
    <w:rsid w:val="007218A0"/>
    <w:rsid w:val="007238AF"/>
    <w:rsid w:val="00724337"/>
    <w:rsid w:val="0072580F"/>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61FC"/>
    <w:rsid w:val="00761599"/>
    <w:rsid w:val="00761D34"/>
    <w:rsid w:val="00762D2D"/>
    <w:rsid w:val="00764622"/>
    <w:rsid w:val="00764CAD"/>
    <w:rsid w:val="00770FA1"/>
    <w:rsid w:val="00773884"/>
    <w:rsid w:val="00774813"/>
    <w:rsid w:val="0078052A"/>
    <w:rsid w:val="007812FB"/>
    <w:rsid w:val="00784032"/>
    <w:rsid w:val="00786E79"/>
    <w:rsid w:val="00787925"/>
    <w:rsid w:val="00790934"/>
    <w:rsid w:val="00790E31"/>
    <w:rsid w:val="00791578"/>
    <w:rsid w:val="00793B87"/>
    <w:rsid w:val="007949F9"/>
    <w:rsid w:val="00795482"/>
    <w:rsid w:val="0079566E"/>
    <w:rsid w:val="00796509"/>
    <w:rsid w:val="0079691E"/>
    <w:rsid w:val="00797723"/>
    <w:rsid w:val="007B1EEE"/>
    <w:rsid w:val="007B249B"/>
    <w:rsid w:val="007B6D4D"/>
    <w:rsid w:val="007B6FAF"/>
    <w:rsid w:val="007B7A09"/>
    <w:rsid w:val="007C0A5A"/>
    <w:rsid w:val="007C0F7A"/>
    <w:rsid w:val="007D24A9"/>
    <w:rsid w:val="007D27FA"/>
    <w:rsid w:val="007D30B5"/>
    <w:rsid w:val="007D6218"/>
    <w:rsid w:val="007D6699"/>
    <w:rsid w:val="007D7E30"/>
    <w:rsid w:val="007E0A75"/>
    <w:rsid w:val="007E6419"/>
    <w:rsid w:val="007F6815"/>
    <w:rsid w:val="007F6BA8"/>
    <w:rsid w:val="008067D1"/>
    <w:rsid w:val="0080681B"/>
    <w:rsid w:val="0080738C"/>
    <w:rsid w:val="00810B77"/>
    <w:rsid w:val="00815E96"/>
    <w:rsid w:val="00817436"/>
    <w:rsid w:val="00822217"/>
    <w:rsid w:val="0082542D"/>
    <w:rsid w:val="00827834"/>
    <w:rsid w:val="00832835"/>
    <w:rsid w:val="00835110"/>
    <w:rsid w:val="008351FC"/>
    <w:rsid w:val="00841F50"/>
    <w:rsid w:val="00843A0E"/>
    <w:rsid w:val="00845DFE"/>
    <w:rsid w:val="00846E17"/>
    <w:rsid w:val="00851A98"/>
    <w:rsid w:val="0085200A"/>
    <w:rsid w:val="00854283"/>
    <w:rsid w:val="008573E3"/>
    <w:rsid w:val="00861E81"/>
    <w:rsid w:val="008645FF"/>
    <w:rsid w:val="00866D42"/>
    <w:rsid w:val="0087030E"/>
    <w:rsid w:val="00870AAC"/>
    <w:rsid w:val="008734F7"/>
    <w:rsid w:val="00874E9F"/>
    <w:rsid w:val="0087770E"/>
    <w:rsid w:val="00877842"/>
    <w:rsid w:val="00877EC3"/>
    <w:rsid w:val="008806F8"/>
    <w:rsid w:val="008808E2"/>
    <w:rsid w:val="00881456"/>
    <w:rsid w:val="00881762"/>
    <w:rsid w:val="00881ACB"/>
    <w:rsid w:val="00885FC9"/>
    <w:rsid w:val="00891328"/>
    <w:rsid w:val="00891A47"/>
    <w:rsid w:val="0089264B"/>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B7ECF"/>
    <w:rsid w:val="008C0B84"/>
    <w:rsid w:val="008C41DA"/>
    <w:rsid w:val="008C553A"/>
    <w:rsid w:val="008C588E"/>
    <w:rsid w:val="008C6D37"/>
    <w:rsid w:val="008C6D5F"/>
    <w:rsid w:val="008C7226"/>
    <w:rsid w:val="008D7B80"/>
    <w:rsid w:val="008E243B"/>
    <w:rsid w:val="008E4184"/>
    <w:rsid w:val="008E549F"/>
    <w:rsid w:val="008E6301"/>
    <w:rsid w:val="008F10BC"/>
    <w:rsid w:val="008F2052"/>
    <w:rsid w:val="008F26ED"/>
    <w:rsid w:val="008F2A38"/>
    <w:rsid w:val="008F3012"/>
    <w:rsid w:val="008F592B"/>
    <w:rsid w:val="00901D14"/>
    <w:rsid w:val="00903775"/>
    <w:rsid w:val="00903BA3"/>
    <w:rsid w:val="009109F7"/>
    <w:rsid w:val="00912137"/>
    <w:rsid w:val="00915BED"/>
    <w:rsid w:val="00915FF5"/>
    <w:rsid w:val="00916B64"/>
    <w:rsid w:val="0092145D"/>
    <w:rsid w:val="009245DE"/>
    <w:rsid w:val="0092576B"/>
    <w:rsid w:val="00930762"/>
    <w:rsid w:val="00930C0C"/>
    <w:rsid w:val="00934A8C"/>
    <w:rsid w:val="00936B81"/>
    <w:rsid w:val="00937504"/>
    <w:rsid w:val="00941C91"/>
    <w:rsid w:val="00944701"/>
    <w:rsid w:val="00950CF9"/>
    <w:rsid w:val="00950ED1"/>
    <w:rsid w:val="00952A7A"/>
    <w:rsid w:val="00953A02"/>
    <w:rsid w:val="0095444E"/>
    <w:rsid w:val="00955C67"/>
    <w:rsid w:val="00957B65"/>
    <w:rsid w:val="00960AFF"/>
    <w:rsid w:val="00963F62"/>
    <w:rsid w:val="00965712"/>
    <w:rsid w:val="0096595E"/>
    <w:rsid w:val="00965EFC"/>
    <w:rsid w:val="0097161B"/>
    <w:rsid w:val="009762D2"/>
    <w:rsid w:val="009762F1"/>
    <w:rsid w:val="0097692D"/>
    <w:rsid w:val="009776D2"/>
    <w:rsid w:val="00977EA8"/>
    <w:rsid w:val="0098140D"/>
    <w:rsid w:val="00981CED"/>
    <w:rsid w:val="00981D4E"/>
    <w:rsid w:val="00987225"/>
    <w:rsid w:val="00990870"/>
    <w:rsid w:val="00990DCF"/>
    <w:rsid w:val="009920F5"/>
    <w:rsid w:val="00992B56"/>
    <w:rsid w:val="00992CDA"/>
    <w:rsid w:val="00993342"/>
    <w:rsid w:val="00996CE4"/>
    <w:rsid w:val="009A0FB3"/>
    <w:rsid w:val="009A2C53"/>
    <w:rsid w:val="009A3F36"/>
    <w:rsid w:val="009A48D8"/>
    <w:rsid w:val="009A6C59"/>
    <w:rsid w:val="009A7878"/>
    <w:rsid w:val="009B0888"/>
    <w:rsid w:val="009B33DF"/>
    <w:rsid w:val="009B4270"/>
    <w:rsid w:val="009B44CC"/>
    <w:rsid w:val="009B5651"/>
    <w:rsid w:val="009B62E4"/>
    <w:rsid w:val="009B706A"/>
    <w:rsid w:val="009C4319"/>
    <w:rsid w:val="009D109E"/>
    <w:rsid w:val="009D1A69"/>
    <w:rsid w:val="009D1CD9"/>
    <w:rsid w:val="009D1F28"/>
    <w:rsid w:val="009D28E5"/>
    <w:rsid w:val="009D4830"/>
    <w:rsid w:val="009D520D"/>
    <w:rsid w:val="009D6881"/>
    <w:rsid w:val="009D797A"/>
    <w:rsid w:val="009E026A"/>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17D06"/>
    <w:rsid w:val="00A2085F"/>
    <w:rsid w:val="00A20EC0"/>
    <w:rsid w:val="00A2150B"/>
    <w:rsid w:val="00A215D9"/>
    <w:rsid w:val="00A2292C"/>
    <w:rsid w:val="00A23FC3"/>
    <w:rsid w:val="00A24F93"/>
    <w:rsid w:val="00A25F1B"/>
    <w:rsid w:val="00A325A3"/>
    <w:rsid w:val="00A3288D"/>
    <w:rsid w:val="00A329DC"/>
    <w:rsid w:val="00A41135"/>
    <w:rsid w:val="00A41FEB"/>
    <w:rsid w:val="00A42FBA"/>
    <w:rsid w:val="00A44DA6"/>
    <w:rsid w:val="00A50921"/>
    <w:rsid w:val="00A5160D"/>
    <w:rsid w:val="00A56CA4"/>
    <w:rsid w:val="00A65F04"/>
    <w:rsid w:val="00A65F2E"/>
    <w:rsid w:val="00A7086D"/>
    <w:rsid w:val="00A71AD5"/>
    <w:rsid w:val="00A75C84"/>
    <w:rsid w:val="00A8073E"/>
    <w:rsid w:val="00A80883"/>
    <w:rsid w:val="00A81BED"/>
    <w:rsid w:val="00A82FC6"/>
    <w:rsid w:val="00A85A0D"/>
    <w:rsid w:val="00A92270"/>
    <w:rsid w:val="00A93366"/>
    <w:rsid w:val="00A93437"/>
    <w:rsid w:val="00AA10AE"/>
    <w:rsid w:val="00AA329F"/>
    <w:rsid w:val="00AA7B6A"/>
    <w:rsid w:val="00AB593E"/>
    <w:rsid w:val="00AB5D37"/>
    <w:rsid w:val="00AB683F"/>
    <w:rsid w:val="00AC4A2E"/>
    <w:rsid w:val="00AD1885"/>
    <w:rsid w:val="00AD50BA"/>
    <w:rsid w:val="00AE02E7"/>
    <w:rsid w:val="00AE0F75"/>
    <w:rsid w:val="00AE319E"/>
    <w:rsid w:val="00AE3B2C"/>
    <w:rsid w:val="00AE3B4E"/>
    <w:rsid w:val="00AE676F"/>
    <w:rsid w:val="00AE709C"/>
    <w:rsid w:val="00AE7DD9"/>
    <w:rsid w:val="00AF2B38"/>
    <w:rsid w:val="00B004C1"/>
    <w:rsid w:val="00B0168B"/>
    <w:rsid w:val="00B03458"/>
    <w:rsid w:val="00B04B8E"/>
    <w:rsid w:val="00B1072F"/>
    <w:rsid w:val="00B15820"/>
    <w:rsid w:val="00B215D8"/>
    <w:rsid w:val="00B2218A"/>
    <w:rsid w:val="00B246ED"/>
    <w:rsid w:val="00B26DD0"/>
    <w:rsid w:val="00B338C8"/>
    <w:rsid w:val="00B341CC"/>
    <w:rsid w:val="00B3458F"/>
    <w:rsid w:val="00B35321"/>
    <w:rsid w:val="00B35505"/>
    <w:rsid w:val="00B35CB3"/>
    <w:rsid w:val="00B35E0A"/>
    <w:rsid w:val="00B40124"/>
    <w:rsid w:val="00B40B86"/>
    <w:rsid w:val="00B42E03"/>
    <w:rsid w:val="00B443E2"/>
    <w:rsid w:val="00B46222"/>
    <w:rsid w:val="00B5065F"/>
    <w:rsid w:val="00B54092"/>
    <w:rsid w:val="00B5444C"/>
    <w:rsid w:val="00B5568B"/>
    <w:rsid w:val="00B557BF"/>
    <w:rsid w:val="00B55BD6"/>
    <w:rsid w:val="00B56147"/>
    <w:rsid w:val="00B5720A"/>
    <w:rsid w:val="00B604A0"/>
    <w:rsid w:val="00B60761"/>
    <w:rsid w:val="00B620A5"/>
    <w:rsid w:val="00B62BB1"/>
    <w:rsid w:val="00B63559"/>
    <w:rsid w:val="00B71EC5"/>
    <w:rsid w:val="00B73979"/>
    <w:rsid w:val="00B751B0"/>
    <w:rsid w:val="00B762E0"/>
    <w:rsid w:val="00B86188"/>
    <w:rsid w:val="00B86957"/>
    <w:rsid w:val="00B86C54"/>
    <w:rsid w:val="00B874C4"/>
    <w:rsid w:val="00B97AA2"/>
    <w:rsid w:val="00B97B8E"/>
    <w:rsid w:val="00BA00A8"/>
    <w:rsid w:val="00BA0378"/>
    <w:rsid w:val="00BA37A4"/>
    <w:rsid w:val="00BA4FB0"/>
    <w:rsid w:val="00BA6138"/>
    <w:rsid w:val="00BB11B6"/>
    <w:rsid w:val="00BB1930"/>
    <w:rsid w:val="00BB3478"/>
    <w:rsid w:val="00BB750E"/>
    <w:rsid w:val="00BC2247"/>
    <w:rsid w:val="00BC5572"/>
    <w:rsid w:val="00BD497C"/>
    <w:rsid w:val="00BD57EE"/>
    <w:rsid w:val="00BE4E8A"/>
    <w:rsid w:val="00BE5BC9"/>
    <w:rsid w:val="00BF2A79"/>
    <w:rsid w:val="00BF375F"/>
    <w:rsid w:val="00C02372"/>
    <w:rsid w:val="00C044C3"/>
    <w:rsid w:val="00C07661"/>
    <w:rsid w:val="00C10453"/>
    <w:rsid w:val="00C12E60"/>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67CB"/>
    <w:rsid w:val="00C76DD6"/>
    <w:rsid w:val="00C90B62"/>
    <w:rsid w:val="00C91C08"/>
    <w:rsid w:val="00C924FE"/>
    <w:rsid w:val="00C9315F"/>
    <w:rsid w:val="00C959F3"/>
    <w:rsid w:val="00C97F0E"/>
    <w:rsid w:val="00CA06AC"/>
    <w:rsid w:val="00CA1D9E"/>
    <w:rsid w:val="00CA242A"/>
    <w:rsid w:val="00CA27BD"/>
    <w:rsid w:val="00CA2AB6"/>
    <w:rsid w:val="00CA36DE"/>
    <w:rsid w:val="00CA4BCC"/>
    <w:rsid w:val="00CA5313"/>
    <w:rsid w:val="00CB01D6"/>
    <w:rsid w:val="00CB311E"/>
    <w:rsid w:val="00CB71E1"/>
    <w:rsid w:val="00CC0ED3"/>
    <w:rsid w:val="00CC1894"/>
    <w:rsid w:val="00CC2EE2"/>
    <w:rsid w:val="00CC3D03"/>
    <w:rsid w:val="00CC45DB"/>
    <w:rsid w:val="00CC5651"/>
    <w:rsid w:val="00CC73FF"/>
    <w:rsid w:val="00CD141E"/>
    <w:rsid w:val="00CD45DA"/>
    <w:rsid w:val="00CE2EA4"/>
    <w:rsid w:val="00CE5714"/>
    <w:rsid w:val="00CE6138"/>
    <w:rsid w:val="00CE6F59"/>
    <w:rsid w:val="00CE7AAB"/>
    <w:rsid w:val="00CF2673"/>
    <w:rsid w:val="00CF2DA1"/>
    <w:rsid w:val="00CF43B1"/>
    <w:rsid w:val="00D0614B"/>
    <w:rsid w:val="00D06AD1"/>
    <w:rsid w:val="00D17549"/>
    <w:rsid w:val="00D24D97"/>
    <w:rsid w:val="00D275F5"/>
    <w:rsid w:val="00D376F1"/>
    <w:rsid w:val="00D43CA8"/>
    <w:rsid w:val="00D4523D"/>
    <w:rsid w:val="00D4593F"/>
    <w:rsid w:val="00D45BD4"/>
    <w:rsid w:val="00D4775B"/>
    <w:rsid w:val="00D47AB8"/>
    <w:rsid w:val="00D52EC0"/>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21EC"/>
    <w:rsid w:val="00D94852"/>
    <w:rsid w:val="00DA039C"/>
    <w:rsid w:val="00DA10B4"/>
    <w:rsid w:val="00DA6EBE"/>
    <w:rsid w:val="00DB27CC"/>
    <w:rsid w:val="00DB2A54"/>
    <w:rsid w:val="00DB4EF9"/>
    <w:rsid w:val="00DC2187"/>
    <w:rsid w:val="00DC29FE"/>
    <w:rsid w:val="00DC430C"/>
    <w:rsid w:val="00DC4914"/>
    <w:rsid w:val="00DC60FB"/>
    <w:rsid w:val="00DC7319"/>
    <w:rsid w:val="00DC742E"/>
    <w:rsid w:val="00DD38DC"/>
    <w:rsid w:val="00DD484B"/>
    <w:rsid w:val="00DD63FF"/>
    <w:rsid w:val="00DE1B08"/>
    <w:rsid w:val="00DE6BE9"/>
    <w:rsid w:val="00DF1BBF"/>
    <w:rsid w:val="00DF3145"/>
    <w:rsid w:val="00DF4B0E"/>
    <w:rsid w:val="00E01E4B"/>
    <w:rsid w:val="00E062B0"/>
    <w:rsid w:val="00E0711E"/>
    <w:rsid w:val="00E0770C"/>
    <w:rsid w:val="00E14DFA"/>
    <w:rsid w:val="00E1760E"/>
    <w:rsid w:val="00E17EA5"/>
    <w:rsid w:val="00E229DB"/>
    <w:rsid w:val="00E2571A"/>
    <w:rsid w:val="00E26EDC"/>
    <w:rsid w:val="00E2713C"/>
    <w:rsid w:val="00E30B42"/>
    <w:rsid w:val="00E32E08"/>
    <w:rsid w:val="00E342D7"/>
    <w:rsid w:val="00E34D1F"/>
    <w:rsid w:val="00E35C26"/>
    <w:rsid w:val="00E410EA"/>
    <w:rsid w:val="00E41D5C"/>
    <w:rsid w:val="00E437F7"/>
    <w:rsid w:val="00E529F9"/>
    <w:rsid w:val="00E55017"/>
    <w:rsid w:val="00E55416"/>
    <w:rsid w:val="00E557D1"/>
    <w:rsid w:val="00E56282"/>
    <w:rsid w:val="00E616BF"/>
    <w:rsid w:val="00E658AA"/>
    <w:rsid w:val="00E6656A"/>
    <w:rsid w:val="00E70D30"/>
    <w:rsid w:val="00E716BA"/>
    <w:rsid w:val="00E757C9"/>
    <w:rsid w:val="00E75977"/>
    <w:rsid w:val="00E76431"/>
    <w:rsid w:val="00E7686D"/>
    <w:rsid w:val="00E813BA"/>
    <w:rsid w:val="00E84951"/>
    <w:rsid w:val="00E8590C"/>
    <w:rsid w:val="00E85F76"/>
    <w:rsid w:val="00E90C3C"/>
    <w:rsid w:val="00E93590"/>
    <w:rsid w:val="00E94506"/>
    <w:rsid w:val="00E95A7B"/>
    <w:rsid w:val="00E969E9"/>
    <w:rsid w:val="00EA01A0"/>
    <w:rsid w:val="00EA155A"/>
    <w:rsid w:val="00EA24D4"/>
    <w:rsid w:val="00EA2851"/>
    <w:rsid w:val="00EA3515"/>
    <w:rsid w:val="00EA3EE0"/>
    <w:rsid w:val="00EA55FE"/>
    <w:rsid w:val="00EB0828"/>
    <w:rsid w:val="00EB0B4F"/>
    <w:rsid w:val="00EB1B59"/>
    <w:rsid w:val="00EB2C68"/>
    <w:rsid w:val="00EB4384"/>
    <w:rsid w:val="00EB6065"/>
    <w:rsid w:val="00EC0826"/>
    <w:rsid w:val="00EC4E99"/>
    <w:rsid w:val="00EC7E23"/>
    <w:rsid w:val="00ED3A21"/>
    <w:rsid w:val="00ED54F9"/>
    <w:rsid w:val="00ED6982"/>
    <w:rsid w:val="00ED7470"/>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2E9"/>
    <w:rsid w:val="00F01898"/>
    <w:rsid w:val="00F02F6B"/>
    <w:rsid w:val="00F05EE0"/>
    <w:rsid w:val="00F06985"/>
    <w:rsid w:val="00F07DE8"/>
    <w:rsid w:val="00F10565"/>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1A2F"/>
    <w:rsid w:val="00F64342"/>
    <w:rsid w:val="00F65606"/>
    <w:rsid w:val="00F66614"/>
    <w:rsid w:val="00F67764"/>
    <w:rsid w:val="00F71232"/>
    <w:rsid w:val="00F73D31"/>
    <w:rsid w:val="00F74722"/>
    <w:rsid w:val="00F75F45"/>
    <w:rsid w:val="00F773B3"/>
    <w:rsid w:val="00F80D12"/>
    <w:rsid w:val="00F82957"/>
    <w:rsid w:val="00F83BD2"/>
    <w:rsid w:val="00F857CA"/>
    <w:rsid w:val="00F92C2B"/>
    <w:rsid w:val="00F94241"/>
    <w:rsid w:val="00F945CD"/>
    <w:rsid w:val="00F95ECF"/>
    <w:rsid w:val="00F9792C"/>
    <w:rsid w:val="00F97AAA"/>
    <w:rsid w:val="00FA4AD8"/>
    <w:rsid w:val="00FB3597"/>
    <w:rsid w:val="00FB534D"/>
    <w:rsid w:val="00FB53CA"/>
    <w:rsid w:val="00FC3750"/>
    <w:rsid w:val="00FC4173"/>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0851"/>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031"/>
    <w:rPr>
      <w:sz w:val="24"/>
      <w:szCs w:val="24"/>
      <w:lang w:val="de-DE" w:eastAsia="ja-JP"/>
    </w:rPr>
  </w:style>
  <w:style w:type="paragraph" w:styleId="Heading1">
    <w:name w:val="heading 1"/>
    <w:basedOn w:val="Normal"/>
    <w:next w:val="Normal"/>
    <w:link w:val="Heading1Char"/>
    <w:uiPriority w:val="9"/>
    <w:qFormat/>
    <w:rsid w:val="001C7C15"/>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FootnoteText">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BalloonText">
    <w:name w:val="Balloon Text"/>
    <w:basedOn w:val="Normal"/>
    <w:semiHidden/>
    <w:rsid w:val="00D81375"/>
    <w:rPr>
      <w:rFonts w:ascii="Tahoma" w:hAnsi="Tahoma" w:cs="Tahoma"/>
      <w:sz w:val="16"/>
      <w:szCs w:val="16"/>
    </w:rPr>
  </w:style>
  <w:style w:type="paragraph" w:styleId="Header">
    <w:name w:val="header"/>
    <w:basedOn w:val="Normal"/>
    <w:link w:val="HeaderChar"/>
    <w:rsid w:val="00881456"/>
    <w:pPr>
      <w:tabs>
        <w:tab w:val="center" w:pos="4536"/>
        <w:tab w:val="right" w:pos="9072"/>
      </w:tabs>
    </w:pPr>
    <w:rPr>
      <w:lang w:val="x-none"/>
    </w:rPr>
  </w:style>
  <w:style w:type="paragraph" w:styleId="Footer">
    <w:name w:val="footer"/>
    <w:basedOn w:val="Normal"/>
    <w:link w:val="FooterChar"/>
    <w:uiPriority w:val="99"/>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B86957"/>
    <w:pPr>
      <w:spacing w:line="480" w:lineRule="auto"/>
      <w:jc w:val="both"/>
    </w:pPr>
    <w:rPr>
      <w:lang w:val="en-US"/>
    </w:rPr>
  </w:style>
  <w:style w:type="paragraph" w:customStyle="1" w:styleId="Head1">
    <w:name w:val="Head 1"/>
    <w:basedOn w:val="Normal"/>
    <w:autoRedefine/>
    <w:rsid w:val="00B3458F"/>
    <w:pPr>
      <w:spacing w:line="480" w:lineRule="auto"/>
    </w:pPr>
    <w:rPr>
      <w:b/>
      <w:lang w:val="en-US"/>
    </w:rPr>
  </w:style>
  <w:style w:type="paragraph" w:customStyle="1" w:styleId="Head2">
    <w:name w:val="Head 2"/>
    <w:basedOn w:val="Normal"/>
    <w:autoRedefine/>
    <w:rsid w:val="00004A23"/>
    <w:pPr>
      <w:spacing w:line="360" w:lineRule="auto"/>
    </w:pPr>
    <w:rPr>
      <w:i/>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004A23"/>
    <w:rPr>
      <w:lang w:val="en-US"/>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Normal"/>
    <w:autoRedefine/>
    <w:rsid w:val="00562E2B"/>
    <w:rPr>
      <w:i/>
      <w:lang w:val="en-US"/>
    </w:rPr>
  </w:style>
  <w:style w:type="character" w:customStyle="1" w:styleId="HeaderChar">
    <w:name w:val="Header Char"/>
    <w:link w:val="Header"/>
    <w:rsid w:val="00414465"/>
    <w:rPr>
      <w:sz w:val="24"/>
      <w:szCs w:val="24"/>
      <w:lang w:eastAsia="ja-JP"/>
    </w:rPr>
  </w:style>
  <w:style w:type="character" w:styleId="CommentReference">
    <w:name w:val="annotation reference"/>
    <w:uiPriority w:val="99"/>
    <w:semiHidden/>
    <w:unhideWhenUsed/>
    <w:rsid w:val="00664F6D"/>
    <w:rPr>
      <w:sz w:val="16"/>
      <w:szCs w:val="16"/>
    </w:rPr>
  </w:style>
  <w:style w:type="paragraph" w:styleId="CommentText">
    <w:name w:val="annotation text"/>
    <w:basedOn w:val="Normal"/>
    <w:link w:val="CommentTextChar"/>
    <w:uiPriority w:val="99"/>
    <w:semiHidden/>
    <w:unhideWhenUsed/>
    <w:rsid w:val="00664F6D"/>
    <w:rPr>
      <w:sz w:val="20"/>
      <w:szCs w:val="20"/>
      <w:lang w:val="x-none"/>
    </w:rPr>
  </w:style>
  <w:style w:type="character" w:customStyle="1" w:styleId="CommentTextChar">
    <w:name w:val="Comment Text Char"/>
    <w:link w:val="CommentText"/>
    <w:uiPriority w:val="99"/>
    <w:semiHidden/>
    <w:rsid w:val="00664F6D"/>
    <w:rPr>
      <w:lang w:eastAsia="ja-JP"/>
    </w:rPr>
  </w:style>
  <w:style w:type="paragraph" w:styleId="CommentSubject">
    <w:name w:val="annotation subject"/>
    <w:basedOn w:val="CommentText"/>
    <w:next w:val="CommentText"/>
    <w:link w:val="CommentSubjectChar"/>
    <w:uiPriority w:val="99"/>
    <w:semiHidden/>
    <w:unhideWhenUsed/>
    <w:rsid w:val="00664F6D"/>
    <w:rPr>
      <w:b/>
      <w:bCs/>
    </w:rPr>
  </w:style>
  <w:style w:type="character" w:customStyle="1" w:styleId="CommentSubjectChar">
    <w:name w:val="Comment Subject Char"/>
    <w:link w:val="CommentSubject"/>
    <w:uiPriority w:val="99"/>
    <w:semiHidden/>
    <w:rsid w:val="00664F6D"/>
    <w:rPr>
      <w:b/>
      <w:bCs/>
      <w:lang w:eastAsia="ja-JP"/>
    </w:rPr>
  </w:style>
  <w:style w:type="character" w:customStyle="1" w:styleId="FooterChar">
    <w:name w:val="Footer Char"/>
    <w:link w:val="Footer"/>
    <w:uiPriority w:val="99"/>
    <w:rsid w:val="007B7A09"/>
    <w:rPr>
      <w:sz w:val="24"/>
      <w:szCs w:val="24"/>
      <w:lang w:eastAsia="ja-JP"/>
    </w:rPr>
  </w:style>
  <w:style w:type="paragraph" w:customStyle="1" w:styleId="06AbstractBody">
    <w:name w:val="06. Abstract Body"/>
    <w:next w:val="Normal"/>
    <w:qFormat/>
    <w:rsid w:val="00405A1A"/>
    <w:pPr>
      <w:spacing w:before="240"/>
      <w:jc w:val="both"/>
    </w:pPr>
    <w:rPr>
      <w:rFonts w:eastAsiaTheme="minorEastAsia" w:cstheme="minorBidi"/>
      <w:color w:val="000000" w:themeColor="text1"/>
      <w:szCs w:val="22"/>
      <w:lang w:val="en-US" w:eastAsia="en-US"/>
    </w:rPr>
  </w:style>
  <w:style w:type="paragraph" w:customStyle="1" w:styleId="03AuthorAffiliation">
    <w:name w:val="03. Author Affiliation"/>
    <w:basedOn w:val="NoSpacing"/>
    <w:next w:val="Normal"/>
    <w:qFormat/>
    <w:rsid w:val="0060361F"/>
    <w:rPr>
      <w:rFonts w:eastAsiaTheme="minorEastAsia" w:cstheme="minorBidi"/>
      <w:i/>
      <w:sz w:val="18"/>
      <w:szCs w:val="22"/>
      <w:lang w:val="en-US" w:eastAsia="en-US"/>
    </w:rPr>
  </w:style>
  <w:style w:type="paragraph" w:styleId="NoSpacing">
    <w:name w:val="No Spacing"/>
    <w:uiPriority w:val="1"/>
    <w:qFormat/>
    <w:rsid w:val="0060361F"/>
    <w:rPr>
      <w:sz w:val="24"/>
      <w:szCs w:val="24"/>
      <w:lang w:val="de-DE" w:eastAsia="ja-JP"/>
    </w:rPr>
  </w:style>
  <w:style w:type="character" w:styleId="Hyperlink">
    <w:name w:val="Hyperlink"/>
    <w:basedOn w:val="DefaultParagraphFont"/>
    <w:uiPriority w:val="99"/>
    <w:unhideWhenUsed/>
    <w:rsid w:val="0060361F"/>
    <w:rPr>
      <w:color w:val="0563C1" w:themeColor="hyperlink"/>
      <w:u w:val="single"/>
    </w:rPr>
  </w:style>
  <w:style w:type="character" w:styleId="UnresolvedMention">
    <w:name w:val="Unresolved Mention"/>
    <w:basedOn w:val="DefaultParagraphFont"/>
    <w:uiPriority w:val="99"/>
    <w:semiHidden/>
    <w:unhideWhenUsed/>
    <w:rsid w:val="0060361F"/>
    <w:rPr>
      <w:color w:val="605E5C"/>
      <w:shd w:val="clear" w:color="auto" w:fill="E1DFDD"/>
    </w:rPr>
  </w:style>
  <w:style w:type="paragraph" w:customStyle="1" w:styleId="10BodySubsequentParagraph">
    <w:name w:val="10. Body Subsequent Paragraph"/>
    <w:basedOn w:val="09BodyFirstParagraph"/>
    <w:link w:val="10BodySubsequentParagraph0"/>
    <w:qFormat/>
    <w:rsid w:val="00A75C84"/>
    <w:pPr>
      <w:spacing w:before="0"/>
      <w:ind w:firstLine="288"/>
    </w:pPr>
  </w:style>
  <w:style w:type="paragraph" w:customStyle="1" w:styleId="09BodyFirstParagraph">
    <w:name w:val="09. Body First Paragraph"/>
    <w:basedOn w:val="06AbstractBody"/>
    <w:next w:val="10BodySubsequentParagraph"/>
    <w:link w:val="09BodyFirstParagraph0"/>
    <w:qFormat/>
    <w:rsid w:val="00A75C84"/>
    <w:pPr>
      <w:spacing w:before="120"/>
    </w:pPr>
  </w:style>
  <w:style w:type="character" w:customStyle="1" w:styleId="09BodyFirstParagraph0">
    <w:name w:val="09. Body First Paragraph 字符"/>
    <w:basedOn w:val="DefaultParagraphFont"/>
    <w:link w:val="09BodyFirstParagraph"/>
    <w:rsid w:val="00A75C84"/>
    <w:rPr>
      <w:rFonts w:eastAsiaTheme="minorEastAsia" w:cstheme="minorBidi"/>
      <w:color w:val="000000" w:themeColor="text1"/>
      <w:szCs w:val="22"/>
      <w:lang w:val="en-US" w:eastAsia="en-US"/>
    </w:rPr>
  </w:style>
  <w:style w:type="character" w:customStyle="1" w:styleId="10BodySubsequentParagraph0">
    <w:name w:val="10. Body Subsequent Paragraph 字符"/>
    <w:basedOn w:val="09BodyFirstParagraph0"/>
    <w:link w:val="10BodySubsequentParagraph"/>
    <w:rsid w:val="00A75C84"/>
    <w:rPr>
      <w:rFonts w:eastAsiaTheme="minorEastAsia" w:cstheme="minorBidi"/>
      <w:color w:val="000000" w:themeColor="text1"/>
      <w:szCs w:val="22"/>
      <w:lang w:val="en-US" w:eastAsia="en-US"/>
    </w:rPr>
  </w:style>
  <w:style w:type="paragraph" w:customStyle="1" w:styleId="08SectionHeader1">
    <w:name w:val="08 Section Header 1"/>
    <w:next w:val="09BodyFirstParagraph"/>
    <w:qFormat/>
    <w:rsid w:val="00D52EC0"/>
    <w:pPr>
      <w:numPr>
        <w:numId w:val="1"/>
      </w:numPr>
      <w:spacing w:before="120"/>
    </w:pPr>
    <w:rPr>
      <w:rFonts w:ascii="Arial" w:eastAsiaTheme="minorEastAsia" w:hAnsi="Arial" w:cstheme="minorBidi"/>
      <w:b/>
      <w:szCs w:val="22"/>
      <w:lang w:val="en-US" w:eastAsia="en-US"/>
    </w:rPr>
  </w:style>
  <w:style w:type="paragraph" w:customStyle="1" w:styleId="08SectionHeader2">
    <w:name w:val="08. Section Header 2"/>
    <w:basedOn w:val="08SectionHeader1"/>
    <w:next w:val="09BodyFirstParagraph"/>
    <w:qFormat/>
    <w:rsid w:val="00D52EC0"/>
    <w:pPr>
      <w:numPr>
        <w:numId w:val="0"/>
      </w:numPr>
    </w:pPr>
    <w:rPr>
      <w:b w:val="0"/>
      <w:i/>
    </w:rPr>
  </w:style>
  <w:style w:type="paragraph" w:customStyle="1" w:styleId="12FigureCaptionLong">
    <w:name w:val="12. Figure Caption Long"/>
    <w:basedOn w:val="Normal"/>
    <w:next w:val="10BodySubsequentParagraph"/>
    <w:qFormat/>
    <w:rsid w:val="00D52EC0"/>
    <w:pPr>
      <w:spacing w:before="120" w:after="120"/>
      <w:ind w:left="720" w:right="720"/>
      <w:jc w:val="both"/>
    </w:pPr>
    <w:rPr>
      <w:rFonts w:eastAsiaTheme="minorEastAsia" w:cstheme="minorBidi"/>
      <w:color w:val="000000" w:themeColor="text1"/>
      <w:sz w:val="16"/>
      <w:szCs w:val="22"/>
      <w:lang w:val="en-US" w:eastAsia="en-US"/>
    </w:rPr>
  </w:style>
  <w:style w:type="paragraph" w:customStyle="1" w:styleId="14TableCaption">
    <w:name w:val="14. Table Caption"/>
    <w:basedOn w:val="09BodyFirstParagraph"/>
    <w:next w:val="15TableBody"/>
    <w:qFormat/>
    <w:rsid w:val="00D52EC0"/>
    <w:pPr>
      <w:spacing w:before="240" w:after="160"/>
      <w:jc w:val="center"/>
    </w:pPr>
    <w:rPr>
      <w:b/>
      <w:sz w:val="16"/>
    </w:rPr>
  </w:style>
  <w:style w:type="paragraph" w:customStyle="1" w:styleId="16TableFootnote">
    <w:name w:val="16. Table Footnote"/>
    <w:basedOn w:val="09BodyFirstParagraph"/>
    <w:next w:val="10BodySubsequentParagraph"/>
    <w:rsid w:val="00D52EC0"/>
    <w:pPr>
      <w:spacing w:after="120"/>
    </w:pPr>
    <w:rPr>
      <w:sz w:val="16"/>
    </w:rPr>
  </w:style>
  <w:style w:type="paragraph" w:customStyle="1" w:styleId="15TableBody">
    <w:name w:val="15. Table Body"/>
    <w:basedOn w:val="09BodyFirstParagraph"/>
    <w:next w:val="10BodySubsequentParagraph"/>
    <w:qFormat/>
    <w:rsid w:val="00D52EC0"/>
    <w:pPr>
      <w:spacing w:before="0" w:after="80"/>
    </w:pPr>
    <w:rPr>
      <w:sz w:val="16"/>
    </w:rPr>
  </w:style>
  <w:style w:type="paragraph" w:customStyle="1" w:styleId="11Figure">
    <w:name w:val="11. Figure"/>
    <w:basedOn w:val="09BodyFirstParagraph"/>
    <w:next w:val="12FigureCaptionLong"/>
    <w:qFormat/>
    <w:rsid w:val="00D52EC0"/>
    <w:pPr>
      <w:jc w:val="center"/>
    </w:pPr>
    <w:rPr>
      <w:sz w:val="16"/>
    </w:rPr>
  </w:style>
  <w:style w:type="table" w:styleId="TableGrid">
    <w:name w:val="Table Grid"/>
    <w:basedOn w:val="TableNormal"/>
    <w:uiPriority w:val="59"/>
    <w:qFormat/>
    <w:rsid w:val="00D52EC0"/>
    <w:rPr>
      <w:rFonts w:ascii="Times" w:eastAsia="Times New Roman" w:hAnsi="Times"/>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95482"/>
    <w:pPr>
      <w:jc w:val="center"/>
    </w:pPr>
  </w:style>
  <w:style w:type="character" w:customStyle="1" w:styleId="EndNoteBibliographyTitleChar">
    <w:name w:val="EndNote Bibliography Title Char"/>
    <w:basedOn w:val="MaintextChar0"/>
    <w:link w:val="EndNoteBibliographyTitle"/>
    <w:rsid w:val="00795482"/>
    <w:rPr>
      <w:sz w:val="24"/>
      <w:szCs w:val="24"/>
      <w:lang w:val="de-DE" w:eastAsia="ja-JP"/>
    </w:rPr>
  </w:style>
  <w:style w:type="paragraph" w:customStyle="1" w:styleId="25ReferenceSectionHeader">
    <w:name w:val="25. Reference Section Header"/>
    <w:next w:val="Normal"/>
    <w:qFormat/>
    <w:rsid w:val="0064695E"/>
    <w:pPr>
      <w:spacing w:before="120" w:after="120"/>
    </w:pPr>
    <w:rPr>
      <w:rFonts w:ascii="Arial" w:eastAsiaTheme="minorEastAsia" w:hAnsi="Arial" w:cstheme="minorBidi"/>
      <w:b/>
      <w:sz w:val="18"/>
      <w:szCs w:val="22"/>
      <w:lang w:val="en-US" w:eastAsia="en-US"/>
    </w:rPr>
  </w:style>
  <w:style w:type="paragraph" w:customStyle="1" w:styleId="EndNoteBibliography">
    <w:name w:val="EndNote Bibliography"/>
    <w:basedOn w:val="Normal"/>
    <w:link w:val="EndNoteBibliography0"/>
    <w:rsid w:val="0064695E"/>
    <w:pPr>
      <w:spacing w:line="360" w:lineRule="auto"/>
    </w:pPr>
    <w:rPr>
      <w:rFonts w:eastAsiaTheme="minorEastAsia"/>
      <w:noProof/>
      <w:szCs w:val="20"/>
      <w:lang w:val="en-US" w:eastAsia="en-US"/>
    </w:rPr>
  </w:style>
  <w:style w:type="character" w:customStyle="1" w:styleId="EndNoteBibliography0">
    <w:name w:val="EndNote Bibliography 字符"/>
    <w:basedOn w:val="DefaultParagraphFont"/>
    <w:link w:val="EndNoteBibliography"/>
    <w:qFormat/>
    <w:rsid w:val="0064695E"/>
    <w:rPr>
      <w:rFonts w:eastAsiaTheme="minorEastAsia"/>
      <w:noProof/>
      <w:sz w:val="24"/>
      <w:lang w:val="en-US" w:eastAsia="en-US"/>
    </w:rPr>
  </w:style>
  <w:style w:type="paragraph" w:customStyle="1" w:styleId="01Title">
    <w:name w:val="01. Title"/>
    <w:basedOn w:val="Normal"/>
    <w:next w:val="Normal"/>
    <w:qFormat/>
    <w:rsid w:val="001C7C15"/>
    <w:rPr>
      <w:rFonts w:ascii="Arial" w:eastAsiaTheme="minorEastAsia" w:hAnsi="Arial" w:cstheme="minorBidi"/>
      <w:b/>
      <w:spacing w:val="10"/>
      <w:kern w:val="32"/>
      <w:sz w:val="32"/>
      <w:szCs w:val="22"/>
      <w:lang w:val="en-US" w:eastAsia="en-US"/>
    </w:rPr>
  </w:style>
  <w:style w:type="paragraph" w:customStyle="1" w:styleId="08SectionHeader10">
    <w:name w:val="08. Section Header 1"/>
    <w:next w:val="09BodyFirstParagraph"/>
    <w:qFormat/>
    <w:rsid w:val="001C7C15"/>
    <w:pPr>
      <w:spacing w:before="120"/>
      <w:ind w:left="360" w:hanging="360"/>
    </w:pPr>
    <w:rPr>
      <w:rFonts w:ascii="Arial" w:eastAsiaTheme="minorEastAsia" w:hAnsi="Arial" w:cstheme="minorBidi"/>
      <w:b/>
      <w:szCs w:val="22"/>
      <w:lang w:val="en-US" w:eastAsia="en-US"/>
    </w:rPr>
  </w:style>
  <w:style w:type="paragraph" w:customStyle="1" w:styleId="MTDisplayEquation">
    <w:name w:val="MTDisplayEquation"/>
    <w:basedOn w:val="Normal"/>
    <w:next w:val="Normal"/>
    <w:link w:val="MTDisplayEquationChar"/>
    <w:rsid w:val="001C7C15"/>
    <w:pPr>
      <w:tabs>
        <w:tab w:val="center" w:pos="3760"/>
        <w:tab w:val="right" w:pos="7540"/>
      </w:tabs>
      <w:spacing w:before="120"/>
    </w:pPr>
    <w:rPr>
      <w:rFonts w:eastAsiaTheme="minorEastAsia" w:cstheme="minorBidi"/>
      <w:color w:val="000000" w:themeColor="text1"/>
      <w:sz w:val="20"/>
      <w:szCs w:val="22"/>
      <w:lang w:val="en-US" w:eastAsia="en-US"/>
    </w:rPr>
  </w:style>
  <w:style w:type="character" w:customStyle="1" w:styleId="09BodyFirstParagraphChar">
    <w:name w:val="09. Body First Paragraph Char"/>
    <w:basedOn w:val="DefaultParagraphFont"/>
    <w:rsid w:val="001C7C15"/>
    <w:rPr>
      <w:rFonts w:ascii="Times New Roman" w:hAnsi="Times New Roman"/>
      <w:color w:val="000000" w:themeColor="text1"/>
      <w:sz w:val="20"/>
    </w:rPr>
  </w:style>
  <w:style w:type="character" w:customStyle="1" w:styleId="10BodySubsequentParagraphChar">
    <w:name w:val="10. Body Subsequent Paragraph Char"/>
    <w:basedOn w:val="09BodyFirstParagraphChar"/>
    <w:rsid w:val="001C7C15"/>
    <w:rPr>
      <w:rFonts w:ascii="Times New Roman" w:hAnsi="Times New Roman"/>
      <w:color w:val="000000" w:themeColor="text1"/>
      <w:sz w:val="20"/>
    </w:rPr>
  </w:style>
  <w:style w:type="character" w:customStyle="1" w:styleId="MTDisplayEquationChar">
    <w:name w:val="MTDisplayEquation Char"/>
    <w:basedOn w:val="DefaultParagraphFont"/>
    <w:link w:val="MTDisplayEquation"/>
    <w:rsid w:val="001C7C15"/>
    <w:rPr>
      <w:rFonts w:eastAsiaTheme="minorEastAsia" w:cstheme="minorBidi"/>
      <w:color w:val="000000" w:themeColor="text1"/>
      <w:szCs w:val="22"/>
      <w:lang w:val="en-US" w:eastAsia="en-US"/>
    </w:rPr>
  </w:style>
  <w:style w:type="paragraph" w:customStyle="1" w:styleId="SMHeading">
    <w:name w:val="SM Heading"/>
    <w:basedOn w:val="Heading1"/>
    <w:qFormat/>
    <w:rsid w:val="001C7C15"/>
    <w:pPr>
      <w:keepLines w:val="0"/>
      <w:spacing w:before="240" w:after="60" w:line="240" w:lineRule="auto"/>
    </w:pPr>
    <w:rPr>
      <w:rFonts w:eastAsiaTheme="minorEastAsia"/>
      <w:kern w:val="32"/>
      <w:sz w:val="24"/>
      <w:szCs w:val="24"/>
      <w:lang w:val="en-US" w:eastAsia="en-US"/>
    </w:rPr>
  </w:style>
  <w:style w:type="paragraph" w:customStyle="1" w:styleId="SMText">
    <w:name w:val="SM Text"/>
    <w:basedOn w:val="Normal"/>
    <w:qFormat/>
    <w:rsid w:val="001C7C15"/>
    <w:pPr>
      <w:ind w:firstLine="480"/>
    </w:pPr>
    <w:rPr>
      <w:rFonts w:eastAsiaTheme="minorEastAsia"/>
      <w:szCs w:val="20"/>
      <w:lang w:val="en-US" w:eastAsia="en-US"/>
    </w:rPr>
  </w:style>
  <w:style w:type="paragraph" w:customStyle="1" w:styleId="SMcaption">
    <w:name w:val="SM caption"/>
    <w:basedOn w:val="SMText"/>
    <w:qFormat/>
    <w:rsid w:val="001C7C15"/>
    <w:pPr>
      <w:ind w:firstLine="0"/>
    </w:pPr>
  </w:style>
  <w:style w:type="table" w:styleId="TableTheme">
    <w:name w:val="Table Theme"/>
    <w:basedOn w:val="TableNormal"/>
    <w:uiPriority w:val="99"/>
    <w:rsid w:val="001C7C15"/>
    <w:pPr>
      <w:spacing w:after="200" w:line="276" w:lineRule="auto"/>
    </w:pPr>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C7C15"/>
    <w:rPr>
      <w:b/>
      <w:bCs/>
      <w:kern w:val="44"/>
      <w:sz w:val="44"/>
      <w:szCs w:val="44"/>
      <w:lang w:val="de-DE" w:eastAsia="ja-JP"/>
    </w:rPr>
  </w:style>
  <w:style w:type="character" w:styleId="PlaceholderText">
    <w:name w:val="Placeholder Text"/>
    <w:basedOn w:val="DefaultParagraphFont"/>
    <w:uiPriority w:val="99"/>
    <w:semiHidden/>
    <w:rsid w:val="009A2C53"/>
    <w:rPr>
      <w:color w:val="808080"/>
    </w:rPr>
  </w:style>
  <w:style w:type="paragraph" w:styleId="Revision">
    <w:name w:val="Revision"/>
    <w:hidden/>
    <w:uiPriority w:val="99"/>
    <w:semiHidden/>
    <w:rsid w:val="00C07661"/>
    <w:rPr>
      <w:sz w:val="24"/>
      <w:szCs w:val="24"/>
      <w:lang w:val="de-DE" w:eastAsia="ja-JP"/>
    </w:rPr>
  </w:style>
  <w:style w:type="character" w:styleId="LineNumber">
    <w:name w:val="line number"/>
    <w:basedOn w:val="DefaultParagraphFont"/>
    <w:uiPriority w:val="99"/>
    <w:semiHidden/>
    <w:unhideWhenUsed/>
    <w:rsid w:val="00915FF5"/>
  </w:style>
  <w:style w:type="paragraph" w:styleId="NormalWeb">
    <w:name w:val="Normal (Web)"/>
    <w:basedOn w:val="Normal"/>
    <w:uiPriority w:val="99"/>
    <w:unhideWhenUsed/>
    <w:rsid w:val="00F73D31"/>
    <w:pPr>
      <w:spacing w:before="100" w:beforeAutospacing="1" w:after="100" w:afterAutospacing="1"/>
    </w:pPr>
    <w:rPr>
      <w:rFonts w:eastAsia="Times New Roman"/>
      <w:lang w:val="en-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101580">
      <w:bodyDiv w:val="1"/>
      <w:marLeft w:val="0"/>
      <w:marRight w:val="0"/>
      <w:marTop w:val="0"/>
      <w:marBottom w:val="0"/>
      <w:divBdr>
        <w:top w:val="none" w:sz="0" w:space="0" w:color="auto"/>
        <w:left w:val="none" w:sz="0" w:space="0" w:color="auto"/>
        <w:bottom w:val="none" w:sz="0" w:space="0" w:color="auto"/>
        <w:right w:val="none" w:sz="0" w:space="0" w:color="auto"/>
      </w:divBdr>
      <w:divsChild>
        <w:div w:id="75127093">
          <w:marLeft w:val="0"/>
          <w:marRight w:val="0"/>
          <w:marTop w:val="0"/>
          <w:marBottom w:val="0"/>
          <w:divBdr>
            <w:top w:val="none" w:sz="0" w:space="0" w:color="auto"/>
            <w:left w:val="none" w:sz="0" w:space="0" w:color="auto"/>
            <w:bottom w:val="none" w:sz="0" w:space="0" w:color="auto"/>
            <w:right w:val="none" w:sz="0" w:space="0" w:color="auto"/>
          </w:divBdr>
          <w:divsChild>
            <w:div w:id="97913343">
              <w:marLeft w:val="0"/>
              <w:marRight w:val="0"/>
              <w:marTop w:val="0"/>
              <w:marBottom w:val="0"/>
              <w:divBdr>
                <w:top w:val="none" w:sz="0" w:space="0" w:color="auto"/>
                <w:left w:val="none" w:sz="0" w:space="0" w:color="auto"/>
                <w:bottom w:val="none" w:sz="0" w:space="0" w:color="auto"/>
                <w:right w:val="none" w:sz="0" w:space="0" w:color="auto"/>
              </w:divBdr>
              <w:divsChild>
                <w:div w:id="10348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6.tif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tiff"/><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5.jpeg"/><Relationship Id="rId25" Type="http://schemas.openxmlformats.org/officeDocument/2006/relationships/image" Target="media/image13.tiff"/><Relationship Id="rId2" Type="http://schemas.openxmlformats.org/officeDocument/2006/relationships/customXml" Target="../customXml/item2.xml"/><Relationship Id="rId16" Type="http://schemas.openxmlformats.org/officeDocument/2006/relationships/image" Target="media/image4.tiff"/><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tiff"/><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image" Target="media/image11.tif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image" Target="media/image10.tif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3.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4.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2022-07-02T07:00:00Z</dcterms:created>
  <dcterms:modified xsi:type="dcterms:W3CDTF">2022-09-10T03:56:00Z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