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D14F26" w14:textId="6CE7723B" w:rsidR="00650650" w:rsidRPr="00DD7E5E" w:rsidRDefault="00DD7E5E" w:rsidP="00DD7E5E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D7E5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Supplementary Table 1</w:t>
      </w:r>
      <w:r w:rsidRPr="00ED16B3">
        <w:rPr>
          <w:rFonts w:ascii="Times New Roman" w:hAnsi="Times New Roman" w:cs="Times New Roman"/>
          <w:sz w:val="20"/>
          <w:szCs w:val="20"/>
          <w:shd w:val="clear" w:color="auto" w:fill="FFFFFF"/>
        </w:rPr>
        <w:t>. Critical appraisal of the included cohort studies using the Newcastle-Ottawa Quality Assessment Scale</w:t>
      </w:r>
      <w:bookmarkStart w:id="0" w:name="_GoBack"/>
      <w:bookmarkEnd w:id="0"/>
    </w:p>
    <w:p w14:paraId="53B1D44C" w14:textId="77777777" w:rsidR="004A0B47" w:rsidRPr="00C743CA" w:rsidRDefault="004A0B47" w:rsidP="00FE6C38">
      <w:pPr>
        <w:rPr>
          <w:b/>
          <w:bCs/>
          <w:sz w:val="20"/>
          <w:szCs w:val="20"/>
        </w:rPr>
      </w:pPr>
    </w:p>
    <w:tbl>
      <w:tblPr>
        <w:tblStyle w:val="TableGridLight"/>
        <w:tblpPr w:leftFromText="180" w:rightFromText="180" w:vertAnchor="text" w:horzAnchor="page" w:tblpXSpec="center" w:tblpY="159"/>
        <w:tblW w:w="14653" w:type="dxa"/>
        <w:tblLayout w:type="fixed"/>
        <w:tblLook w:val="04A0" w:firstRow="1" w:lastRow="0" w:firstColumn="1" w:lastColumn="0" w:noHBand="0" w:noVBand="1"/>
      </w:tblPr>
      <w:tblGrid>
        <w:gridCol w:w="1654"/>
        <w:gridCol w:w="1304"/>
        <w:gridCol w:w="1233"/>
        <w:gridCol w:w="977"/>
        <w:gridCol w:w="1554"/>
        <w:gridCol w:w="1759"/>
        <w:gridCol w:w="1034"/>
        <w:gridCol w:w="1330"/>
        <w:gridCol w:w="1048"/>
        <w:gridCol w:w="856"/>
        <w:gridCol w:w="952"/>
        <w:gridCol w:w="952"/>
      </w:tblGrid>
      <w:tr w:rsidR="00274A3A" w:rsidRPr="00C743CA" w14:paraId="12108D58" w14:textId="2F7F8B15" w:rsidTr="00650650">
        <w:trPr>
          <w:trHeight w:val="169"/>
        </w:trPr>
        <w:tc>
          <w:tcPr>
            <w:tcW w:w="1654" w:type="dxa"/>
          </w:tcPr>
          <w:p w14:paraId="0A24BE39" w14:textId="77777777" w:rsidR="00274A3A" w:rsidRPr="00C743CA" w:rsidRDefault="00274A3A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68" w:type="dxa"/>
            <w:gridSpan w:val="4"/>
          </w:tcPr>
          <w:p w14:paraId="3EA24887" w14:textId="77777777" w:rsidR="00274A3A" w:rsidRPr="00C743CA" w:rsidRDefault="00274A3A" w:rsidP="00FE6C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Selection</w:t>
            </w:r>
          </w:p>
        </w:tc>
        <w:tc>
          <w:tcPr>
            <w:tcW w:w="1759" w:type="dxa"/>
          </w:tcPr>
          <w:p w14:paraId="72C5493E" w14:textId="77777777" w:rsidR="00274A3A" w:rsidRPr="00C743CA" w:rsidRDefault="00274A3A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Comparability</w:t>
            </w:r>
          </w:p>
        </w:tc>
        <w:tc>
          <w:tcPr>
            <w:tcW w:w="3412" w:type="dxa"/>
            <w:gridSpan w:val="3"/>
          </w:tcPr>
          <w:p w14:paraId="1597C670" w14:textId="77777777" w:rsidR="00274A3A" w:rsidRPr="00C743CA" w:rsidRDefault="00274A3A" w:rsidP="00FE6C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856" w:type="dxa"/>
          </w:tcPr>
          <w:p w14:paraId="3C373A82" w14:textId="44ED47D9" w:rsidR="00274A3A" w:rsidRPr="00C743CA" w:rsidRDefault="00274A3A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52" w:type="dxa"/>
          </w:tcPr>
          <w:p w14:paraId="1F057605" w14:textId="77777777" w:rsidR="00274A3A" w:rsidRPr="00C743CA" w:rsidRDefault="00274A3A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52" w:type="dxa"/>
          </w:tcPr>
          <w:p w14:paraId="4B076F2F" w14:textId="77777777" w:rsidR="00274A3A" w:rsidRPr="00C743CA" w:rsidRDefault="00274A3A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74A3A" w:rsidRPr="00C743CA" w14:paraId="771C8DF6" w14:textId="77412DA5" w:rsidTr="00E258CA">
        <w:trPr>
          <w:trHeight w:val="822"/>
        </w:trPr>
        <w:tc>
          <w:tcPr>
            <w:tcW w:w="1654" w:type="dxa"/>
          </w:tcPr>
          <w:p w14:paraId="200B2B22" w14:textId="003B5CD0" w:rsidR="00274A3A" w:rsidRPr="00C743CA" w:rsidRDefault="00274A3A" w:rsidP="00FE6C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  <w:t>Study</w:t>
            </w:r>
          </w:p>
        </w:tc>
        <w:tc>
          <w:tcPr>
            <w:tcW w:w="1304" w:type="dxa"/>
          </w:tcPr>
          <w:p w14:paraId="13851EF4" w14:textId="40C3458D" w:rsidR="00274A3A" w:rsidRPr="00C743CA" w:rsidRDefault="00274A3A" w:rsidP="00FE6C38">
            <w:pPr>
              <w:rPr>
                <w:rFonts w:ascii="Times New Roman" w:eastAsia="MS Gothic" w:hAnsi="Times New Roman" w:cs="Times New Roman"/>
                <w:bCs/>
                <w:w w:val="125"/>
                <w:sz w:val="20"/>
                <w:szCs w:val="20"/>
              </w:rPr>
            </w:pPr>
            <w:r w:rsidRPr="00C743CA">
              <w:rPr>
                <w:rFonts w:ascii="Times New Roman" w:eastAsia="Times New Roman" w:hAnsi="Times New Roman" w:cs="Times New Roman"/>
                <w:bCs/>
                <w:w w:val="105"/>
                <w:sz w:val="20"/>
                <w:szCs w:val="20"/>
              </w:rPr>
              <w:t>Representativeness of the exposed cohort</w:t>
            </w:r>
          </w:p>
        </w:tc>
        <w:tc>
          <w:tcPr>
            <w:tcW w:w="1233" w:type="dxa"/>
          </w:tcPr>
          <w:p w14:paraId="4C3D4A17" w14:textId="545C069E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Selection of the non-exposed cohort</w:t>
            </w:r>
          </w:p>
        </w:tc>
        <w:tc>
          <w:tcPr>
            <w:tcW w:w="977" w:type="dxa"/>
          </w:tcPr>
          <w:p w14:paraId="2F256D86" w14:textId="78E70230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eastAsia="Times New Roman" w:hAnsi="Times New Roman" w:cs="Times New Roman"/>
                <w:bCs/>
                <w:w w:val="105"/>
                <w:sz w:val="20"/>
                <w:szCs w:val="20"/>
              </w:rPr>
              <w:t>Ascertainment of exposure</w:t>
            </w:r>
          </w:p>
        </w:tc>
        <w:tc>
          <w:tcPr>
            <w:tcW w:w="1554" w:type="dxa"/>
          </w:tcPr>
          <w:p w14:paraId="511618B2" w14:textId="6517EB17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Demonstration that outcome of interest was not present at start of study</w:t>
            </w:r>
          </w:p>
        </w:tc>
        <w:tc>
          <w:tcPr>
            <w:tcW w:w="1759" w:type="dxa"/>
          </w:tcPr>
          <w:p w14:paraId="57BE4CE3" w14:textId="37C7C7A9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Cs/>
                <w:sz w:val="20"/>
                <w:szCs w:val="20"/>
              </w:rPr>
              <w:t>Comparability of cohorts on the basis</w:t>
            </w:r>
          </w:p>
        </w:tc>
        <w:tc>
          <w:tcPr>
            <w:tcW w:w="1034" w:type="dxa"/>
          </w:tcPr>
          <w:p w14:paraId="0A67482B" w14:textId="2D7165A5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Assessment of outcome</w:t>
            </w:r>
          </w:p>
        </w:tc>
        <w:tc>
          <w:tcPr>
            <w:tcW w:w="1330" w:type="dxa"/>
          </w:tcPr>
          <w:p w14:paraId="6F0CC3DC" w14:textId="0B15BCE9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eastAsia="Times New Roman" w:hAnsi="Times New Roman" w:cs="Times New Roman"/>
                <w:bCs/>
                <w:w w:val="105"/>
                <w:sz w:val="20"/>
                <w:szCs w:val="20"/>
              </w:rPr>
              <w:t>Was follow-up long enough for outcomes to occur</w:t>
            </w:r>
          </w:p>
        </w:tc>
        <w:tc>
          <w:tcPr>
            <w:tcW w:w="1048" w:type="dxa"/>
          </w:tcPr>
          <w:p w14:paraId="57C2BC77" w14:textId="68A33283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Cs/>
                <w:sz w:val="20"/>
                <w:szCs w:val="20"/>
              </w:rPr>
              <w:t>Adequacy of follow up of cohorts</w:t>
            </w:r>
          </w:p>
        </w:tc>
        <w:tc>
          <w:tcPr>
            <w:tcW w:w="856" w:type="dxa"/>
          </w:tcPr>
          <w:p w14:paraId="12E04847" w14:textId="46A6D4AB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Cs/>
                <w:sz w:val="20"/>
                <w:szCs w:val="20"/>
              </w:rPr>
              <w:t>Total score</w:t>
            </w:r>
          </w:p>
        </w:tc>
        <w:tc>
          <w:tcPr>
            <w:tcW w:w="952" w:type="dxa"/>
          </w:tcPr>
          <w:p w14:paraId="5BFE75B5" w14:textId="2ACF04FC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Cs/>
                <w:sz w:val="20"/>
                <w:szCs w:val="20"/>
              </w:rPr>
              <w:t>Agreement (%)</w:t>
            </w:r>
          </w:p>
        </w:tc>
        <w:tc>
          <w:tcPr>
            <w:tcW w:w="952" w:type="dxa"/>
          </w:tcPr>
          <w:p w14:paraId="1A810F66" w14:textId="650D9500" w:rsidR="00274A3A" w:rsidRPr="00C743CA" w:rsidRDefault="00274A3A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Cs/>
                <w:sz w:val="20"/>
                <w:szCs w:val="20"/>
              </w:rPr>
              <w:t>Risk of Bias</w:t>
            </w:r>
          </w:p>
        </w:tc>
      </w:tr>
      <w:tr w:rsidR="00B115B6" w:rsidRPr="00C743CA" w14:paraId="7BF2F95A" w14:textId="64388AA7" w:rsidTr="00E258CA">
        <w:trPr>
          <w:trHeight w:val="496"/>
        </w:trPr>
        <w:tc>
          <w:tcPr>
            <w:tcW w:w="1654" w:type="dxa"/>
          </w:tcPr>
          <w:p w14:paraId="1D7F1885" w14:textId="22E27291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Bromley, et.al 2008 [9]</w:t>
            </w:r>
          </w:p>
        </w:tc>
        <w:tc>
          <w:tcPr>
            <w:tcW w:w="1304" w:type="dxa"/>
          </w:tcPr>
          <w:p w14:paraId="2FDC6D6D" w14:textId="6A57610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365EB089" w14:textId="3532F136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77" w:type="dxa"/>
          </w:tcPr>
          <w:p w14:paraId="69A74B9D" w14:textId="7E5C7503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520CA9B0" w14:textId="3C01F079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4AD6B51B" w14:textId="3173198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34" w:type="dxa"/>
          </w:tcPr>
          <w:p w14:paraId="29EEA36D" w14:textId="27A6A257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4300658A" w14:textId="0AB34C99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</w:tcPr>
          <w:p w14:paraId="014429EA" w14:textId="3EAE9EB9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094365AA" w14:textId="4C0C051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52" w:type="dxa"/>
          </w:tcPr>
          <w:p w14:paraId="4E9273CC" w14:textId="042CDE37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90%</w:t>
            </w:r>
          </w:p>
        </w:tc>
        <w:tc>
          <w:tcPr>
            <w:tcW w:w="952" w:type="dxa"/>
          </w:tcPr>
          <w:p w14:paraId="682C1743" w14:textId="48558BB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B115B6" w:rsidRPr="00C743CA" w14:paraId="28BA8663" w14:textId="7E854312" w:rsidTr="00E258CA">
        <w:trPr>
          <w:trHeight w:val="665"/>
        </w:trPr>
        <w:tc>
          <w:tcPr>
            <w:tcW w:w="1654" w:type="dxa"/>
          </w:tcPr>
          <w:p w14:paraId="3354F336" w14:textId="722AAA96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Christensen et.al 2013 [10]</w:t>
            </w:r>
          </w:p>
        </w:tc>
        <w:tc>
          <w:tcPr>
            <w:tcW w:w="1304" w:type="dxa"/>
          </w:tcPr>
          <w:p w14:paraId="5D032413" w14:textId="29DE1F6F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5C8BD55A" w14:textId="4968A31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77" w:type="dxa"/>
          </w:tcPr>
          <w:p w14:paraId="7B84BF79" w14:textId="4E44906D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2EB286BC" w14:textId="376589DA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11E7A4DB" w14:textId="4D664B62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34" w:type="dxa"/>
          </w:tcPr>
          <w:p w14:paraId="7EAC0EC4" w14:textId="6866CA9D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29BF71A9" w14:textId="4A77C4F9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48" w:type="dxa"/>
          </w:tcPr>
          <w:p w14:paraId="30782EFF" w14:textId="6FCC596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04C4597B" w14:textId="0D8F83B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52" w:type="dxa"/>
          </w:tcPr>
          <w:p w14:paraId="0A09D6F3" w14:textId="55BBCFBA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2" w:type="dxa"/>
          </w:tcPr>
          <w:p w14:paraId="596B12A8" w14:textId="211CF5C7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B115B6" w:rsidRPr="00C743CA" w14:paraId="4CC626BB" w14:textId="2F171E4A" w:rsidTr="00E258CA">
        <w:trPr>
          <w:trHeight w:val="496"/>
        </w:trPr>
        <w:tc>
          <w:tcPr>
            <w:tcW w:w="1654" w:type="dxa"/>
          </w:tcPr>
          <w:p w14:paraId="19B0A8E2" w14:textId="33FD7DE5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Wiggs et al 2020 [12]</w:t>
            </w:r>
          </w:p>
        </w:tc>
        <w:tc>
          <w:tcPr>
            <w:tcW w:w="1304" w:type="dxa"/>
          </w:tcPr>
          <w:p w14:paraId="294BAA5D" w14:textId="0ED853FA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56D37778" w14:textId="1C1A475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77" w:type="dxa"/>
          </w:tcPr>
          <w:p w14:paraId="099B0D97" w14:textId="372F537B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1C6508EA" w14:textId="2DA27A17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6B13AF2E" w14:textId="4D32871E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34" w:type="dxa"/>
          </w:tcPr>
          <w:p w14:paraId="6D345E10" w14:textId="26765DA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0D096A73" w14:textId="1D263509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</w:tcPr>
          <w:p w14:paraId="3D458123" w14:textId="25F445CF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1BBADF07" w14:textId="2726E420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52" w:type="dxa"/>
          </w:tcPr>
          <w:p w14:paraId="58927329" w14:textId="1A0A75DF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952" w:type="dxa"/>
          </w:tcPr>
          <w:p w14:paraId="24F1D467" w14:textId="1E58A21D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</w:p>
        </w:tc>
      </w:tr>
      <w:tr w:rsidR="00B115B6" w:rsidRPr="00C743CA" w14:paraId="61526C2F" w14:textId="6C6E2CE3" w:rsidTr="00E258CA">
        <w:trPr>
          <w:trHeight w:val="341"/>
        </w:trPr>
        <w:tc>
          <w:tcPr>
            <w:tcW w:w="1654" w:type="dxa"/>
          </w:tcPr>
          <w:p w14:paraId="68C8A4DB" w14:textId="1A3ADA95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Wood et.al 2015 [13]</w:t>
            </w:r>
          </w:p>
        </w:tc>
        <w:tc>
          <w:tcPr>
            <w:tcW w:w="1304" w:type="dxa"/>
          </w:tcPr>
          <w:p w14:paraId="746945FD" w14:textId="02359B8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05AEF25A" w14:textId="6C6038F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394087D" w14:textId="5D9BCEE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01167A2E" w14:textId="1C0192F6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9" w:type="dxa"/>
          </w:tcPr>
          <w:p w14:paraId="5659F739" w14:textId="54DF77BE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</w:tcPr>
          <w:p w14:paraId="546E2E9B" w14:textId="3D5E27E0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21FEE101" w14:textId="602C9BAF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48" w:type="dxa"/>
          </w:tcPr>
          <w:p w14:paraId="4A0A9E08" w14:textId="2A5D6437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16F3E7F9" w14:textId="5BDA4B13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52" w:type="dxa"/>
          </w:tcPr>
          <w:p w14:paraId="3A86C4E2" w14:textId="607F017A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2" w:type="dxa"/>
          </w:tcPr>
          <w:p w14:paraId="59BCE684" w14:textId="03687C8A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</w:tr>
      <w:tr w:rsidR="00B115B6" w:rsidRPr="00C743CA" w14:paraId="47057BBF" w14:textId="3EE43F14" w:rsidTr="00E258CA">
        <w:trPr>
          <w:trHeight w:val="665"/>
        </w:trPr>
        <w:tc>
          <w:tcPr>
            <w:tcW w:w="1654" w:type="dxa"/>
          </w:tcPr>
          <w:p w14:paraId="320D3944" w14:textId="68112BA3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Rasalam et.al 2017 [14]</w:t>
            </w:r>
          </w:p>
        </w:tc>
        <w:tc>
          <w:tcPr>
            <w:tcW w:w="1304" w:type="dxa"/>
          </w:tcPr>
          <w:p w14:paraId="405AB8A6" w14:textId="7586D88E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736A9510" w14:textId="64EC994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AE58211" w14:textId="512EC063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31BBBEBD" w14:textId="099784A3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0A91161B" w14:textId="6CE284DD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</w:tcPr>
          <w:p w14:paraId="7B09BB2F" w14:textId="14C81F8F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3F5EEED0" w14:textId="5C6F6938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48" w:type="dxa"/>
          </w:tcPr>
          <w:p w14:paraId="37FC7B67" w14:textId="392472FE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5C14F340" w14:textId="465C587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52" w:type="dxa"/>
          </w:tcPr>
          <w:p w14:paraId="16986817" w14:textId="5FBA66B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952" w:type="dxa"/>
          </w:tcPr>
          <w:p w14:paraId="5554B609" w14:textId="0D02FE4E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</w:tr>
      <w:tr w:rsidR="00B115B6" w:rsidRPr="00C743CA" w14:paraId="144886FA" w14:textId="2DD853F5" w:rsidTr="00E258CA">
        <w:trPr>
          <w:trHeight w:val="432"/>
        </w:trPr>
        <w:tc>
          <w:tcPr>
            <w:tcW w:w="1654" w:type="dxa"/>
          </w:tcPr>
          <w:p w14:paraId="337E5EA9" w14:textId="17DC3E0D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Bjork,et.al 2022 [15]</w:t>
            </w:r>
          </w:p>
        </w:tc>
        <w:tc>
          <w:tcPr>
            <w:tcW w:w="1304" w:type="dxa"/>
          </w:tcPr>
          <w:p w14:paraId="12024141" w14:textId="6AB558E9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7B8E1581" w14:textId="4A20DBF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77" w:type="dxa"/>
          </w:tcPr>
          <w:p w14:paraId="14DBED3A" w14:textId="69A2FC66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54288B2F" w14:textId="2CB9D050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32705DFF" w14:textId="6F795F2E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34" w:type="dxa"/>
          </w:tcPr>
          <w:p w14:paraId="1BD2C3E6" w14:textId="1E456AEA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7FB2143C" w14:textId="6823489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48" w:type="dxa"/>
          </w:tcPr>
          <w:p w14:paraId="6DBF3F26" w14:textId="2CA45119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5CE690A9" w14:textId="36C8052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52" w:type="dxa"/>
          </w:tcPr>
          <w:p w14:paraId="32B176C1" w14:textId="327B41B3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2" w:type="dxa"/>
          </w:tcPr>
          <w:p w14:paraId="5F19ABEE" w14:textId="3D944C4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B115B6" w:rsidRPr="00C743CA" w14:paraId="759593E9" w14:textId="76E59FB3" w:rsidTr="00E258CA">
        <w:trPr>
          <w:trHeight w:val="665"/>
        </w:trPr>
        <w:tc>
          <w:tcPr>
            <w:tcW w:w="1654" w:type="dxa"/>
          </w:tcPr>
          <w:p w14:paraId="3D6EE7A8" w14:textId="2821B1C8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Bjork,et.al 2018 [18]</w:t>
            </w:r>
          </w:p>
        </w:tc>
        <w:tc>
          <w:tcPr>
            <w:tcW w:w="1304" w:type="dxa"/>
          </w:tcPr>
          <w:p w14:paraId="62B9F2C5" w14:textId="223BF2D8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12A34822" w14:textId="70E014E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77" w:type="dxa"/>
          </w:tcPr>
          <w:p w14:paraId="1D130EA7" w14:textId="5F8E798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7F25EF63" w14:textId="77D8C58B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6D5D972F" w14:textId="521F6AB8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34" w:type="dxa"/>
          </w:tcPr>
          <w:p w14:paraId="3A7DC768" w14:textId="1A4DED30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0657B8D3" w14:textId="3A9103D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48" w:type="dxa"/>
          </w:tcPr>
          <w:p w14:paraId="6E5A3A89" w14:textId="684CE176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16848957" w14:textId="687258F6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52" w:type="dxa"/>
          </w:tcPr>
          <w:p w14:paraId="080419D5" w14:textId="05CBC13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2" w:type="dxa"/>
          </w:tcPr>
          <w:p w14:paraId="622C98DA" w14:textId="74BF36E2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B115B6" w:rsidRPr="00C743CA" w14:paraId="26E0F6FD" w14:textId="77777777" w:rsidTr="00E258CA">
        <w:trPr>
          <w:trHeight w:val="665"/>
        </w:trPr>
        <w:tc>
          <w:tcPr>
            <w:tcW w:w="1654" w:type="dxa"/>
          </w:tcPr>
          <w:p w14:paraId="6702A82D" w14:textId="47D42341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Bromley, et.al 2013 [19]</w:t>
            </w:r>
          </w:p>
        </w:tc>
        <w:tc>
          <w:tcPr>
            <w:tcW w:w="1304" w:type="dxa"/>
          </w:tcPr>
          <w:p w14:paraId="6BFABE3B" w14:textId="4FA68B50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0D60CF41" w14:textId="433B645D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77" w:type="dxa"/>
          </w:tcPr>
          <w:p w14:paraId="55FBA0CB" w14:textId="588617A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31545DB8" w14:textId="2B455F2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0C9C2ABF" w14:textId="1F5FD840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34" w:type="dxa"/>
          </w:tcPr>
          <w:p w14:paraId="5E209F20" w14:textId="3AF7BF8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2485823E" w14:textId="4D7A90CD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48" w:type="dxa"/>
          </w:tcPr>
          <w:p w14:paraId="30E2426A" w14:textId="7211F99D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731AB7B1" w14:textId="36A1E08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52" w:type="dxa"/>
          </w:tcPr>
          <w:p w14:paraId="630603AD" w14:textId="7B2EF1C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90%</w:t>
            </w:r>
          </w:p>
        </w:tc>
        <w:tc>
          <w:tcPr>
            <w:tcW w:w="952" w:type="dxa"/>
          </w:tcPr>
          <w:p w14:paraId="78C7DFC8" w14:textId="52FD7618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B115B6" w:rsidRPr="00C743CA" w14:paraId="310DA537" w14:textId="77777777" w:rsidTr="00E258CA">
        <w:trPr>
          <w:trHeight w:val="665"/>
        </w:trPr>
        <w:tc>
          <w:tcPr>
            <w:tcW w:w="1654" w:type="dxa"/>
          </w:tcPr>
          <w:p w14:paraId="2C9B8301" w14:textId="2000588F" w:rsidR="00B115B6" w:rsidRPr="00B115B6" w:rsidRDefault="00B115B6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15B6">
              <w:rPr>
                <w:rFonts w:ascii="Times New Roman" w:hAnsi="Times New Roman" w:cs="Times New Roman"/>
                <w:bCs/>
                <w:sz w:val="20"/>
                <w:szCs w:val="20"/>
              </w:rPr>
              <w:t>Veiby,et.al 2013 [20]</w:t>
            </w:r>
          </w:p>
        </w:tc>
        <w:tc>
          <w:tcPr>
            <w:tcW w:w="1304" w:type="dxa"/>
          </w:tcPr>
          <w:p w14:paraId="64FD904F" w14:textId="10AC11BE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3" w:type="dxa"/>
          </w:tcPr>
          <w:p w14:paraId="6E960375" w14:textId="34315E4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77" w:type="dxa"/>
          </w:tcPr>
          <w:p w14:paraId="0C0F9AC4" w14:textId="64FB4CE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4" w:type="dxa"/>
          </w:tcPr>
          <w:p w14:paraId="4DB0FD09" w14:textId="17C1CB6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59" w:type="dxa"/>
          </w:tcPr>
          <w:p w14:paraId="19E82614" w14:textId="00A40815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34" w:type="dxa"/>
          </w:tcPr>
          <w:p w14:paraId="7A097EA4" w14:textId="2FD6B7D1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0" w:type="dxa"/>
          </w:tcPr>
          <w:p w14:paraId="594C4E51" w14:textId="5B568A84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48" w:type="dxa"/>
          </w:tcPr>
          <w:p w14:paraId="5F655343" w14:textId="220CDB22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6" w:type="dxa"/>
          </w:tcPr>
          <w:p w14:paraId="4D382960" w14:textId="623F7C2B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52" w:type="dxa"/>
          </w:tcPr>
          <w:p w14:paraId="7E982143" w14:textId="388B6F23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952" w:type="dxa"/>
          </w:tcPr>
          <w:p w14:paraId="2D40FBEE" w14:textId="583372AC" w:rsidR="00B115B6" w:rsidRPr="00C743CA" w:rsidRDefault="00B115B6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</w:tbl>
    <w:p w14:paraId="7895D830" w14:textId="27939AF5" w:rsidR="00A4173A" w:rsidRPr="00C743CA" w:rsidRDefault="00A4173A" w:rsidP="00FE6C38">
      <w:pPr>
        <w:rPr>
          <w:sz w:val="20"/>
          <w:szCs w:val="20"/>
        </w:rPr>
      </w:pPr>
    </w:p>
    <w:p w14:paraId="248EF654" w14:textId="77777777" w:rsidR="00650650" w:rsidRPr="00C743CA" w:rsidRDefault="00650650" w:rsidP="00FE6C38">
      <w:pPr>
        <w:rPr>
          <w:sz w:val="20"/>
          <w:szCs w:val="20"/>
        </w:rPr>
      </w:pPr>
    </w:p>
    <w:p w14:paraId="7A3C2A4C" w14:textId="53437184" w:rsidR="00CF7A5A" w:rsidRPr="00C743CA" w:rsidRDefault="00CF7A5A" w:rsidP="00FE6C38">
      <w:pPr>
        <w:rPr>
          <w:sz w:val="20"/>
          <w:szCs w:val="20"/>
        </w:rPr>
      </w:pPr>
    </w:p>
    <w:p w14:paraId="5D66B71C" w14:textId="488B8510" w:rsidR="004A0B47" w:rsidRPr="00C743CA" w:rsidRDefault="004A0B47" w:rsidP="00FE6C38">
      <w:pPr>
        <w:rPr>
          <w:sz w:val="20"/>
          <w:szCs w:val="20"/>
        </w:rPr>
      </w:pPr>
    </w:p>
    <w:p w14:paraId="2B7C9320" w14:textId="65250412" w:rsidR="004A0B47" w:rsidRPr="00C743CA" w:rsidRDefault="004A0B47" w:rsidP="00FE6C38">
      <w:pPr>
        <w:rPr>
          <w:sz w:val="20"/>
          <w:szCs w:val="20"/>
        </w:rPr>
      </w:pPr>
    </w:p>
    <w:p w14:paraId="581A1163" w14:textId="7B19DD8D" w:rsidR="004A0B47" w:rsidRPr="00C743CA" w:rsidRDefault="004A0B47" w:rsidP="00FE6C38">
      <w:pPr>
        <w:rPr>
          <w:sz w:val="20"/>
          <w:szCs w:val="20"/>
        </w:rPr>
      </w:pPr>
    </w:p>
    <w:p w14:paraId="2A555B37" w14:textId="27992386" w:rsidR="004A0B47" w:rsidRPr="00C743CA" w:rsidRDefault="004A0B47" w:rsidP="00FE6C38">
      <w:pPr>
        <w:rPr>
          <w:sz w:val="20"/>
          <w:szCs w:val="20"/>
        </w:rPr>
      </w:pPr>
    </w:p>
    <w:p w14:paraId="38F49DA7" w14:textId="1B50DE92" w:rsidR="004A0B47" w:rsidRPr="00C743CA" w:rsidRDefault="004A0B47" w:rsidP="00FE6C38">
      <w:pPr>
        <w:rPr>
          <w:sz w:val="20"/>
          <w:szCs w:val="20"/>
        </w:rPr>
      </w:pPr>
    </w:p>
    <w:p w14:paraId="087744C9" w14:textId="629679E8" w:rsidR="004A0B47" w:rsidRPr="00C743CA" w:rsidRDefault="004A0B47" w:rsidP="00FE6C38">
      <w:pPr>
        <w:rPr>
          <w:sz w:val="20"/>
          <w:szCs w:val="20"/>
        </w:rPr>
      </w:pPr>
    </w:p>
    <w:p w14:paraId="41CF9D89" w14:textId="54DB6BF5" w:rsidR="004A0B47" w:rsidRPr="00C743CA" w:rsidRDefault="004A0B47" w:rsidP="00FE6C38">
      <w:pPr>
        <w:rPr>
          <w:sz w:val="20"/>
          <w:szCs w:val="20"/>
        </w:rPr>
      </w:pPr>
    </w:p>
    <w:p w14:paraId="00C97205" w14:textId="77777777" w:rsidR="004A0B47" w:rsidRPr="00C743CA" w:rsidRDefault="004A0B47" w:rsidP="00FE6C38">
      <w:pPr>
        <w:rPr>
          <w:sz w:val="20"/>
          <w:szCs w:val="20"/>
        </w:rPr>
      </w:pPr>
    </w:p>
    <w:p w14:paraId="79B25CE0" w14:textId="4AA2037F" w:rsidR="00650650" w:rsidRPr="00C743CA" w:rsidRDefault="00650650" w:rsidP="00FE6C38">
      <w:pPr>
        <w:rPr>
          <w:sz w:val="20"/>
          <w:szCs w:val="20"/>
        </w:rPr>
      </w:pPr>
    </w:p>
    <w:p w14:paraId="446CFE5F" w14:textId="2467572F" w:rsidR="00650650" w:rsidRPr="00C743CA" w:rsidRDefault="00650650" w:rsidP="00FE6C3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B88634B" w14:textId="43B9099C" w:rsidR="00650650" w:rsidRPr="00C743CA" w:rsidRDefault="00650650" w:rsidP="00FE6C38">
      <w:pPr>
        <w:rPr>
          <w:rFonts w:ascii="Times New Roman" w:hAnsi="Times New Roman" w:cs="Times New Roman"/>
          <w:sz w:val="20"/>
          <w:szCs w:val="20"/>
        </w:rPr>
      </w:pPr>
      <w:r w:rsidRPr="00C743CA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2. </w:t>
      </w:r>
      <w:r w:rsidRPr="00C743CA">
        <w:rPr>
          <w:rFonts w:ascii="Times New Roman" w:hAnsi="Times New Roman" w:cs="Times New Roman"/>
          <w:sz w:val="20"/>
          <w:szCs w:val="20"/>
        </w:rPr>
        <w:t>Critical appraisal of the included case control studies using the Newcastle-Ottawa Quality Assessment Scale</w:t>
      </w:r>
    </w:p>
    <w:p w14:paraId="6E596762" w14:textId="77777777" w:rsidR="00650650" w:rsidRPr="00C743CA" w:rsidRDefault="00650650" w:rsidP="00FE6C38">
      <w:pPr>
        <w:rPr>
          <w:b/>
          <w:bCs/>
          <w:sz w:val="20"/>
          <w:szCs w:val="20"/>
        </w:rPr>
      </w:pPr>
    </w:p>
    <w:p w14:paraId="3EF4BB5E" w14:textId="77777777" w:rsidR="00650650" w:rsidRPr="00C743CA" w:rsidRDefault="00650650" w:rsidP="00FE6C38">
      <w:pPr>
        <w:rPr>
          <w:sz w:val="20"/>
          <w:szCs w:val="20"/>
        </w:rPr>
      </w:pPr>
    </w:p>
    <w:tbl>
      <w:tblPr>
        <w:tblStyle w:val="TableGridLight"/>
        <w:tblpPr w:leftFromText="180" w:rightFromText="180" w:vertAnchor="text" w:horzAnchor="margin" w:tblpX="-910" w:tblpY="22"/>
        <w:tblW w:w="14858" w:type="dxa"/>
        <w:tblLayout w:type="fixed"/>
        <w:tblLook w:val="04A0" w:firstRow="1" w:lastRow="0" w:firstColumn="1" w:lastColumn="0" w:noHBand="0" w:noVBand="1"/>
      </w:tblPr>
      <w:tblGrid>
        <w:gridCol w:w="1165"/>
        <w:gridCol w:w="1777"/>
        <w:gridCol w:w="1239"/>
        <w:gridCol w:w="1067"/>
        <w:gridCol w:w="1141"/>
        <w:gridCol w:w="1732"/>
        <w:gridCol w:w="1014"/>
        <w:gridCol w:w="1810"/>
        <w:gridCol w:w="1414"/>
        <w:gridCol w:w="831"/>
        <w:gridCol w:w="834"/>
        <w:gridCol w:w="834"/>
      </w:tblGrid>
      <w:tr w:rsidR="00650650" w:rsidRPr="00C743CA" w14:paraId="6960A56E" w14:textId="66E006F2" w:rsidTr="00650650">
        <w:trPr>
          <w:trHeight w:val="152"/>
        </w:trPr>
        <w:tc>
          <w:tcPr>
            <w:tcW w:w="1165" w:type="dxa"/>
          </w:tcPr>
          <w:p w14:paraId="1F4BCD9C" w14:textId="77777777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24" w:type="dxa"/>
            <w:gridSpan w:val="4"/>
          </w:tcPr>
          <w:p w14:paraId="3A1BA4FA" w14:textId="77777777" w:rsidR="00650650" w:rsidRPr="00C743CA" w:rsidRDefault="00650650" w:rsidP="00FE6C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Selection</w:t>
            </w:r>
          </w:p>
        </w:tc>
        <w:tc>
          <w:tcPr>
            <w:tcW w:w="1732" w:type="dxa"/>
          </w:tcPr>
          <w:p w14:paraId="5194D35A" w14:textId="77777777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Comparability</w:t>
            </w:r>
          </w:p>
        </w:tc>
        <w:tc>
          <w:tcPr>
            <w:tcW w:w="4238" w:type="dxa"/>
            <w:gridSpan w:val="3"/>
          </w:tcPr>
          <w:p w14:paraId="557CF6F1" w14:textId="661894EE" w:rsidR="00650650" w:rsidRPr="00C743CA" w:rsidRDefault="00CE2A7D" w:rsidP="00FE6C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Exposure</w:t>
            </w:r>
          </w:p>
        </w:tc>
        <w:tc>
          <w:tcPr>
            <w:tcW w:w="831" w:type="dxa"/>
          </w:tcPr>
          <w:p w14:paraId="361A4DD3" w14:textId="77777777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2A285C10" w14:textId="77777777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3B775FAF" w14:textId="77777777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50650" w:rsidRPr="00C743CA" w14:paraId="680EAD50" w14:textId="6D9E9A62" w:rsidTr="00650650">
        <w:trPr>
          <w:trHeight w:val="741"/>
        </w:trPr>
        <w:tc>
          <w:tcPr>
            <w:tcW w:w="1165" w:type="dxa"/>
          </w:tcPr>
          <w:p w14:paraId="3BB76213" w14:textId="77777777" w:rsidR="00650650" w:rsidRPr="00C743CA" w:rsidRDefault="00650650" w:rsidP="00FE6C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  <w:t>Study</w:t>
            </w:r>
          </w:p>
        </w:tc>
        <w:tc>
          <w:tcPr>
            <w:tcW w:w="1777" w:type="dxa"/>
          </w:tcPr>
          <w:p w14:paraId="28120D09" w14:textId="1410BF99" w:rsidR="00650650" w:rsidRPr="00C743CA" w:rsidRDefault="00650650" w:rsidP="00FE6C38">
            <w:pPr>
              <w:pStyle w:val="TableParagraph"/>
              <w:spacing w:before="5"/>
              <w:ind w:left="25" w:right="520"/>
              <w:rPr>
                <w:bCs/>
                <w:sz w:val="20"/>
                <w:szCs w:val="20"/>
              </w:rPr>
            </w:pPr>
            <w:r w:rsidRPr="00C743CA">
              <w:rPr>
                <w:bCs/>
                <w:w w:val="105"/>
                <w:sz w:val="20"/>
                <w:szCs w:val="20"/>
              </w:rPr>
              <w:t xml:space="preserve">Is the </w:t>
            </w:r>
            <w:r w:rsidRPr="00C743CA">
              <w:rPr>
                <w:bCs/>
                <w:spacing w:val="-6"/>
                <w:w w:val="105"/>
                <w:sz w:val="20"/>
                <w:szCs w:val="20"/>
              </w:rPr>
              <w:t xml:space="preserve">case </w:t>
            </w:r>
            <w:r w:rsidRPr="00C743CA">
              <w:rPr>
                <w:bCs/>
                <w:w w:val="105"/>
                <w:sz w:val="20"/>
                <w:szCs w:val="20"/>
              </w:rPr>
              <w:t xml:space="preserve">definition </w:t>
            </w:r>
            <w:r w:rsidRPr="00C743CA">
              <w:rPr>
                <w:bCs/>
                <w:spacing w:val="-1"/>
                <w:sz w:val="20"/>
                <w:szCs w:val="20"/>
              </w:rPr>
              <w:t>adequate?</w:t>
            </w:r>
          </w:p>
        </w:tc>
        <w:tc>
          <w:tcPr>
            <w:tcW w:w="1239" w:type="dxa"/>
          </w:tcPr>
          <w:p w14:paraId="578ACF69" w14:textId="77777777" w:rsidR="00650650" w:rsidRPr="00C743CA" w:rsidRDefault="00650650" w:rsidP="00FE6C38">
            <w:pPr>
              <w:pStyle w:val="TableParagraph"/>
              <w:spacing w:before="5"/>
              <w:ind w:left="25" w:right="12"/>
              <w:rPr>
                <w:bCs/>
                <w:sz w:val="20"/>
                <w:szCs w:val="20"/>
              </w:rPr>
            </w:pPr>
            <w:r w:rsidRPr="00C743CA">
              <w:rPr>
                <w:bCs/>
                <w:sz w:val="20"/>
                <w:szCs w:val="20"/>
              </w:rPr>
              <w:t xml:space="preserve">Representativeness </w:t>
            </w:r>
            <w:r w:rsidRPr="00C743CA">
              <w:rPr>
                <w:bCs/>
                <w:w w:val="105"/>
                <w:sz w:val="20"/>
                <w:szCs w:val="20"/>
              </w:rPr>
              <w:t>of the cases</w:t>
            </w:r>
          </w:p>
          <w:p w14:paraId="0343D161" w14:textId="32BA50CC" w:rsidR="00650650" w:rsidRPr="00C743CA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7" w:type="dxa"/>
          </w:tcPr>
          <w:p w14:paraId="5BC42EBC" w14:textId="77777777" w:rsidR="00650650" w:rsidRPr="00C743CA" w:rsidRDefault="00650650" w:rsidP="00FE6C38">
            <w:pPr>
              <w:pStyle w:val="TableParagraph"/>
              <w:spacing w:before="5"/>
              <w:ind w:left="20"/>
              <w:rPr>
                <w:bCs/>
                <w:sz w:val="20"/>
                <w:szCs w:val="20"/>
              </w:rPr>
            </w:pPr>
            <w:r w:rsidRPr="00C743CA">
              <w:rPr>
                <w:bCs/>
                <w:w w:val="105"/>
                <w:sz w:val="20"/>
                <w:szCs w:val="20"/>
              </w:rPr>
              <w:t>Selection of Controls</w:t>
            </w:r>
          </w:p>
          <w:p w14:paraId="1041BA7E" w14:textId="22FEE651" w:rsidR="00650650" w:rsidRPr="00C743CA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41" w:type="dxa"/>
          </w:tcPr>
          <w:p w14:paraId="449C363C" w14:textId="3BFFCA03" w:rsidR="00650650" w:rsidRPr="00C743CA" w:rsidRDefault="00650650" w:rsidP="00FE6C38">
            <w:pPr>
              <w:pStyle w:val="TableParagraph"/>
              <w:spacing w:before="5"/>
              <w:ind w:left="24" w:right="60"/>
              <w:rPr>
                <w:bCs/>
                <w:sz w:val="20"/>
                <w:szCs w:val="20"/>
              </w:rPr>
            </w:pPr>
            <w:r w:rsidRPr="00C743CA">
              <w:rPr>
                <w:bCs/>
                <w:sz w:val="20"/>
                <w:szCs w:val="20"/>
              </w:rPr>
              <w:t xml:space="preserve">Definition of </w:t>
            </w:r>
            <w:r w:rsidRPr="00C743CA">
              <w:rPr>
                <w:bCs/>
                <w:w w:val="105"/>
                <w:sz w:val="20"/>
                <w:szCs w:val="20"/>
              </w:rPr>
              <w:t>Controls</w:t>
            </w:r>
          </w:p>
          <w:p w14:paraId="37D97A0F" w14:textId="34CF1960" w:rsidR="00650650" w:rsidRPr="00C743CA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32" w:type="dxa"/>
          </w:tcPr>
          <w:p w14:paraId="2D2C5842" w14:textId="49B5D420" w:rsidR="00650650" w:rsidRPr="00C743CA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Comparability of cases </w:t>
            </w:r>
            <w:r w:rsidRPr="00C743CA">
              <w:rPr>
                <w:rFonts w:ascii="Times New Roman" w:hAnsi="Times New Roman" w:cs="Times New Roman"/>
                <w:bCs/>
                <w:w w:val="105"/>
                <w:sz w:val="20"/>
                <w:szCs w:val="20"/>
              </w:rPr>
              <w:t>and controls based on the design or analysis</w:t>
            </w:r>
          </w:p>
        </w:tc>
        <w:tc>
          <w:tcPr>
            <w:tcW w:w="1014" w:type="dxa"/>
          </w:tcPr>
          <w:p w14:paraId="1942A868" w14:textId="77777777" w:rsidR="00650650" w:rsidRPr="00C743CA" w:rsidRDefault="00650650" w:rsidP="00FE6C38">
            <w:pPr>
              <w:pStyle w:val="TableParagraph"/>
              <w:spacing w:before="5"/>
              <w:ind w:left="25" w:right="7"/>
              <w:rPr>
                <w:bCs/>
                <w:sz w:val="20"/>
                <w:szCs w:val="20"/>
              </w:rPr>
            </w:pPr>
            <w:r w:rsidRPr="00C743CA">
              <w:rPr>
                <w:bCs/>
                <w:sz w:val="20"/>
                <w:szCs w:val="20"/>
              </w:rPr>
              <w:t xml:space="preserve">Ascertainment </w:t>
            </w:r>
            <w:r w:rsidRPr="00C743CA">
              <w:rPr>
                <w:bCs/>
                <w:w w:val="105"/>
                <w:sz w:val="20"/>
                <w:szCs w:val="20"/>
              </w:rPr>
              <w:t>of exposure</w:t>
            </w:r>
          </w:p>
          <w:p w14:paraId="2D435BC0" w14:textId="24FF96EE" w:rsidR="00650650" w:rsidRPr="00C743CA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0" w:type="dxa"/>
          </w:tcPr>
          <w:p w14:paraId="0C23908C" w14:textId="77777777" w:rsidR="00650650" w:rsidRPr="00C743CA" w:rsidRDefault="00650650" w:rsidP="00FE6C38">
            <w:pPr>
              <w:pStyle w:val="TableParagraph"/>
              <w:spacing w:before="5"/>
              <w:ind w:left="25" w:right="172"/>
              <w:rPr>
                <w:bCs/>
                <w:sz w:val="20"/>
                <w:szCs w:val="20"/>
              </w:rPr>
            </w:pPr>
            <w:r w:rsidRPr="00C743CA">
              <w:rPr>
                <w:bCs/>
                <w:w w:val="105"/>
                <w:sz w:val="20"/>
                <w:szCs w:val="20"/>
              </w:rPr>
              <w:t xml:space="preserve">Same method of </w:t>
            </w:r>
            <w:r w:rsidRPr="00C743CA">
              <w:rPr>
                <w:bCs/>
                <w:sz w:val="20"/>
                <w:szCs w:val="20"/>
              </w:rPr>
              <w:t xml:space="preserve">ascertainment for </w:t>
            </w:r>
            <w:r w:rsidRPr="00C743CA">
              <w:rPr>
                <w:bCs/>
                <w:w w:val="105"/>
                <w:sz w:val="20"/>
                <w:szCs w:val="20"/>
              </w:rPr>
              <w:t>cases and controls</w:t>
            </w:r>
          </w:p>
          <w:p w14:paraId="4B6CFC63" w14:textId="26618278" w:rsidR="00650650" w:rsidRPr="00C743CA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4" w:type="dxa"/>
          </w:tcPr>
          <w:p w14:paraId="2F1B3E47" w14:textId="62EB9F32" w:rsidR="00650650" w:rsidRPr="00C743CA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Non-Response </w:t>
            </w:r>
            <w:r w:rsidRPr="00C743CA">
              <w:rPr>
                <w:rFonts w:ascii="Times New Roman" w:hAnsi="Times New Roman" w:cs="Times New Roman"/>
                <w:bCs/>
                <w:w w:val="105"/>
                <w:sz w:val="20"/>
                <w:szCs w:val="20"/>
              </w:rPr>
              <w:t>rate</w:t>
            </w:r>
          </w:p>
        </w:tc>
        <w:tc>
          <w:tcPr>
            <w:tcW w:w="831" w:type="dxa"/>
          </w:tcPr>
          <w:p w14:paraId="4330FB3D" w14:textId="77777777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score</w:t>
            </w:r>
          </w:p>
        </w:tc>
        <w:tc>
          <w:tcPr>
            <w:tcW w:w="834" w:type="dxa"/>
          </w:tcPr>
          <w:p w14:paraId="49233E02" w14:textId="48FD9AE2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Agreement (%)</w:t>
            </w:r>
          </w:p>
        </w:tc>
        <w:tc>
          <w:tcPr>
            <w:tcW w:w="834" w:type="dxa"/>
          </w:tcPr>
          <w:p w14:paraId="78958B52" w14:textId="3E3CE2DD" w:rsidR="00650650" w:rsidRPr="00C743CA" w:rsidRDefault="00650650" w:rsidP="00FE6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Risk of Bias</w:t>
            </w:r>
          </w:p>
        </w:tc>
      </w:tr>
      <w:tr w:rsidR="00650650" w:rsidRPr="00C743CA" w14:paraId="3FA908B2" w14:textId="1C0ED462" w:rsidTr="00650650">
        <w:trPr>
          <w:trHeight w:val="447"/>
        </w:trPr>
        <w:tc>
          <w:tcPr>
            <w:tcW w:w="1165" w:type="dxa"/>
          </w:tcPr>
          <w:p w14:paraId="161BC70F" w14:textId="4E6C8373" w:rsidR="00650650" w:rsidRPr="005C494B" w:rsidRDefault="00650650" w:rsidP="00FE6C3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C494B">
              <w:rPr>
                <w:rFonts w:ascii="Times New Roman" w:hAnsi="Times New Roman" w:cs="Times New Roman"/>
                <w:bCs/>
                <w:sz w:val="20"/>
                <w:szCs w:val="20"/>
              </w:rPr>
              <w:t>Stadelmaier et al</w:t>
            </w:r>
            <w:r w:rsidR="00177C55" w:rsidRPr="005C494B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5C494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2017</w:t>
            </w:r>
            <w:r w:rsidR="00B115B6" w:rsidRPr="005C494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[11]</w:t>
            </w:r>
          </w:p>
        </w:tc>
        <w:tc>
          <w:tcPr>
            <w:tcW w:w="1777" w:type="dxa"/>
          </w:tcPr>
          <w:p w14:paraId="42B03AA1" w14:textId="0527F120" w:rsidR="00650650" w:rsidRPr="00C743CA" w:rsidRDefault="004A0B47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39" w:type="dxa"/>
          </w:tcPr>
          <w:p w14:paraId="7DC60475" w14:textId="4DD53A34" w:rsidR="00650650" w:rsidRPr="00C743CA" w:rsidRDefault="003C6F94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67" w:type="dxa"/>
          </w:tcPr>
          <w:p w14:paraId="30A5F1C5" w14:textId="1D5042AA" w:rsidR="00650650" w:rsidRPr="00C743CA" w:rsidRDefault="004634AD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41" w:type="dxa"/>
          </w:tcPr>
          <w:p w14:paraId="6938D061" w14:textId="1984BAC8" w:rsidR="00650650" w:rsidRPr="00C743CA" w:rsidRDefault="004634AD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32" w:type="dxa"/>
          </w:tcPr>
          <w:p w14:paraId="439F13D2" w14:textId="3C5E943D" w:rsidR="00650650" w:rsidRPr="00C743CA" w:rsidRDefault="0020224E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14" w:type="dxa"/>
          </w:tcPr>
          <w:p w14:paraId="48C83F6C" w14:textId="0C5876ED" w:rsidR="00650650" w:rsidRPr="00C743CA" w:rsidRDefault="003C6F94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10" w:type="dxa"/>
          </w:tcPr>
          <w:p w14:paraId="4535EDCC" w14:textId="77777777" w:rsidR="00650650" w:rsidRPr="00C743CA" w:rsidRDefault="00650650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</w:tcPr>
          <w:p w14:paraId="40F0839A" w14:textId="6D757A63" w:rsidR="00650650" w:rsidRPr="00C743CA" w:rsidRDefault="00CE2A7D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31" w:type="dxa"/>
          </w:tcPr>
          <w:p w14:paraId="65F57246" w14:textId="0CEC33B4" w:rsidR="00650650" w:rsidRPr="00C743CA" w:rsidRDefault="0020224E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34" w:type="dxa"/>
          </w:tcPr>
          <w:p w14:paraId="142DE4A3" w14:textId="781C5930" w:rsidR="00650650" w:rsidRPr="00C743CA" w:rsidRDefault="00CE2A7D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85%</w:t>
            </w:r>
          </w:p>
        </w:tc>
        <w:tc>
          <w:tcPr>
            <w:tcW w:w="834" w:type="dxa"/>
          </w:tcPr>
          <w:p w14:paraId="7FF6765C" w14:textId="62936510" w:rsidR="00650650" w:rsidRPr="00C743CA" w:rsidRDefault="00E258CA" w:rsidP="00FE6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43C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</w:tbl>
    <w:p w14:paraId="75B648D6" w14:textId="6D152ACE" w:rsidR="00CF7A5A" w:rsidRPr="00C743CA" w:rsidRDefault="00CF7A5A" w:rsidP="00FE6C38">
      <w:pPr>
        <w:rPr>
          <w:sz w:val="20"/>
          <w:szCs w:val="20"/>
        </w:rPr>
      </w:pPr>
    </w:p>
    <w:p w14:paraId="601824C8" w14:textId="194807EA" w:rsidR="00CF7A5A" w:rsidRPr="00C743CA" w:rsidRDefault="00CF7A5A" w:rsidP="00FE6C38">
      <w:pPr>
        <w:rPr>
          <w:sz w:val="20"/>
          <w:szCs w:val="20"/>
        </w:rPr>
      </w:pPr>
    </w:p>
    <w:p w14:paraId="7B646E20" w14:textId="56E1C4D3" w:rsidR="00CF7A5A" w:rsidRPr="00C743CA" w:rsidRDefault="00CF7A5A" w:rsidP="00FE6C38">
      <w:pPr>
        <w:rPr>
          <w:sz w:val="20"/>
          <w:szCs w:val="20"/>
        </w:rPr>
      </w:pPr>
    </w:p>
    <w:p w14:paraId="6C67CFA8" w14:textId="77777777" w:rsidR="00274A3A" w:rsidRPr="00C743CA" w:rsidRDefault="00274A3A" w:rsidP="00FE6C38">
      <w:pPr>
        <w:jc w:val="both"/>
        <w:rPr>
          <w:rFonts w:ascii="Times New Roman" w:hAnsi="Times New Roman" w:cs="Times New Roman"/>
          <w:sz w:val="20"/>
          <w:szCs w:val="20"/>
        </w:rPr>
      </w:pPr>
      <w:r w:rsidRPr="00C743CA">
        <w:rPr>
          <w:rFonts w:ascii="Times New Roman" w:hAnsi="Times New Roman" w:cs="Times New Roman"/>
          <w:sz w:val="20"/>
          <w:szCs w:val="20"/>
        </w:rPr>
        <w:t xml:space="preserve">Thresholds for converting the Newcastle-Ottawa scales to AHRQ standards (good, fair, and poor): </w:t>
      </w:r>
    </w:p>
    <w:p w14:paraId="65964A34" w14:textId="77777777" w:rsidR="00274A3A" w:rsidRPr="00C743CA" w:rsidRDefault="00274A3A" w:rsidP="00FE6C38">
      <w:pPr>
        <w:jc w:val="both"/>
        <w:rPr>
          <w:rFonts w:ascii="Times New Roman" w:hAnsi="Times New Roman" w:cs="Times New Roman"/>
          <w:sz w:val="20"/>
          <w:szCs w:val="20"/>
        </w:rPr>
      </w:pPr>
      <w:r w:rsidRPr="00C743CA">
        <w:rPr>
          <w:rFonts w:ascii="Times New Roman" w:hAnsi="Times New Roman" w:cs="Times New Roman"/>
          <w:b/>
          <w:bCs/>
          <w:sz w:val="20"/>
          <w:szCs w:val="20"/>
        </w:rPr>
        <w:t>Good quality:</w:t>
      </w:r>
      <w:r w:rsidRPr="00C743CA">
        <w:rPr>
          <w:rFonts w:ascii="Times New Roman" w:hAnsi="Times New Roman" w:cs="Times New Roman"/>
          <w:sz w:val="20"/>
          <w:szCs w:val="20"/>
        </w:rPr>
        <w:t xml:space="preserve"> 3 or 4 stars in selection domain AND 1 or 2 stars in comparability domain AND 2 or 3 stars in outcome/exposure domain </w:t>
      </w:r>
    </w:p>
    <w:p w14:paraId="51A99591" w14:textId="77777777" w:rsidR="00274A3A" w:rsidRPr="00C743CA" w:rsidRDefault="00274A3A" w:rsidP="00FE6C38">
      <w:pPr>
        <w:jc w:val="both"/>
        <w:rPr>
          <w:rFonts w:ascii="Times New Roman" w:hAnsi="Times New Roman" w:cs="Times New Roman"/>
          <w:sz w:val="20"/>
          <w:szCs w:val="20"/>
        </w:rPr>
      </w:pPr>
      <w:r w:rsidRPr="00C743CA">
        <w:rPr>
          <w:rFonts w:ascii="Times New Roman" w:hAnsi="Times New Roman" w:cs="Times New Roman"/>
          <w:b/>
          <w:bCs/>
          <w:sz w:val="20"/>
          <w:szCs w:val="20"/>
        </w:rPr>
        <w:t>Fair quality:</w:t>
      </w:r>
      <w:r w:rsidRPr="00C743CA">
        <w:rPr>
          <w:rFonts w:ascii="Times New Roman" w:hAnsi="Times New Roman" w:cs="Times New Roman"/>
          <w:sz w:val="20"/>
          <w:szCs w:val="20"/>
        </w:rPr>
        <w:t xml:space="preserve"> 2 stars in selection domain AND 1 or 2 stars in comparability domain AND 2 or 3 stars in outcome/exposure domain </w:t>
      </w:r>
    </w:p>
    <w:p w14:paraId="13624B0D" w14:textId="10CA2A7E" w:rsidR="00274A3A" w:rsidRPr="00C743CA" w:rsidRDefault="00274A3A" w:rsidP="00FE6C38">
      <w:pPr>
        <w:jc w:val="both"/>
        <w:rPr>
          <w:rFonts w:ascii="Times New Roman" w:hAnsi="Times New Roman" w:cs="Times New Roman"/>
          <w:sz w:val="20"/>
          <w:szCs w:val="20"/>
        </w:rPr>
      </w:pPr>
      <w:r w:rsidRPr="00C743CA">
        <w:rPr>
          <w:rFonts w:ascii="Times New Roman" w:hAnsi="Times New Roman" w:cs="Times New Roman"/>
          <w:b/>
          <w:bCs/>
          <w:sz w:val="20"/>
          <w:szCs w:val="20"/>
        </w:rPr>
        <w:t>Poor quality:</w:t>
      </w:r>
      <w:r w:rsidRPr="00C743CA">
        <w:rPr>
          <w:rFonts w:ascii="Times New Roman" w:hAnsi="Times New Roman" w:cs="Times New Roman"/>
          <w:sz w:val="20"/>
          <w:szCs w:val="20"/>
        </w:rPr>
        <w:t xml:space="preserve"> 0 or 1 star in selection domain OR 0 stars in comparability domain OR 0 or 1 stars in outcome/exposure domain IRR</w:t>
      </w:r>
    </w:p>
    <w:p w14:paraId="36CCD6F3" w14:textId="48B84055" w:rsidR="00274A3A" w:rsidRPr="00C743CA" w:rsidRDefault="00274A3A" w:rsidP="00FE6C38">
      <w:pPr>
        <w:tabs>
          <w:tab w:val="left" w:pos="2500"/>
        </w:tabs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743CA">
        <w:rPr>
          <w:rFonts w:ascii="Times New Roman" w:hAnsi="Times New Roman" w:cs="Times New Roman"/>
          <w:b/>
          <w:bCs/>
          <w:sz w:val="20"/>
          <w:szCs w:val="20"/>
        </w:rPr>
        <w:t xml:space="preserve">Risk of Bias regarded as the following: </w:t>
      </w:r>
      <w:r w:rsidRPr="00C743CA">
        <w:rPr>
          <w:rFonts w:ascii="Times New Roman" w:hAnsi="Times New Roman" w:cs="Times New Roman"/>
          <w:sz w:val="20"/>
          <w:szCs w:val="20"/>
        </w:rPr>
        <w:t>High when agreement is below 50%; medium when agreement is between 51%–80% and low when agreement is greater than 80%.</w:t>
      </w:r>
    </w:p>
    <w:p w14:paraId="2E48AE97" w14:textId="355EABD3" w:rsidR="00CF7A5A" w:rsidRPr="00C743CA" w:rsidRDefault="00CF7A5A" w:rsidP="00FE6C38">
      <w:pPr>
        <w:rPr>
          <w:sz w:val="20"/>
          <w:szCs w:val="20"/>
        </w:rPr>
      </w:pPr>
    </w:p>
    <w:p w14:paraId="0BF296BF" w14:textId="748DCFBC" w:rsidR="00CF7A5A" w:rsidRPr="00C743CA" w:rsidRDefault="00CF7A5A" w:rsidP="00FE6C38">
      <w:pPr>
        <w:rPr>
          <w:sz w:val="20"/>
          <w:szCs w:val="20"/>
        </w:rPr>
      </w:pPr>
    </w:p>
    <w:p w14:paraId="7F6761E5" w14:textId="3C237F1C" w:rsidR="00CF7A5A" w:rsidRPr="00C743CA" w:rsidRDefault="00CF7A5A" w:rsidP="00FE6C38">
      <w:pPr>
        <w:rPr>
          <w:sz w:val="20"/>
          <w:szCs w:val="20"/>
        </w:rPr>
      </w:pPr>
    </w:p>
    <w:p w14:paraId="38D024D2" w14:textId="77777777" w:rsidR="00CF7A5A" w:rsidRPr="00C743CA" w:rsidRDefault="00CF7A5A" w:rsidP="00FE6C38">
      <w:pPr>
        <w:rPr>
          <w:sz w:val="20"/>
          <w:szCs w:val="20"/>
        </w:rPr>
      </w:pPr>
    </w:p>
    <w:sectPr w:rsidR="00CF7A5A" w:rsidRPr="00C743CA" w:rsidSect="00CF7A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093B63" w14:textId="77777777" w:rsidR="00A82B73" w:rsidRDefault="00A82B73" w:rsidP="00832910">
      <w:r>
        <w:separator/>
      </w:r>
    </w:p>
  </w:endnote>
  <w:endnote w:type="continuationSeparator" w:id="0">
    <w:p w14:paraId="08FE32DA" w14:textId="77777777" w:rsidR="00A82B73" w:rsidRDefault="00A82B73" w:rsidP="00832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09104D" w14:textId="77777777" w:rsidR="00A82B73" w:rsidRDefault="00A82B73" w:rsidP="00832910">
      <w:r>
        <w:separator/>
      </w:r>
    </w:p>
  </w:footnote>
  <w:footnote w:type="continuationSeparator" w:id="0">
    <w:p w14:paraId="34B35ABD" w14:textId="77777777" w:rsidR="00A82B73" w:rsidRDefault="00A82B73" w:rsidP="008329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73A"/>
    <w:rsid w:val="00045C30"/>
    <w:rsid w:val="000A61C4"/>
    <w:rsid w:val="000C2C1B"/>
    <w:rsid w:val="000D6E22"/>
    <w:rsid w:val="00177C55"/>
    <w:rsid w:val="001A4C9E"/>
    <w:rsid w:val="0020224E"/>
    <w:rsid w:val="00274A3A"/>
    <w:rsid w:val="002864CE"/>
    <w:rsid w:val="00301140"/>
    <w:rsid w:val="003C6F94"/>
    <w:rsid w:val="003E3CB7"/>
    <w:rsid w:val="00425A6C"/>
    <w:rsid w:val="00435CE0"/>
    <w:rsid w:val="00443E53"/>
    <w:rsid w:val="004634AD"/>
    <w:rsid w:val="00470201"/>
    <w:rsid w:val="004A0B47"/>
    <w:rsid w:val="004C027F"/>
    <w:rsid w:val="004D43E6"/>
    <w:rsid w:val="004E16D5"/>
    <w:rsid w:val="0053515E"/>
    <w:rsid w:val="005A56F0"/>
    <w:rsid w:val="005C1E4B"/>
    <w:rsid w:val="005C494B"/>
    <w:rsid w:val="005F1A9E"/>
    <w:rsid w:val="00603F37"/>
    <w:rsid w:val="00650650"/>
    <w:rsid w:val="00731C81"/>
    <w:rsid w:val="007B4CDE"/>
    <w:rsid w:val="008225B0"/>
    <w:rsid w:val="00832910"/>
    <w:rsid w:val="00920E60"/>
    <w:rsid w:val="00997AD5"/>
    <w:rsid w:val="009C5A5F"/>
    <w:rsid w:val="00A02C4C"/>
    <w:rsid w:val="00A03C75"/>
    <w:rsid w:val="00A35E30"/>
    <w:rsid w:val="00A4173A"/>
    <w:rsid w:val="00A82B73"/>
    <w:rsid w:val="00B115B6"/>
    <w:rsid w:val="00B15DDE"/>
    <w:rsid w:val="00BA4B27"/>
    <w:rsid w:val="00BD2BA2"/>
    <w:rsid w:val="00C259AE"/>
    <w:rsid w:val="00C64D72"/>
    <w:rsid w:val="00C743CA"/>
    <w:rsid w:val="00CC68B3"/>
    <w:rsid w:val="00CD4EFC"/>
    <w:rsid w:val="00CE2A7D"/>
    <w:rsid w:val="00CF7A5A"/>
    <w:rsid w:val="00D32E2D"/>
    <w:rsid w:val="00DA13B6"/>
    <w:rsid w:val="00DD7E5E"/>
    <w:rsid w:val="00E258CA"/>
    <w:rsid w:val="00E27F81"/>
    <w:rsid w:val="00E44403"/>
    <w:rsid w:val="00F06176"/>
    <w:rsid w:val="00F0745B"/>
    <w:rsid w:val="00F11923"/>
    <w:rsid w:val="00F6253F"/>
    <w:rsid w:val="00FE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8A760"/>
  <w15:chartTrackingRefBased/>
  <w15:docId w15:val="{8530D192-101E-1949-93EE-2A3D513C6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7A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17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A4173A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4173A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A4173A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329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910"/>
  </w:style>
  <w:style w:type="paragraph" w:styleId="Footer">
    <w:name w:val="footer"/>
    <w:basedOn w:val="Normal"/>
    <w:link w:val="FooterChar"/>
    <w:uiPriority w:val="99"/>
    <w:unhideWhenUsed/>
    <w:rsid w:val="008329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910"/>
  </w:style>
  <w:style w:type="table" w:styleId="TableGridLight">
    <w:name w:val="Grid Table Light"/>
    <w:basedOn w:val="TableNormal"/>
    <w:uiPriority w:val="40"/>
    <w:rsid w:val="0083291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5CBC47-DFCB-4469-8C39-FAA8C8459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2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Sachin Vilas Pawar</cp:lastModifiedBy>
  <cp:revision>31</cp:revision>
  <dcterms:created xsi:type="dcterms:W3CDTF">2022-02-13T06:56:00Z</dcterms:created>
  <dcterms:modified xsi:type="dcterms:W3CDTF">2022-09-16T18:17:00Z</dcterms:modified>
</cp:coreProperties>
</file>