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F17" w:rsidRPr="00B2766E" w:rsidRDefault="00517F17" w:rsidP="00517F17">
      <w:pPr>
        <w:spacing w:line="360" w:lineRule="auto"/>
        <w:jc w:val="both"/>
        <w:rPr>
          <w:lang w:val="en-US"/>
        </w:rPr>
      </w:pPr>
      <w:r w:rsidRPr="00A93B4E">
        <w:rPr>
          <w:b/>
          <w:lang w:val="en-US"/>
        </w:rPr>
        <w:t xml:space="preserve">Additional file </w:t>
      </w:r>
      <w:r w:rsidR="008E4C68">
        <w:rPr>
          <w:b/>
          <w:lang w:val="en-US"/>
        </w:rPr>
        <w:t>9</w:t>
      </w:r>
      <w:r w:rsidRPr="00A93B4E">
        <w:rPr>
          <w:b/>
          <w:lang w:val="en-US"/>
        </w:rPr>
        <w:t xml:space="preserve">: </w:t>
      </w:r>
      <w:r w:rsidRPr="00B2766E">
        <w:rPr>
          <w:lang w:val="en-US"/>
        </w:rPr>
        <w:t xml:space="preserve">Evaluation of </w:t>
      </w:r>
      <w:proofErr w:type="spellStart"/>
      <w:r w:rsidRPr="00B2766E">
        <w:rPr>
          <w:lang w:val="en-US"/>
        </w:rPr>
        <w:t>PyroAssays</w:t>
      </w:r>
      <w:proofErr w:type="spellEnd"/>
      <w:r w:rsidRPr="00B2766E">
        <w:rPr>
          <w:lang w:val="en-US"/>
        </w:rPr>
        <w:t xml:space="preserve"> sensitivity </w:t>
      </w:r>
    </w:p>
    <w:p w:rsidR="00517F17" w:rsidRDefault="00517F17" w:rsidP="00517F17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The quality of </w:t>
      </w:r>
      <w:proofErr w:type="spellStart"/>
      <w:r>
        <w:rPr>
          <w:lang w:val="en-US"/>
        </w:rPr>
        <w:t>methylation</w:t>
      </w:r>
      <w:proofErr w:type="spellEnd"/>
      <w:r>
        <w:rPr>
          <w:lang w:val="en-US"/>
        </w:rPr>
        <w:t xml:space="preserve"> results collected from </w:t>
      </w:r>
      <w:proofErr w:type="spellStart"/>
      <w:r>
        <w:rPr>
          <w:lang w:val="en-US"/>
        </w:rPr>
        <w:t>pyrosequencing</w:t>
      </w:r>
      <w:proofErr w:type="spellEnd"/>
      <w:r>
        <w:rPr>
          <w:lang w:val="en-US"/>
        </w:rPr>
        <w:t xml:space="preserve"> reactions was assessed based on</w:t>
      </w:r>
      <w:r w:rsidRPr="00060C62">
        <w:rPr>
          <w:lang w:val="en-US"/>
        </w:rPr>
        <w:t xml:space="preserve"> </w:t>
      </w:r>
      <w:r>
        <w:rPr>
          <w:lang w:val="en-US"/>
        </w:rPr>
        <w:t xml:space="preserve">a series of dilution curves (from 0 % to 100%, every 10%) obtained for all the </w:t>
      </w:r>
      <w:proofErr w:type="spellStart"/>
      <w:r>
        <w:rPr>
          <w:lang w:val="en-US"/>
        </w:rPr>
        <w:t>PyroAssays</w:t>
      </w:r>
      <w:proofErr w:type="spellEnd"/>
      <w:r>
        <w:rPr>
          <w:lang w:val="en-US"/>
        </w:rPr>
        <w:t xml:space="preserve">. </w:t>
      </w:r>
    </w:p>
    <w:p w:rsidR="00517F17" w:rsidRDefault="00517F17" w:rsidP="00517F17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A good reproducibility and sensitivity was obtained for all 8 </w:t>
      </w:r>
      <w:proofErr w:type="spellStart"/>
      <w:r>
        <w:rPr>
          <w:lang w:val="en-US"/>
        </w:rPr>
        <w:t>PyroAssays</w:t>
      </w:r>
      <w:proofErr w:type="spellEnd"/>
      <w:r>
        <w:rPr>
          <w:lang w:val="en-US"/>
        </w:rPr>
        <w:t xml:space="preserve"> (see an example of dilution curve for PyroAssay 5; the other are available upon request). </w:t>
      </w:r>
    </w:p>
    <w:p w:rsidR="00517F17" w:rsidRDefault="00517F17" w:rsidP="00517F17">
      <w:pPr>
        <w:pStyle w:val="Legenda"/>
        <w:rPr>
          <w:sz w:val="22"/>
          <w:lang w:val="en-US"/>
        </w:rPr>
      </w:pPr>
    </w:p>
    <w:p w:rsidR="00517F17" w:rsidRPr="00E72F6E" w:rsidRDefault="00517F17" w:rsidP="00517F17">
      <w:pPr>
        <w:pStyle w:val="Legenda"/>
        <w:rPr>
          <w:color w:val="auto"/>
          <w:lang w:val="en-US"/>
        </w:rPr>
      </w:pPr>
      <w:r w:rsidRPr="00E72F6E">
        <w:rPr>
          <w:color w:val="auto"/>
          <w:lang w:val="en-US"/>
        </w:rPr>
        <w:t>Figure S1. An example of dilution curve obtained for PyroAssay 5.</w:t>
      </w:r>
    </w:p>
    <w:p w:rsidR="00517F17" w:rsidRPr="008A66B7" w:rsidRDefault="00517F17" w:rsidP="00517F17">
      <w:pPr>
        <w:spacing w:line="360" w:lineRule="auto"/>
        <w:jc w:val="both"/>
        <w:rPr>
          <w:lang w:val="en-US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135890</wp:posOffset>
            </wp:positionV>
            <wp:extent cx="4959350" cy="1785620"/>
            <wp:effectExtent l="19050" t="0" r="12700" b="5080"/>
            <wp:wrapSquare wrapText="bothSides"/>
            <wp:docPr id="2" name="Wykres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</w:p>
    <w:p w:rsidR="00517F17" w:rsidRDefault="00517F17" w:rsidP="00517F17">
      <w:pPr>
        <w:autoSpaceDE w:val="0"/>
        <w:autoSpaceDN w:val="0"/>
        <w:adjustRightInd w:val="0"/>
        <w:spacing w:after="0" w:line="360" w:lineRule="auto"/>
        <w:jc w:val="both"/>
        <w:rPr>
          <w:rFonts w:cs="Corbel-Bold"/>
          <w:b/>
          <w:bCs/>
          <w:color w:val="000000"/>
          <w:lang w:val="en-US"/>
        </w:rPr>
      </w:pPr>
    </w:p>
    <w:p w:rsidR="00517F17" w:rsidRDefault="00517F17" w:rsidP="00517F17">
      <w:pPr>
        <w:autoSpaceDE w:val="0"/>
        <w:autoSpaceDN w:val="0"/>
        <w:adjustRightInd w:val="0"/>
        <w:spacing w:after="0" w:line="360" w:lineRule="auto"/>
        <w:jc w:val="both"/>
        <w:rPr>
          <w:rFonts w:cs="Corbel-Bold"/>
          <w:b/>
          <w:bCs/>
          <w:color w:val="000000"/>
          <w:lang w:val="en-US"/>
        </w:rPr>
      </w:pPr>
    </w:p>
    <w:p w:rsidR="00517F17" w:rsidRDefault="00517F17" w:rsidP="00517F17">
      <w:pPr>
        <w:autoSpaceDE w:val="0"/>
        <w:autoSpaceDN w:val="0"/>
        <w:adjustRightInd w:val="0"/>
        <w:spacing w:after="0" w:line="360" w:lineRule="auto"/>
        <w:jc w:val="both"/>
        <w:rPr>
          <w:rFonts w:cs="Corbel-Bold"/>
          <w:b/>
          <w:bCs/>
          <w:color w:val="000000"/>
          <w:lang w:val="en-US"/>
        </w:rPr>
      </w:pPr>
    </w:p>
    <w:p w:rsidR="00517F17" w:rsidRDefault="00517F17" w:rsidP="00517F17">
      <w:pPr>
        <w:autoSpaceDE w:val="0"/>
        <w:autoSpaceDN w:val="0"/>
        <w:adjustRightInd w:val="0"/>
        <w:spacing w:after="0" w:line="360" w:lineRule="auto"/>
        <w:jc w:val="both"/>
        <w:rPr>
          <w:rFonts w:cs="Corbel-Bold"/>
          <w:b/>
          <w:bCs/>
          <w:color w:val="000000"/>
          <w:lang w:val="en-US"/>
        </w:rPr>
      </w:pPr>
    </w:p>
    <w:p w:rsidR="00517F17" w:rsidRDefault="00517F17" w:rsidP="00517F17">
      <w:pPr>
        <w:autoSpaceDE w:val="0"/>
        <w:autoSpaceDN w:val="0"/>
        <w:adjustRightInd w:val="0"/>
        <w:spacing w:after="0" w:line="360" w:lineRule="auto"/>
        <w:jc w:val="both"/>
        <w:rPr>
          <w:rFonts w:cs="Corbel-Bold"/>
          <w:b/>
          <w:bCs/>
          <w:color w:val="000000"/>
          <w:lang w:val="en-US"/>
        </w:rPr>
      </w:pPr>
    </w:p>
    <w:p w:rsidR="00517F17" w:rsidRPr="009445BF" w:rsidRDefault="00517F17" w:rsidP="00517F17">
      <w:pPr>
        <w:rPr>
          <w:rFonts w:cs="Times New Roman"/>
          <w:b/>
          <w:lang w:val="en-US"/>
        </w:rPr>
      </w:pPr>
    </w:p>
    <w:p w:rsidR="005E6F07" w:rsidRPr="00517F17" w:rsidRDefault="00B2766E">
      <w:pPr>
        <w:rPr>
          <w:lang w:val="en-US"/>
        </w:rPr>
      </w:pPr>
    </w:p>
    <w:sectPr w:rsidR="005E6F07" w:rsidRPr="00517F17" w:rsidSect="00594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rbel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517F17"/>
    <w:rsid w:val="000E4DE5"/>
    <w:rsid w:val="00100D40"/>
    <w:rsid w:val="002A527F"/>
    <w:rsid w:val="00371842"/>
    <w:rsid w:val="00517F17"/>
    <w:rsid w:val="0057332B"/>
    <w:rsid w:val="00594D53"/>
    <w:rsid w:val="006F561E"/>
    <w:rsid w:val="0078055F"/>
    <w:rsid w:val="007B1B60"/>
    <w:rsid w:val="008643B0"/>
    <w:rsid w:val="008E4C68"/>
    <w:rsid w:val="00910862"/>
    <w:rsid w:val="00A93B4E"/>
    <w:rsid w:val="00B2766E"/>
    <w:rsid w:val="00CC411D"/>
    <w:rsid w:val="00F415E0"/>
    <w:rsid w:val="00FE1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F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517F1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Patrycja%20Daca-Roszak\Documents\FOLDERY_PAT\GRANTY\MINIATURA_GRANT\06PIROSEKWENCJONOWANIE\PIROSEQ_WYNIKI\ASSAY_5_WYNIKI\ass5_KRZYWE_WYNIK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100"/>
            </a:pPr>
            <a:r>
              <a:rPr lang="pl-PL" sz="1100" b="1" i="0" baseline="0" dirty="0">
                <a:effectLst/>
              </a:rPr>
              <a:t>PyroAssay5 </a:t>
            </a:r>
            <a:r>
              <a:rPr lang="pl-PL" sz="1100" b="1" i="0" baseline="0" dirty="0" err="1" smtClean="0">
                <a:effectLst/>
              </a:rPr>
              <a:t>dilution</a:t>
            </a:r>
            <a:r>
              <a:rPr lang="pl-PL" sz="1100" b="1" i="0" baseline="0" dirty="0" smtClean="0">
                <a:effectLst/>
              </a:rPr>
              <a:t> </a:t>
            </a:r>
            <a:r>
              <a:rPr lang="pl-PL" sz="1100" b="1" i="0" baseline="0" dirty="0" err="1">
                <a:effectLst/>
              </a:rPr>
              <a:t>curve for three CpG </a:t>
            </a:r>
            <a:r>
              <a:rPr lang="pl-PL" sz="1100" b="1" i="1" baseline="0" dirty="0" err="1">
                <a:effectLst/>
              </a:rPr>
              <a:t>loci</a:t>
            </a:r>
            <a:endParaRPr lang="pl-PL" sz="1100" i="1" dirty="0">
              <a:effectLst/>
            </a:endParaRPr>
          </a:p>
        </c:rich>
      </c:tx>
      <c:layout>
        <c:manualLayout>
          <c:xMode val="edge"/>
          <c:yMode val="edge"/>
          <c:x val="0.26144212447195703"/>
          <c:y val="2.4679906209635255E-2"/>
        </c:manualLayout>
      </c:layout>
    </c:title>
    <c:plotArea>
      <c:layout>
        <c:manualLayout>
          <c:layoutTarget val="inner"/>
          <c:xMode val="edge"/>
          <c:yMode val="edge"/>
          <c:x val="0.10129831598332389"/>
          <c:y val="0.18791759774423841"/>
          <c:w val="0.75085626140522443"/>
          <c:h val="0.68055317494723622"/>
        </c:manualLayout>
      </c:layout>
      <c:barChart>
        <c:barDir val="col"/>
        <c:grouping val="clustered"/>
        <c:ser>
          <c:idx val="0"/>
          <c:order val="0"/>
          <c:tx>
            <c:strRef>
              <c:f>Arkusz1!$D$2:$D$3</c:f>
              <c:strCache>
                <c:ptCount val="1"/>
                <c:pt idx="0">
                  <c:v>CpG1</c:v>
                </c:pt>
              </c:strCache>
            </c:strRef>
          </c:tx>
          <c:trendline>
            <c:trendlineType val="linear"/>
          </c:trendline>
          <c:cat>
            <c:strRef>
              <c:f>Arkusz1!$C$4:$C$14</c:f>
              <c:strCache>
                <c:ptCount val="11"/>
                <c:pt idx="0">
                  <c:v>UMET</c:v>
                </c:pt>
                <c:pt idx="1">
                  <c:v>10%</c:v>
                </c:pt>
                <c:pt idx="2">
                  <c:v>20%</c:v>
                </c:pt>
                <c:pt idx="3">
                  <c:v>30%</c:v>
                </c:pt>
                <c:pt idx="4">
                  <c:v>40%</c:v>
                </c:pt>
                <c:pt idx="5">
                  <c:v>50%</c:v>
                </c:pt>
                <c:pt idx="6">
                  <c:v>60%</c:v>
                </c:pt>
                <c:pt idx="7">
                  <c:v>70%</c:v>
                </c:pt>
                <c:pt idx="8">
                  <c:v>80%</c:v>
                </c:pt>
                <c:pt idx="9">
                  <c:v>90%</c:v>
                </c:pt>
                <c:pt idx="10">
                  <c:v>MET</c:v>
                </c:pt>
              </c:strCache>
            </c:strRef>
          </c:cat>
          <c:val>
            <c:numRef>
              <c:f>Arkusz1!$D$4:$D$14</c:f>
              <c:numCache>
                <c:formatCode>0.0</c:formatCode>
                <c:ptCount val="11"/>
                <c:pt idx="0">
                  <c:v>4.1399999999999997</c:v>
                </c:pt>
                <c:pt idx="1">
                  <c:v>14.5</c:v>
                </c:pt>
                <c:pt idx="2">
                  <c:v>18.71</c:v>
                </c:pt>
                <c:pt idx="3">
                  <c:v>28.77</c:v>
                </c:pt>
                <c:pt idx="4">
                  <c:v>43.28</c:v>
                </c:pt>
                <c:pt idx="5">
                  <c:v>45.58</c:v>
                </c:pt>
                <c:pt idx="6">
                  <c:v>58.15</c:v>
                </c:pt>
                <c:pt idx="7">
                  <c:v>65.179999999999978</c:v>
                </c:pt>
                <c:pt idx="8">
                  <c:v>72.58</c:v>
                </c:pt>
                <c:pt idx="9">
                  <c:v>86.61999999999999</c:v>
                </c:pt>
                <c:pt idx="10">
                  <c:v>97.34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57A-4909-A7B7-5E3CF716CF5E}"/>
            </c:ext>
          </c:extLst>
        </c:ser>
        <c:ser>
          <c:idx val="1"/>
          <c:order val="1"/>
          <c:tx>
            <c:strRef>
              <c:f>Arkusz1!$G$2:$G$3</c:f>
              <c:strCache>
                <c:ptCount val="1"/>
                <c:pt idx="0">
                  <c:v>CpG2</c:v>
                </c:pt>
              </c:strCache>
            </c:strRef>
          </c:tx>
          <c:cat>
            <c:strRef>
              <c:f>Arkusz1!$C$4:$C$14</c:f>
              <c:strCache>
                <c:ptCount val="11"/>
                <c:pt idx="0">
                  <c:v>UMET</c:v>
                </c:pt>
                <c:pt idx="1">
                  <c:v>10%</c:v>
                </c:pt>
                <c:pt idx="2">
                  <c:v>20%</c:v>
                </c:pt>
                <c:pt idx="3">
                  <c:v>30%</c:v>
                </c:pt>
                <c:pt idx="4">
                  <c:v>40%</c:v>
                </c:pt>
                <c:pt idx="5">
                  <c:v>50%</c:v>
                </c:pt>
                <c:pt idx="6">
                  <c:v>60%</c:v>
                </c:pt>
                <c:pt idx="7">
                  <c:v>70%</c:v>
                </c:pt>
                <c:pt idx="8">
                  <c:v>80%</c:v>
                </c:pt>
                <c:pt idx="9">
                  <c:v>90%</c:v>
                </c:pt>
                <c:pt idx="10">
                  <c:v>MET</c:v>
                </c:pt>
              </c:strCache>
            </c:strRef>
          </c:cat>
          <c:val>
            <c:numRef>
              <c:f>Arkusz1!$G$4:$G$14</c:f>
              <c:numCache>
                <c:formatCode>0.0</c:formatCode>
                <c:ptCount val="11"/>
                <c:pt idx="0">
                  <c:v>3.07</c:v>
                </c:pt>
                <c:pt idx="1">
                  <c:v>13.68</c:v>
                </c:pt>
                <c:pt idx="2">
                  <c:v>19.47</c:v>
                </c:pt>
                <c:pt idx="3">
                  <c:v>29.41</c:v>
                </c:pt>
                <c:pt idx="4">
                  <c:v>42.92</c:v>
                </c:pt>
                <c:pt idx="5">
                  <c:v>47.09</c:v>
                </c:pt>
                <c:pt idx="6">
                  <c:v>57.28</c:v>
                </c:pt>
                <c:pt idx="7">
                  <c:v>65.09</c:v>
                </c:pt>
                <c:pt idx="8">
                  <c:v>72.45</c:v>
                </c:pt>
                <c:pt idx="9">
                  <c:v>87.86</c:v>
                </c:pt>
                <c:pt idx="10">
                  <c:v>97.88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57A-4909-A7B7-5E3CF716CF5E}"/>
            </c:ext>
          </c:extLst>
        </c:ser>
        <c:ser>
          <c:idx val="2"/>
          <c:order val="2"/>
          <c:tx>
            <c:strRef>
              <c:f>Arkusz1!$J$2:$J$3</c:f>
              <c:strCache>
                <c:ptCount val="1"/>
                <c:pt idx="0">
                  <c:v>CpG3</c:v>
                </c:pt>
              </c:strCache>
            </c:strRef>
          </c:tx>
          <c:cat>
            <c:strRef>
              <c:f>Arkusz1!$C$4:$C$14</c:f>
              <c:strCache>
                <c:ptCount val="11"/>
                <c:pt idx="0">
                  <c:v>UMET</c:v>
                </c:pt>
                <c:pt idx="1">
                  <c:v>10%</c:v>
                </c:pt>
                <c:pt idx="2">
                  <c:v>20%</c:v>
                </c:pt>
                <c:pt idx="3">
                  <c:v>30%</c:v>
                </c:pt>
                <c:pt idx="4">
                  <c:v>40%</c:v>
                </c:pt>
                <c:pt idx="5">
                  <c:v>50%</c:v>
                </c:pt>
                <c:pt idx="6">
                  <c:v>60%</c:v>
                </c:pt>
                <c:pt idx="7">
                  <c:v>70%</c:v>
                </c:pt>
                <c:pt idx="8">
                  <c:v>80%</c:v>
                </c:pt>
                <c:pt idx="9">
                  <c:v>90%</c:v>
                </c:pt>
                <c:pt idx="10">
                  <c:v>MET</c:v>
                </c:pt>
              </c:strCache>
            </c:strRef>
          </c:cat>
          <c:val>
            <c:numRef>
              <c:f>Arkusz1!$J$4:$J$14</c:f>
              <c:numCache>
                <c:formatCode>0.0</c:formatCode>
                <c:ptCount val="11"/>
                <c:pt idx="0">
                  <c:v>3.19</c:v>
                </c:pt>
                <c:pt idx="1">
                  <c:v>13.65</c:v>
                </c:pt>
                <c:pt idx="2">
                  <c:v>16.989999999999789</c:v>
                </c:pt>
                <c:pt idx="3">
                  <c:v>26.56</c:v>
                </c:pt>
                <c:pt idx="4">
                  <c:v>39.980000000000004</c:v>
                </c:pt>
                <c:pt idx="5">
                  <c:v>44.07</c:v>
                </c:pt>
                <c:pt idx="6">
                  <c:v>54.49</c:v>
                </c:pt>
                <c:pt idx="7">
                  <c:v>62.8</c:v>
                </c:pt>
                <c:pt idx="8">
                  <c:v>70.11</c:v>
                </c:pt>
                <c:pt idx="9">
                  <c:v>84.490000000000023</c:v>
                </c:pt>
                <c:pt idx="10">
                  <c:v>95.19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57A-4909-A7B7-5E3CF716CF5E}"/>
            </c:ext>
          </c:extLst>
        </c:ser>
        <c:axId val="114495488"/>
        <c:axId val="114497024"/>
      </c:barChart>
      <c:catAx>
        <c:axId val="114495488"/>
        <c:scaling>
          <c:orientation val="minMax"/>
        </c:scaling>
        <c:axPos val="b"/>
        <c:numFmt formatCode="General" sourceLinked="0"/>
        <c:majorTickMark val="none"/>
        <c:tickLblPos val="nextTo"/>
        <c:txPr>
          <a:bodyPr/>
          <a:lstStyle/>
          <a:p>
            <a:pPr>
              <a:defRPr sz="1000"/>
            </a:pPr>
            <a:endParaRPr lang="pl-PL"/>
          </a:p>
        </c:txPr>
        <c:crossAx val="114497024"/>
        <c:crosses val="autoZero"/>
        <c:auto val="1"/>
        <c:lblAlgn val="ctr"/>
        <c:lblOffset val="100"/>
      </c:catAx>
      <c:valAx>
        <c:axId val="114497024"/>
        <c:scaling>
          <c:orientation val="minMax"/>
          <c:max val="100"/>
        </c:scaling>
        <c:axPos val="l"/>
        <c:majorGridlines/>
        <c:numFmt formatCode="General" sourceLinked="0"/>
        <c:majorTickMark val="none"/>
        <c:tickLblPos val="nextTo"/>
        <c:txPr>
          <a:bodyPr/>
          <a:lstStyle/>
          <a:p>
            <a:pPr>
              <a:defRPr sz="1000"/>
            </a:pPr>
            <a:endParaRPr lang="pl-PL"/>
          </a:p>
        </c:txPr>
        <c:crossAx val="114495488"/>
        <c:crosses val="autoZero"/>
        <c:crossBetween val="between"/>
        <c:majorUnit val="10"/>
      </c:valAx>
    </c:plotArea>
    <c:legend>
      <c:legendPos val="r"/>
      <c:legendEntry>
        <c:idx val="3"/>
        <c:delete val="1"/>
      </c:legendEntry>
      <c:layout>
        <c:manualLayout>
          <c:xMode val="edge"/>
          <c:yMode val="edge"/>
          <c:x val="0.86733174862576168"/>
          <c:y val="0.34665341720177756"/>
          <c:w val="0.12994850754365406"/>
          <c:h val="0.36799276576108586"/>
        </c:manualLayout>
      </c:layout>
      <c:txPr>
        <a:bodyPr/>
        <a:lstStyle/>
        <a:p>
          <a:pPr>
            <a:defRPr sz="1000"/>
          </a:pPr>
          <a:endParaRPr lang="pl-PL"/>
        </a:p>
      </c:txPr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417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5</cp:revision>
  <dcterms:created xsi:type="dcterms:W3CDTF">2020-08-15T11:52:00Z</dcterms:created>
  <dcterms:modified xsi:type="dcterms:W3CDTF">2020-08-15T19:29:00Z</dcterms:modified>
</cp:coreProperties>
</file>