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2827" w:rsidRDefault="00792827" w:rsidP="00792827">
      <w:pPr>
        <w:autoSpaceDE w:val="0"/>
        <w:autoSpaceDN w:val="0"/>
        <w:adjustRightInd w:val="0"/>
        <w:spacing w:after="0" w:line="360" w:lineRule="auto"/>
        <w:jc w:val="both"/>
        <w:rPr>
          <w:rFonts w:cs="Corbel-Bold"/>
          <w:b/>
          <w:bCs/>
          <w:color w:val="000000"/>
          <w:lang w:val="en-US"/>
        </w:rPr>
      </w:pPr>
      <w:r>
        <w:rPr>
          <w:rFonts w:cs="Corbel-Bold"/>
          <w:b/>
          <w:bCs/>
          <w:color w:val="000000"/>
          <w:lang w:val="en-US"/>
        </w:rPr>
        <w:t xml:space="preserve">Additional file </w:t>
      </w:r>
      <w:r w:rsidR="0016484A">
        <w:rPr>
          <w:rFonts w:cs="Corbel-Bold"/>
          <w:b/>
          <w:bCs/>
          <w:color w:val="000000"/>
          <w:lang w:val="en-US"/>
        </w:rPr>
        <w:t>1</w:t>
      </w:r>
      <w:r>
        <w:rPr>
          <w:rFonts w:cs="Corbel-Bold"/>
          <w:b/>
          <w:bCs/>
          <w:color w:val="000000"/>
          <w:lang w:val="en-US"/>
        </w:rPr>
        <w:t xml:space="preserve">: </w:t>
      </w:r>
      <w:r w:rsidRPr="00416840">
        <w:rPr>
          <w:rFonts w:cs="Corbel-Bold"/>
          <w:bCs/>
          <w:color w:val="000000"/>
          <w:lang w:val="en-US"/>
        </w:rPr>
        <w:t>Pyrosequencing procedures</w:t>
      </w:r>
    </w:p>
    <w:p w:rsidR="00792827" w:rsidRDefault="00792827" w:rsidP="00792827">
      <w:pPr>
        <w:autoSpaceDE w:val="0"/>
        <w:autoSpaceDN w:val="0"/>
        <w:adjustRightInd w:val="0"/>
        <w:spacing w:after="0" w:line="240" w:lineRule="auto"/>
        <w:jc w:val="both"/>
        <w:rPr>
          <w:rFonts w:cs="MinionPro-Regular"/>
          <w:color w:val="000000"/>
          <w:lang w:val="en-US"/>
        </w:rPr>
      </w:pPr>
    </w:p>
    <w:p w:rsidR="00792827" w:rsidRDefault="00792827" w:rsidP="00792827">
      <w:pPr>
        <w:autoSpaceDE w:val="0"/>
        <w:autoSpaceDN w:val="0"/>
        <w:adjustRightInd w:val="0"/>
        <w:spacing w:after="0" w:line="240" w:lineRule="auto"/>
        <w:jc w:val="both"/>
        <w:rPr>
          <w:rFonts w:cs="MinionPro-Regular"/>
          <w:color w:val="000000"/>
          <w:lang w:val="en-US"/>
        </w:rPr>
      </w:pPr>
    </w:p>
    <w:p w:rsidR="00792827" w:rsidRDefault="00792827" w:rsidP="00792827">
      <w:pPr>
        <w:spacing w:line="360" w:lineRule="auto"/>
        <w:jc w:val="both"/>
        <w:rPr>
          <w:lang w:val="en-US"/>
        </w:rPr>
      </w:pPr>
      <w:r w:rsidRPr="00CE1ECF">
        <w:rPr>
          <w:lang w:val="en-US"/>
        </w:rPr>
        <w:t>10 PCR products were</w:t>
      </w:r>
      <w:r>
        <w:rPr>
          <w:lang w:val="en-US"/>
        </w:rPr>
        <w:t xml:space="preserve"> </w:t>
      </w:r>
      <w:r w:rsidRPr="00CE1ECF">
        <w:rPr>
          <w:lang w:val="en-US"/>
        </w:rPr>
        <w:t>mixed with binding buffer (Qiagen, Hilden, Germany) and</w:t>
      </w:r>
      <w:r>
        <w:rPr>
          <w:lang w:val="en-US"/>
        </w:rPr>
        <w:t xml:space="preserve"> </w:t>
      </w:r>
      <w:r w:rsidRPr="00CE1ECF">
        <w:rPr>
          <w:lang w:val="en-US"/>
        </w:rPr>
        <w:t>sepharose coated with streptavidin (GE Healthcare,</w:t>
      </w:r>
      <w:r>
        <w:rPr>
          <w:lang w:val="en-US"/>
        </w:rPr>
        <w:t xml:space="preserve"> </w:t>
      </w:r>
      <w:r w:rsidRPr="00CE1ECF">
        <w:rPr>
          <w:lang w:val="en-US"/>
        </w:rPr>
        <w:t>Chicago, USA), shaked for 10 min and cleaned on vacuum</w:t>
      </w:r>
      <w:r>
        <w:rPr>
          <w:lang w:val="en-US"/>
        </w:rPr>
        <w:t xml:space="preserve"> </w:t>
      </w:r>
      <w:r w:rsidRPr="00CE1ECF">
        <w:rPr>
          <w:lang w:val="en-US"/>
        </w:rPr>
        <w:t>pump station in the following buffers: 70% EtOH, 0.2%</w:t>
      </w:r>
      <w:r>
        <w:rPr>
          <w:lang w:val="en-US"/>
        </w:rPr>
        <w:t xml:space="preserve"> </w:t>
      </w:r>
      <w:r w:rsidRPr="00CE1ECF">
        <w:rPr>
          <w:lang w:val="en-US"/>
        </w:rPr>
        <w:t>NaOH, and washing buffer (Qiagen, Hilden, Germany).</w:t>
      </w:r>
      <w:r>
        <w:rPr>
          <w:lang w:val="en-US"/>
        </w:rPr>
        <w:t xml:space="preserve"> </w:t>
      </w:r>
      <w:r w:rsidRPr="00CE1ECF">
        <w:rPr>
          <w:lang w:val="en-US"/>
        </w:rPr>
        <w:t>Single-strand amplicons were then mixed with annealing</w:t>
      </w:r>
      <w:r>
        <w:rPr>
          <w:lang w:val="en-US"/>
        </w:rPr>
        <w:t xml:space="preserve"> </w:t>
      </w:r>
      <w:r w:rsidRPr="00CE1ECF">
        <w:rPr>
          <w:lang w:val="en-US"/>
        </w:rPr>
        <w:t>buffer (Qiagen, Hilden, Germany), the sequencing primer</w:t>
      </w:r>
      <w:r>
        <w:rPr>
          <w:lang w:val="en-US"/>
        </w:rPr>
        <w:t xml:space="preserve"> </w:t>
      </w:r>
      <w:r w:rsidRPr="00CE1ECF">
        <w:rPr>
          <w:lang w:val="en-US"/>
        </w:rPr>
        <w:t>(0.4 μM), and then heated for 2 min at 85°C and cooled for</w:t>
      </w:r>
      <w:r>
        <w:rPr>
          <w:lang w:val="en-US"/>
        </w:rPr>
        <w:t xml:space="preserve"> </w:t>
      </w:r>
      <w:r w:rsidRPr="00CE1ECF">
        <w:rPr>
          <w:lang w:val="en-US"/>
        </w:rPr>
        <w:t xml:space="preserve">primer </w:t>
      </w:r>
      <w:r w:rsidRPr="00416840">
        <w:rPr>
          <w:b/>
          <w:lang w:val="en-US"/>
        </w:rPr>
        <w:t>hybridization</w:t>
      </w:r>
      <w:r w:rsidRPr="00CE1ECF">
        <w:rPr>
          <w:lang w:val="en-US"/>
        </w:rPr>
        <w:t>. Pyrosequencing was performed</w:t>
      </w:r>
      <w:r>
        <w:rPr>
          <w:lang w:val="en-US"/>
        </w:rPr>
        <w:t xml:space="preserve"> </w:t>
      </w:r>
      <w:r w:rsidRPr="00CE1ECF">
        <w:rPr>
          <w:lang w:val="en-US"/>
        </w:rPr>
        <w:t>using the PyroMark Q24 (Qiagen, Hilden, Germany) and</w:t>
      </w:r>
      <w:r>
        <w:rPr>
          <w:lang w:val="en-US"/>
        </w:rPr>
        <w:t xml:space="preserve"> </w:t>
      </w:r>
      <w:r w:rsidRPr="00CE1ECF">
        <w:rPr>
          <w:lang w:val="en-US"/>
        </w:rPr>
        <w:t>the results analyzed using the PyroMark Q24 (2.0.6 Qiagen</w:t>
      </w:r>
      <w:r>
        <w:rPr>
          <w:lang w:val="en-US"/>
        </w:rPr>
        <w:t xml:space="preserve"> </w:t>
      </w:r>
      <w:r w:rsidRPr="00CE1ECF">
        <w:rPr>
          <w:lang w:val="en-US"/>
        </w:rPr>
        <w:t>software), which automatically calculates the G:A “−”</w:t>
      </w:r>
      <w:r>
        <w:rPr>
          <w:lang w:val="en-US"/>
        </w:rPr>
        <w:t xml:space="preserve"> </w:t>
      </w:r>
      <w:r w:rsidRPr="00CE1ECF">
        <w:rPr>
          <w:lang w:val="en-US"/>
        </w:rPr>
        <w:t xml:space="preserve">strand (de facto mC:C) ratio at the CpG sites. </w:t>
      </w:r>
    </w:p>
    <w:p w:rsidR="00792827" w:rsidRPr="00405E85" w:rsidRDefault="00792827" w:rsidP="00792827">
      <w:pPr>
        <w:autoSpaceDE w:val="0"/>
        <w:autoSpaceDN w:val="0"/>
        <w:adjustRightInd w:val="0"/>
        <w:spacing w:after="0" w:line="360" w:lineRule="auto"/>
        <w:jc w:val="both"/>
        <w:rPr>
          <w:lang w:val="en-US"/>
        </w:rPr>
      </w:pPr>
      <w:r w:rsidRPr="00CE1ECF">
        <w:rPr>
          <w:lang w:val="en-US"/>
        </w:rPr>
        <w:t>Each</w:t>
      </w:r>
      <w:r>
        <w:rPr>
          <w:lang w:val="en-US"/>
        </w:rPr>
        <w:t xml:space="preserve"> </w:t>
      </w:r>
      <w:r w:rsidRPr="00CE1ECF">
        <w:rPr>
          <w:lang w:val="en-US"/>
        </w:rPr>
        <w:t>pyrosequencing run was accompanied by fully methylated</w:t>
      </w:r>
      <w:r>
        <w:rPr>
          <w:lang w:val="en-US"/>
        </w:rPr>
        <w:t xml:space="preserve"> </w:t>
      </w:r>
      <w:r w:rsidRPr="00CE1ECF">
        <w:rPr>
          <w:lang w:val="en-US"/>
        </w:rPr>
        <w:t xml:space="preserve">DNA sample </w:t>
      </w:r>
      <w:r w:rsidRPr="00784F53">
        <w:rPr>
          <w:rFonts w:cs="MinionPro-Regular"/>
          <w:color w:val="000000"/>
          <w:lang w:val="en-US"/>
        </w:rPr>
        <w:t>(MET) (Cells-to-CpG™ Methylated &amp; Unmethylated gDNA Control Kit, Life Technology) and unmethylated (UMET) control</w:t>
      </w:r>
      <w:r>
        <w:rPr>
          <w:lang w:val="en-US"/>
        </w:rPr>
        <w:t xml:space="preserve">. The Unmethylated control was prepared </w:t>
      </w:r>
      <w:r w:rsidRPr="00784F53">
        <w:rPr>
          <w:lang w:val="en-US"/>
        </w:rPr>
        <w:t>using the REPLI-g UltraFast Mini Kit (Sigma-Aldrich,</w:t>
      </w:r>
      <w:r>
        <w:rPr>
          <w:lang w:val="en-US"/>
        </w:rPr>
        <w:t xml:space="preserve"> </w:t>
      </w:r>
      <w:r w:rsidRPr="00784F53">
        <w:rPr>
          <w:lang w:val="en-US"/>
        </w:rPr>
        <w:t>Qiagen) from DNA isolated from B-</w:t>
      </w:r>
      <w:r>
        <w:rPr>
          <w:lang w:val="en-US"/>
        </w:rPr>
        <w:t xml:space="preserve">lympocyte </w:t>
      </w:r>
      <w:r w:rsidRPr="00784F53">
        <w:rPr>
          <w:lang w:val="en-US"/>
        </w:rPr>
        <w:t xml:space="preserve">cell lines according to manufacturer procedure. </w:t>
      </w:r>
      <w:r w:rsidRPr="00CE1ECF">
        <w:rPr>
          <w:lang w:val="en-US"/>
        </w:rPr>
        <w:t>The results for each</w:t>
      </w:r>
      <w:r>
        <w:rPr>
          <w:lang w:val="en-US"/>
        </w:rPr>
        <w:t xml:space="preserve"> </w:t>
      </w:r>
      <w:r w:rsidRPr="00CE1ECF">
        <w:rPr>
          <w:lang w:val="en-US"/>
        </w:rPr>
        <w:t>analyzed sample were visualized as value bars of DNA</w:t>
      </w:r>
      <w:r>
        <w:rPr>
          <w:lang w:val="en-US"/>
        </w:rPr>
        <w:t xml:space="preserve"> </w:t>
      </w:r>
      <w:r w:rsidRPr="00CE1ECF">
        <w:rPr>
          <w:lang w:val="en-US"/>
        </w:rPr>
        <w:t>methylation level in each CG repeat separately.</w:t>
      </w:r>
      <w:r>
        <w:rPr>
          <w:lang w:val="en-US"/>
        </w:rPr>
        <w:t xml:space="preserve"> </w:t>
      </w:r>
    </w:p>
    <w:p w:rsidR="00792827" w:rsidRDefault="00792827" w:rsidP="00792827">
      <w:pPr>
        <w:spacing w:line="360" w:lineRule="auto"/>
        <w:jc w:val="both"/>
        <w:rPr>
          <w:rFonts w:ascii="Times New Roman" w:hAnsi="Times New Roman" w:cs="Times New Roman"/>
          <w:b/>
          <w:lang w:val="en-US"/>
        </w:rPr>
      </w:pPr>
      <w:r w:rsidRPr="00F048D6">
        <w:rPr>
          <w:lang w:val="en-US"/>
        </w:rPr>
        <w:t>PyroAssays 4 and 7 were excluded from further studies</w:t>
      </w:r>
      <w:r>
        <w:rPr>
          <w:lang w:val="en-US"/>
        </w:rPr>
        <w:t>,</w:t>
      </w:r>
      <w:r w:rsidRPr="00F048D6">
        <w:rPr>
          <w:lang w:val="en-US"/>
        </w:rPr>
        <w:t xml:space="preserve"> as a consequence of technical obstacles during PyroAssay optimalization process</w:t>
      </w:r>
      <w:r>
        <w:rPr>
          <w:lang w:val="en-US"/>
        </w:rPr>
        <w:t>: in</w:t>
      </w:r>
      <w:r w:rsidRPr="00F048D6">
        <w:rPr>
          <w:lang w:val="en-US"/>
        </w:rPr>
        <w:t xml:space="preserve"> PyroAssay 4, no reproducible results were obtained in PCR (lack of MET and/or UMET controls amplification) </w:t>
      </w:r>
      <w:r>
        <w:rPr>
          <w:lang w:val="en-US"/>
        </w:rPr>
        <w:t>and in</w:t>
      </w:r>
      <w:r w:rsidRPr="00F048D6">
        <w:rPr>
          <w:lang w:val="en-US"/>
        </w:rPr>
        <w:t xml:space="preserve"> PyroAssay 7, pyrosequencing reaction resulted in poor quality data (wide, low peaks, additional nucleotides visible in pyrogram). In PyroAssay 3, reliable measurement of </w:t>
      </w:r>
      <w:r>
        <w:rPr>
          <w:lang w:val="en-US"/>
        </w:rPr>
        <w:t xml:space="preserve">the </w:t>
      </w:r>
      <w:r w:rsidRPr="00F048D6">
        <w:rPr>
          <w:lang w:val="en-US"/>
        </w:rPr>
        <w:t xml:space="preserve">methylation level </w:t>
      </w:r>
      <w:r>
        <w:rPr>
          <w:lang w:val="en-US"/>
        </w:rPr>
        <w:t>of cg00862290</w:t>
      </w:r>
      <w:r w:rsidRPr="00F048D6">
        <w:rPr>
          <w:lang w:val="en-US"/>
        </w:rPr>
        <w:t xml:space="preserve"> was impossible due to the presence of a T-stretch located directly before the studied </w:t>
      </w:r>
      <w:r>
        <w:rPr>
          <w:lang w:val="en-US"/>
        </w:rPr>
        <w:t>CpG; as a result, only two neighboring CpG sites located in the close vi</w:t>
      </w:r>
      <w:r w:rsidR="00EA3974">
        <w:rPr>
          <w:lang w:val="en-US"/>
        </w:rPr>
        <w:t>cinity to the candidate pop-</w:t>
      </w:r>
      <w:r>
        <w:rPr>
          <w:lang w:val="en-US"/>
        </w:rPr>
        <w:t xml:space="preserve"> CpG</w:t>
      </w:r>
      <w:r w:rsidRPr="00F048D6">
        <w:rPr>
          <w:lang w:val="en-US"/>
        </w:rPr>
        <w:t xml:space="preserve"> were examined.</w:t>
      </w:r>
      <w:r>
        <w:rPr>
          <w:lang w:val="en-US"/>
        </w:rPr>
        <w:t xml:space="preserve"> </w:t>
      </w:r>
    </w:p>
    <w:p w:rsidR="00792827" w:rsidRDefault="00792827" w:rsidP="00792827">
      <w:pPr>
        <w:rPr>
          <w:rFonts w:ascii="Times New Roman" w:hAnsi="Times New Roman" w:cs="Times New Roman"/>
          <w:b/>
          <w:lang w:val="en-US"/>
        </w:rPr>
      </w:pPr>
    </w:p>
    <w:p w:rsidR="005E6F07" w:rsidRPr="00792827" w:rsidRDefault="00EA3974">
      <w:pPr>
        <w:rPr>
          <w:lang w:val="en-US"/>
        </w:rPr>
      </w:pPr>
    </w:p>
    <w:sectPr w:rsidR="005E6F07" w:rsidRPr="00792827" w:rsidSect="00594D5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rbel-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MinionPro-Regular">
    <w:panose1 w:val="00000000000000000000"/>
    <w:charset w:val="EE"/>
    <w:family w:val="roman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efaultTabStop w:val="708"/>
  <w:hyphenationZone w:val="425"/>
  <w:characterSpacingControl w:val="doNotCompress"/>
  <w:compat/>
  <w:rsids>
    <w:rsidRoot w:val="00792827"/>
    <w:rsid w:val="000E4DE5"/>
    <w:rsid w:val="0016484A"/>
    <w:rsid w:val="00181930"/>
    <w:rsid w:val="00371842"/>
    <w:rsid w:val="003F5FEB"/>
    <w:rsid w:val="00416840"/>
    <w:rsid w:val="00594D53"/>
    <w:rsid w:val="006F561E"/>
    <w:rsid w:val="0078055F"/>
    <w:rsid w:val="00792827"/>
    <w:rsid w:val="007B1B60"/>
    <w:rsid w:val="008643B0"/>
    <w:rsid w:val="00DC19E5"/>
    <w:rsid w:val="00EA3974"/>
    <w:rsid w:val="00F415E0"/>
    <w:rsid w:val="00FE11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9282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275</Words>
  <Characters>1654</Characters>
  <Application>Microsoft Office Word</Application>
  <DocSecurity>0</DocSecurity>
  <Lines>13</Lines>
  <Paragraphs>3</Paragraphs>
  <ScaleCrop>false</ScaleCrop>
  <Company/>
  <LinksUpToDate>false</LinksUpToDate>
  <CharactersWithSpaces>1926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PATI</dc:creator>
  <cp:lastModifiedBy>PATI</cp:lastModifiedBy>
  <cp:revision>4</cp:revision>
  <dcterms:created xsi:type="dcterms:W3CDTF">2020-08-15T11:52:00Z</dcterms:created>
  <dcterms:modified xsi:type="dcterms:W3CDTF">2020-08-16T09:16:00Z</dcterms:modified>
</cp:coreProperties>
</file>