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0E8" w:rsidRPr="00BC16B1" w:rsidRDefault="002550E8" w:rsidP="002550E8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16B1">
        <w:rPr>
          <w:rFonts w:ascii="Times New Roman" w:eastAsia="Calibri" w:hAnsi="Times New Roman" w:cs="Times New Roman"/>
          <w:b/>
          <w:sz w:val="24"/>
          <w:szCs w:val="24"/>
        </w:rPr>
        <w:t xml:space="preserve">Fabrication of </w:t>
      </w:r>
      <w:proofErr w:type="spellStart"/>
      <w:r w:rsidRPr="00BC16B1">
        <w:rPr>
          <w:rFonts w:ascii="Times New Roman" w:eastAsia="Calibri" w:hAnsi="Times New Roman" w:cs="Times New Roman"/>
          <w:b/>
          <w:sz w:val="24"/>
          <w:szCs w:val="24"/>
        </w:rPr>
        <w:t>graphene</w:t>
      </w:r>
      <w:proofErr w:type="spellEnd"/>
      <w:r w:rsidRPr="00BC16B1">
        <w:rPr>
          <w:rFonts w:ascii="Times New Roman" w:eastAsia="Calibri" w:hAnsi="Times New Roman" w:cs="Times New Roman"/>
          <w:b/>
          <w:sz w:val="24"/>
          <w:szCs w:val="24"/>
        </w:rPr>
        <w:t xml:space="preserve"> and </w:t>
      </w:r>
      <w:proofErr w:type="spellStart"/>
      <w:r w:rsidRPr="00BC16B1">
        <w:rPr>
          <w:rFonts w:ascii="Times New Roman" w:eastAsia="Calibri" w:hAnsi="Times New Roman" w:cs="Times New Roman"/>
          <w:b/>
          <w:sz w:val="24"/>
          <w:szCs w:val="24"/>
        </w:rPr>
        <w:t>graphene</w:t>
      </w:r>
      <w:proofErr w:type="spellEnd"/>
      <w:r w:rsidRPr="00BC16B1">
        <w:rPr>
          <w:rFonts w:ascii="Times New Roman" w:eastAsia="Calibri" w:hAnsi="Times New Roman" w:cs="Times New Roman"/>
          <w:b/>
          <w:sz w:val="24"/>
          <w:szCs w:val="24"/>
        </w:rPr>
        <w:t xml:space="preserve"> derivatives based thermoplastic </w:t>
      </w:r>
      <w:proofErr w:type="spellStart"/>
      <w:r w:rsidRPr="00BC16B1">
        <w:rPr>
          <w:rFonts w:ascii="Times New Roman" w:eastAsia="Calibri" w:hAnsi="Times New Roman" w:cs="Times New Roman"/>
          <w:b/>
          <w:sz w:val="24"/>
          <w:szCs w:val="24"/>
        </w:rPr>
        <w:t>nanocomposite</w:t>
      </w:r>
      <w:proofErr w:type="spellEnd"/>
      <w:r w:rsidRPr="00BC16B1">
        <w:rPr>
          <w:rFonts w:ascii="Times New Roman" w:eastAsia="Calibri" w:hAnsi="Times New Roman" w:cs="Times New Roman"/>
          <w:b/>
          <w:sz w:val="24"/>
          <w:szCs w:val="24"/>
        </w:rPr>
        <w:t xml:space="preserve"> films for </w:t>
      </w:r>
      <w:r w:rsidR="00F64204" w:rsidRPr="00BC16B1">
        <w:rPr>
          <w:rFonts w:ascii="Times New Roman" w:eastAsia="Calibri" w:hAnsi="Times New Roman" w:cs="Times New Roman"/>
          <w:b/>
          <w:sz w:val="24"/>
          <w:szCs w:val="24"/>
        </w:rPr>
        <w:t xml:space="preserve">high barrier antibacterial </w:t>
      </w:r>
      <w:r w:rsidRPr="00BC16B1">
        <w:rPr>
          <w:rFonts w:ascii="Times New Roman" w:eastAsia="Calibri" w:hAnsi="Times New Roman" w:cs="Times New Roman"/>
          <w:b/>
          <w:sz w:val="24"/>
          <w:szCs w:val="24"/>
        </w:rPr>
        <w:t>packaging, EMI shielding and thermal management applications</w:t>
      </w:r>
    </w:p>
    <w:p w:rsidR="00C12C52" w:rsidRPr="00BC16B1" w:rsidRDefault="00C12C52" w:rsidP="00C12C52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  <w:vertAlign w:val="superscript"/>
        </w:rPr>
      </w:pP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Suman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Kumar Ghosh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Krishnendu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Nath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Soumya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Sarathi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Ganguly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2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Tushar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Kanti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Das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3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Sangit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Paul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w:proofErr w:type="spellStart"/>
      <w:r w:rsidRPr="00BC16B1">
        <w:rPr>
          <w:rFonts w:ascii="Times New Roman" w:eastAsia="Calibri" w:hAnsi="Times New Roman" w:cs="Times New Roman"/>
          <w:sz w:val="20"/>
          <w:szCs w:val="20"/>
        </w:rPr>
        <w:t>Trisita</w:t>
      </w:r>
      <w:proofErr w:type="spellEnd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Ghosh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="00BC16B1"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w:proofErr w:type="spellStart"/>
      <w:r w:rsidR="00BC16B1" w:rsidRPr="00BC16B1">
        <w:rPr>
          <w:rFonts w:ascii="Times New Roman" w:eastAsia="Calibri" w:hAnsi="Times New Roman" w:cs="Times New Roman"/>
          <w:sz w:val="20"/>
          <w:szCs w:val="20"/>
        </w:rPr>
        <w:t>Amit</w:t>
      </w:r>
      <w:proofErr w:type="spellEnd"/>
      <w:r w:rsidR="00BC16B1" w:rsidRPr="00BC16B1">
        <w:rPr>
          <w:rFonts w:ascii="Times New Roman" w:eastAsia="Calibri" w:hAnsi="Times New Roman" w:cs="Times New Roman"/>
          <w:sz w:val="20"/>
          <w:szCs w:val="20"/>
        </w:rPr>
        <w:t xml:space="preserve"> Kumar Da</w:t>
      </w:r>
      <w:r w:rsid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2</w:t>
      </w:r>
      <w:r w:rsidR="00BC16B1" w:rsidRPr="00BC16B1">
        <w:rPr>
          <w:rFonts w:ascii="Times New Roman" w:eastAsia="Calibri" w:hAnsi="Times New Roman" w:cs="Times New Roman"/>
          <w:sz w:val="20"/>
          <w:szCs w:val="20"/>
        </w:rPr>
        <w:t>, Narayan Ch. Das</w:t>
      </w:r>
      <w:r w:rsidR="00BC16B1"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*</w:t>
      </w:r>
    </w:p>
    <w:p w:rsidR="00C12C52" w:rsidRPr="00EF233A" w:rsidRDefault="00BC16B1" w:rsidP="00C12C52">
      <w:pPr>
        <w:spacing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EF233A">
        <w:rPr>
          <w:rFonts w:ascii="Times New Roman" w:eastAsia="Calibri" w:hAnsi="Times New Roman" w:cs="Times New Roman"/>
          <w:i/>
          <w:sz w:val="20"/>
          <w:szCs w:val="20"/>
          <w:vertAlign w:val="superscript"/>
        </w:rPr>
        <w:t>1</w:t>
      </w:r>
      <w:r w:rsidR="00C12C52" w:rsidRPr="00EF233A">
        <w:rPr>
          <w:rFonts w:ascii="Times New Roman" w:eastAsia="Calibri" w:hAnsi="Times New Roman" w:cs="Times New Roman"/>
          <w:i/>
          <w:sz w:val="20"/>
          <w:szCs w:val="20"/>
          <w:vertAlign w:val="superscript"/>
        </w:rPr>
        <w:t xml:space="preserve"> </w:t>
      </w:r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 xml:space="preserve">Rubber Technology Centre, Indian Institute of Technology, </w:t>
      </w:r>
      <w:proofErr w:type="spellStart"/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>Kharagpur</w:t>
      </w:r>
      <w:proofErr w:type="spellEnd"/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>, 721302, India</w:t>
      </w:r>
    </w:p>
    <w:p w:rsidR="00C12C52" w:rsidRPr="00EF233A" w:rsidRDefault="00BC16B1" w:rsidP="00C12C52">
      <w:pPr>
        <w:spacing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EF233A">
        <w:rPr>
          <w:rFonts w:ascii="Times New Roman" w:eastAsia="Calibri" w:hAnsi="Times New Roman" w:cs="Times New Roman"/>
          <w:i/>
          <w:sz w:val="20"/>
          <w:szCs w:val="20"/>
          <w:vertAlign w:val="superscript"/>
        </w:rPr>
        <w:t>2</w:t>
      </w:r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 xml:space="preserve">Department of Biotechnology, Indian Institute of Technology, </w:t>
      </w:r>
      <w:proofErr w:type="spellStart"/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>Kharagpur</w:t>
      </w:r>
      <w:proofErr w:type="spellEnd"/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>, 721302, India</w:t>
      </w:r>
    </w:p>
    <w:p w:rsidR="00C12C52" w:rsidRPr="00EF233A" w:rsidRDefault="00BC16B1" w:rsidP="00C12C52">
      <w:pPr>
        <w:spacing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EF233A">
        <w:rPr>
          <w:rFonts w:ascii="Times New Roman" w:eastAsia="Calibri" w:hAnsi="Times New Roman" w:cs="Times New Roman"/>
          <w:i/>
          <w:sz w:val="20"/>
          <w:szCs w:val="20"/>
          <w:vertAlign w:val="superscript"/>
        </w:rPr>
        <w:t>3</w:t>
      </w:r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 xml:space="preserve">Institute of Physics – Center for Science and Education, Silesian University of Technology, </w:t>
      </w:r>
      <w:proofErr w:type="spellStart"/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>Krasińskiego</w:t>
      </w:r>
      <w:proofErr w:type="spellEnd"/>
      <w:r w:rsidR="00C12C52" w:rsidRPr="00EF233A">
        <w:rPr>
          <w:rFonts w:ascii="Times New Roman" w:eastAsia="Calibri" w:hAnsi="Times New Roman" w:cs="Times New Roman"/>
          <w:i/>
          <w:sz w:val="20"/>
          <w:szCs w:val="20"/>
        </w:rPr>
        <w:t xml:space="preserve"> 8, 40-019 Katowice, Poland</w:t>
      </w:r>
    </w:p>
    <w:p w:rsidR="00BC16B1" w:rsidRPr="00BC16B1" w:rsidRDefault="00BC16B1" w:rsidP="00BC16B1">
      <w:pPr>
        <w:spacing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C16B1">
        <w:rPr>
          <w:rFonts w:ascii="Times New Roman" w:eastAsia="Calibri" w:hAnsi="Times New Roman" w:cs="Times New Roman"/>
          <w:sz w:val="20"/>
          <w:szCs w:val="20"/>
          <w:vertAlign w:val="superscript"/>
        </w:rPr>
        <w:t>*</w:t>
      </w:r>
      <w:r w:rsidRPr="00BC16B1">
        <w:rPr>
          <w:rFonts w:ascii="Times New Roman" w:eastAsia="Calibri" w:hAnsi="Times New Roman" w:cs="Times New Roman"/>
          <w:sz w:val="20"/>
          <w:szCs w:val="20"/>
        </w:rPr>
        <w:t>Corre</w:t>
      </w:r>
      <w:r w:rsidR="00CC227E">
        <w:rPr>
          <w:rFonts w:ascii="Times New Roman" w:eastAsia="Calibri" w:hAnsi="Times New Roman" w:cs="Times New Roman"/>
          <w:sz w:val="20"/>
          <w:szCs w:val="20"/>
        </w:rPr>
        <w:t>sponding Author: Narayan Ch.</w:t>
      </w:r>
      <w:bookmarkStart w:id="0" w:name="_GoBack"/>
      <w:bookmarkEnd w:id="0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Das </w:t>
      </w:r>
    </w:p>
    <w:p w:rsidR="00F74708" w:rsidRPr="00BC16B1" w:rsidRDefault="002550E8" w:rsidP="002550E8">
      <w:pPr>
        <w:jc w:val="both"/>
        <w:rPr>
          <w:rFonts w:ascii="Times New Roman" w:hAnsi="Times New Roman" w:cs="Times New Roman"/>
          <w:sz w:val="20"/>
          <w:szCs w:val="20"/>
        </w:rPr>
      </w:pPr>
      <w:r w:rsidRPr="00BC16B1">
        <w:rPr>
          <w:rFonts w:ascii="Times New Roman" w:hAnsi="Times New Roman" w:cs="Times New Roman"/>
          <w:sz w:val="20"/>
          <w:szCs w:val="20"/>
        </w:rPr>
        <w:t>Email address: ncdas@rtc.iitkgp.ac.in</w:t>
      </w: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F74708" w:rsidRDefault="00F74708">
      <w:pPr>
        <w:rPr>
          <w:rFonts w:ascii="Times New Roman" w:hAnsi="Times New Roman" w:cs="Times New Roman"/>
          <w:b/>
          <w:sz w:val="24"/>
          <w:szCs w:val="24"/>
        </w:rPr>
      </w:pPr>
    </w:p>
    <w:p w:rsidR="002550E8" w:rsidRDefault="002550E8">
      <w:pPr>
        <w:rPr>
          <w:rFonts w:ascii="Times New Roman" w:hAnsi="Times New Roman" w:cs="Times New Roman"/>
          <w:b/>
          <w:sz w:val="24"/>
          <w:szCs w:val="24"/>
        </w:rPr>
      </w:pPr>
    </w:p>
    <w:p w:rsidR="002550E8" w:rsidRDefault="002550E8">
      <w:pPr>
        <w:rPr>
          <w:rFonts w:ascii="Times New Roman" w:hAnsi="Times New Roman" w:cs="Times New Roman"/>
          <w:b/>
          <w:sz w:val="24"/>
          <w:szCs w:val="24"/>
        </w:rPr>
      </w:pPr>
    </w:p>
    <w:p w:rsidR="00BC16B1" w:rsidRDefault="00BC16B1">
      <w:pPr>
        <w:rPr>
          <w:rFonts w:ascii="Times New Roman" w:hAnsi="Times New Roman" w:cs="Times New Roman"/>
          <w:b/>
          <w:sz w:val="24"/>
          <w:szCs w:val="24"/>
        </w:rPr>
      </w:pPr>
    </w:p>
    <w:p w:rsidR="00FB4CAE" w:rsidRPr="00AB34B4" w:rsidRDefault="00F74708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Section 1.</w:t>
      </w:r>
      <w:proofErr w:type="gramEnd"/>
      <w:r w:rsidR="00AB34B4">
        <w:rPr>
          <w:rFonts w:ascii="Times New Roman" w:hAnsi="Times New Roman" w:cs="Times New Roman"/>
          <w:b/>
          <w:sz w:val="24"/>
          <w:szCs w:val="24"/>
        </w:rPr>
        <w:t xml:space="preserve"> Thermal stability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1A9">
        <w:rPr>
          <w:rFonts w:ascii="Times New Roman" w:hAnsi="Times New Roman" w:cs="Times New Roman"/>
          <w:b/>
          <w:sz w:val="24"/>
          <w:szCs w:val="24"/>
        </w:rPr>
        <w:t xml:space="preserve">and Zeta potential </w:t>
      </w:r>
      <w:r>
        <w:rPr>
          <w:rFonts w:ascii="Times New Roman" w:hAnsi="Times New Roman" w:cs="Times New Roman"/>
          <w:b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graphene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nanomaterials</w:t>
      </w:r>
      <w:proofErr w:type="spellEnd"/>
    </w:p>
    <w:p w:rsidR="00AB34B4" w:rsidRDefault="00AB34B4"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615FF11" wp14:editId="14E6F0E4">
            <wp:extent cx="3905250" cy="2933700"/>
            <wp:effectExtent l="0" t="0" r="0" b="0"/>
            <wp:docPr id="1" name="Picture 1" descr="G:\EMI SE WORKS\LLDPE-GO, rGO G-Ag\Characterization\FIGURE TIFF FILES\TGA filler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EMI SE WORKS\LLDPE-GO, rGO G-Ag\Characterization\FIGURE TIFF FILES\TGA fillers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565" w:rsidRPr="00BC16B1" w:rsidRDefault="00BC16B1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BC16B1">
        <w:rPr>
          <w:rFonts w:ascii="Times New Roman" w:hAnsi="Times New Roman" w:cs="Times New Roman"/>
          <w:b/>
          <w:sz w:val="20"/>
          <w:szCs w:val="20"/>
        </w:rPr>
        <w:t>Fig.</w:t>
      </w:r>
      <w:proofErr w:type="gramEnd"/>
      <w:r w:rsidR="000E7565" w:rsidRPr="00BC16B1">
        <w:rPr>
          <w:rFonts w:ascii="Times New Roman" w:hAnsi="Times New Roman" w:cs="Times New Roman"/>
          <w:b/>
          <w:sz w:val="20"/>
          <w:szCs w:val="20"/>
        </w:rPr>
        <w:t xml:space="preserve"> S1</w:t>
      </w:r>
      <w:r w:rsidR="007302FD" w:rsidRPr="00BC16B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302FD" w:rsidRPr="00BC16B1">
        <w:rPr>
          <w:rFonts w:ascii="Times New Roman" w:hAnsi="Times New Roman" w:cs="Times New Roman"/>
          <w:sz w:val="20"/>
          <w:szCs w:val="20"/>
        </w:rPr>
        <w:t xml:space="preserve">TGA plots of </w:t>
      </w:r>
      <w:proofErr w:type="spellStart"/>
      <w:r w:rsidR="007302FD" w:rsidRPr="00BC16B1">
        <w:rPr>
          <w:rFonts w:ascii="Times New Roman" w:hAnsi="Times New Roman" w:cs="Times New Roman"/>
          <w:sz w:val="20"/>
          <w:szCs w:val="20"/>
        </w:rPr>
        <w:t>graphene</w:t>
      </w:r>
      <w:proofErr w:type="spellEnd"/>
      <w:r w:rsidR="007302FD" w:rsidRPr="00BC16B1">
        <w:rPr>
          <w:rFonts w:ascii="Times New Roman" w:hAnsi="Times New Roman" w:cs="Times New Roman"/>
          <w:sz w:val="20"/>
          <w:szCs w:val="20"/>
        </w:rPr>
        <w:t xml:space="preserve"> nanostructured materials</w:t>
      </w:r>
    </w:p>
    <w:p w:rsidR="006B01A9" w:rsidRPr="00BC16B1" w:rsidRDefault="006B01A9">
      <w:pPr>
        <w:rPr>
          <w:rFonts w:ascii="Times New Roman" w:hAnsi="Times New Roman" w:cs="Times New Roman"/>
          <w:sz w:val="20"/>
          <w:szCs w:val="20"/>
        </w:rPr>
      </w:pPr>
      <w:r w:rsidRPr="00BC16B1">
        <w:rPr>
          <w:rFonts w:ascii="Times New Roman" w:hAnsi="Times New Roman" w:cs="Times New Roman"/>
          <w:b/>
          <w:sz w:val="20"/>
          <w:szCs w:val="20"/>
        </w:rPr>
        <w:t xml:space="preserve">Table S1. </w:t>
      </w:r>
      <w:r w:rsidRPr="00BC16B1">
        <w:rPr>
          <w:rFonts w:ascii="Times New Roman" w:hAnsi="Times New Roman" w:cs="Times New Roman"/>
          <w:sz w:val="20"/>
          <w:szCs w:val="20"/>
        </w:rPr>
        <w:t xml:space="preserve">Zeta potential of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graphene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oxide (GO) and its derivatives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2430"/>
      </w:tblGrid>
      <w:tr w:rsidR="00365692" w:rsidTr="00365692">
        <w:tc>
          <w:tcPr>
            <w:tcW w:w="2718" w:type="dxa"/>
          </w:tcPr>
          <w:p w:rsidR="00365692" w:rsidRPr="00BC16B1" w:rsidRDefault="00365692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Graphene</w:t>
            </w:r>
            <w:proofErr w:type="spellEnd"/>
            <w:r w:rsidRPr="00BC16B1">
              <w:rPr>
                <w:rFonts w:ascii="Times New Roman" w:hAnsi="Times New Roman" w:cs="Times New Roman"/>
                <w:sz w:val="20"/>
                <w:szCs w:val="20"/>
              </w:rPr>
              <w:t xml:space="preserve"> nanomaterial</w:t>
            </w:r>
          </w:p>
        </w:tc>
        <w:tc>
          <w:tcPr>
            <w:tcW w:w="2430" w:type="dxa"/>
          </w:tcPr>
          <w:p w:rsidR="00365692" w:rsidRPr="00BC16B1" w:rsidRDefault="00365692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Zeta potential value</w:t>
            </w:r>
          </w:p>
          <w:p w:rsidR="00365692" w:rsidRPr="00BC16B1" w:rsidRDefault="00365692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(mV)</w:t>
            </w:r>
          </w:p>
        </w:tc>
      </w:tr>
      <w:tr w:rsidR="00365692" w:rsidTr="00365692">
        <w:tc>
          <w:tcPr>
            <w:tcW w:w="2718" w:type="dxa"/>
          </w:tcPr>
          <w:p w:rsidR="00365692" w:rsidRPr="00BC16B1" w:rsidRDefault="00365692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</w:p>
        </w:tc>
        <w:tc>
          <w:tcPr>
            <w:tcW w:w="2430" w:type="dxa"/>
          </w:tcPr>
          <w:p w:rsidR="00365692" w:rsidRPr="00BC16B1" w:rsidRDefault="00FD6C37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-31.5</w:t>
            </w:r>
          </w:p>
        </w:tc>
      </w:tr>
      <w:tr w:rsidR="00365692" w:rsidTr="00365692">
        <w:tc>
          <w:tcPr>
            <w:tcW w:w="2718" w:type="dxa"/>
          </w:tcPr>
          <w:p w:rsidR="00365692" w:rsidRPr="00BC16B1" w:rsidRDefault="00365692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G-Ag</w:t>
            </w:r>
          </w:p>
        </w:tc>
        <w:tc>
          <w:tcPr>
            <w:tcW w:w="2430" w:type="dxa"/>
          </w:tcPr>
          <w:p w:rsidR="00365692" w:rsidRPr="00BC16B1" w:rsidRDefault="00FD6C37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-37.4</w:t>
            </w:r>
          </w:p>
        </w:tc>
      </w:tr>
      <w:tr w:rsidR="00365692" w:rsidTr="00365692">
        <w:tc>
          <w:tcPr>
            <w:tcW w:w="2718" w:type="dxa"/>
          </w:tcPr>
          <w:p w:rsidR="00365692" w:rsidRPr="00BC16B1" w:rsidRDefault="00365692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RGO</w:t>
            </w:r>
          </w:p>
        </w:tc>
        <w:tc>
          <w:tcPr>
            <w:tcW w:w="2430" w:type="dxa"/>
          </w:tcPr>
          <w:p w:rsidR="00365692" w:rsidRPr="00BC16B1" w:rsidRDefault="00FD6C37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-42.2</w:t>
            </w:r>
          </w:p>
        </w:tc>
      </w:tr>
      <w:tr w:rsidR="00365692" w:rsidTr="00365692">
        <w:tc>
          <w:tcPr>
            <w:tcW w:w="2718" w:type="dxa"/>
          </w:tcPr>
          <w:p w:rsidR="00365692" w:rsidRPr="00BC16B1" w:rsidRDefault="00365692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GNP</w:t>
            </w:r>
          </w:p>
        </w:tc>
        <w:tc>
          <w:tcPr>
            <w:tcW w:w="2430" w:type="dxa"/>
          </w:tcPr>
          <w:p w:rsidR="00365692" w:rsidRPr="00BC16B1" w:rsidRDefault="00FD6C37" w:rsidP="0036569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16B1">
              <w:rPr>
                <w:rFonts w:ascii="Times New Roman" w:hAnsi="Times New Roman" w:cs="Times New Roman"/>
                <w:sz w:val="20"/>
                <w:szCs w:val="20"/>
              </w:rPr>
              <w:t>-47.9</w:t>
            </w:r>
          </w:p>
        </w:tc>
      </w:tr>
    </w:tbl>
    <w:p w:rsidR="006B01A9" w:rsidRPr="000E7565" w:rsidRDefault="006B01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E7565" w:rsidRPr="000E7565" w:rsidRDefault="000E7565" w:rsidP="000E7565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0E7565">
        <w:rPr>
          <w:rFonts w:ascii="Times New Roman" w:hAnsi="Times New Roman" w:cs="Times New Roman"/>
          <w:b/>
          <w:sz w:val="24"/>
          <w:szCs w:val="24"/>
        </w:rPr>
        <w:t>Section 2.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E7565">
        <w:rPr>
          <w:rFonts w:ascii="Times New Roman" w:hAnsi="Times New Roman" w:cs="Times New Roman"/>
          <w:b/>
          <w:sz w:val="24"/>
          <w:szCs w:val="24"/>
        </w:rPr>
        <w:t xml:space="preserve">Micromechanical assessment of </w:t>
      </w:r>
      <w:r w:rsidR="00831E15">
        <w:rPr>
          <w:rFonts w:ascii="Times New Roman" w:hAnsi="Times New Roman" w:cs="Times New Roman"/>
          <w:b/>
          <w:sz w:val="24"/>
          <w:szCs w:val="24"/>
        </w:rPr>
        <w:t>thermoplastic</w:t>
      </w:r>
      <w:r w:rsidRPr="000E756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31E15">
        <w:rPr>
          <w:rFonts w:ascii="Times New Roman" w:hAnsi="Times New Roman" w:cs="Times New Roman"/>
          <w:b/>
          <w:sz w:val="24"/>
          <w:szCs w:val="24"/>
        </w:rPr>
        <w:t>nano</w:t>
      </w:r>
      <w:r w:rsidRPr="000E7565">
        <w:rPr>
          <w:rFonts w:ascii="Times New Roman" w:hAnsi="Times New Roman" w:cs="Times New Roman"/>
          <w:b/>
          <w:sz w:val="24"/>
          <w:szCs w:val="24"/>
        </w:rPr>
        <w:t>composites</w:t>
      </w:r>
      <w:proofErr w:type="spellEnd"/>
      <w:r w:rsidRPr="000E7565">
        <w:rPr>
          <w:rFonts w:ascii="Times New Roman" w:hAnsi="Times New Roman" w:cs="Times New Roman"/>
          <w:b/>
          <w:sz w:val="24"/>
          <w:szCs w:val="24"/>
        </w:rPr>
        <w:t xml:space="preserve"> by </w:t>
      </w:r>
      <w:proofErr w:type="spellStart"/>
      <w:r w:rsidRPr="000E7565">
        <w:rPr>
          <w:rFonts w:ascii="Times New Roman" w:hAnsi="Times New Roman" w:cs="Times New Roman"/>
          <w:b/>
          <w:sz w:val="24"/>
          <w:szCs w:val="24"/>
        </w:rPr>
        <w:t>nanoindentation</w:t>
      </w:r>
      <w:proofErr w:type="spellEnd"/>
    </w:p>
    <w:p w:rsidR="000E7565" w:rsidRPr="00BC16B1" w:rsidRDefault="000E7565" w:rsidP="000E756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16B1">
        <w:rPr>
          <w:rFonts w:ascii="Times New Roman" w:hAnsi="Times New Roman" w:cs="Times New Roman"/>
          <w:sz w:val="20"/>
          <w:szCs w:val="20"/>
        </w:rPr>
        <w:t xml:space="preserve">In the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nanoindentation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tests, the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Berkovich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indentor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monitors and records load vs. displacement of the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indentor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Nanoindentation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experiment composed of four steps. At first, the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indentor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comes near to the sample surface and thereafter loading up to the maximum load. Here, the maximum load applied was 8000 µN. Before unloading, the load was held for 10 s to avoid the influence of creep on the unloading feature. From the hysteresis curves, hardness (H) was calculated using Eq. S1, the projected indentation area for the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Berkovich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indenter was given by Eq. S2.</w:t>
      </w:r>
    </w:p>
    <w:p w:rsidR="000E7565" w:rsidRPr="00BC16B1" w:rsidRDefault="000E7565" w:rsidP="000E7565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C16B1">
        <w:rPr>
          <w:rFonts w:ascii="Times New Roman" w:hAnsi="Times New Roman" w:cs="Times New Roman"/>
          <w:i/>
          <w:sz w:val="20"/>
          <w:szCs w:val="20"/>
        </w:rPr>
        <w:t xml:space="preserve">Hardness, </w:t>
      </w:r>
      <m:oMath>
        <m:r>
          <w:rPr>
            <w:rFonts w:ascii="Cambria Math" w:hAnsi="Cambria Math" w:cs="Times New Roman"/>
            <w:sz w:val="20"/>
            <w:szCs w:val="20"/>
          </w:rPr>
          <m:t>H=</m:t>
        </m:r>
        <m:f>
          <m:f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max</m:t>
                </m:r>
              </m:sub>
            </m:sSub>
          </m:num>
          <m:den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den>
        </m:f>
      </m:oMath>
      <w:r w:rsidRPr="00BC16B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</w:t>
      </w:r>
      <w:r w:rsidR="00BC16B1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Pr="00BC16B1">
        <w:rPr>
          <w:rFonts w:ascii="Times New Roman" w:hAnsi="Times New Roman" w:cs="Times New Roman"/>
          <w:sz w:val="20"/>
          <w:szCs w:val="20"/>
        </w:rPr>
        <w:t>(S1)</w:t>
      </w:r>
    </w:p>
    <w:p w:rsidR="000E7565" w:rsidRPr="00BC16B1" w:rsidRDefault="000E7565" w:rsidP="000E756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16B1">
        <w:rPr>
          <w:rFonts w:ascii="Times New Roman" w:hAnsi="Times New Roman" w:cs="Times New Roman"/>
          <w:i/>
          <w:sz w:val="20"/>
          <w:szCs w:val="20"/>
        </w:rPr>
        <w:t xml:space="preserve">Projected indentation area, 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A=24.5 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sub>
            </m:sSub>
          </m:e>
          <m:sup>
            <m: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p>
      </m:oMath>
      <w:r w:rsidRPr="00BC16B1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BC16B1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</w:t>
      </w:r>
      <w:r w:rsidR="00BC16B1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Pr="00BC16B1">
        <w:rPr>
          <w:rFonts w:ascii="Times New Roman" w:hAnsi="Times New Roman" w:cs="Times New Roman"/>
          <w:sz w:val="20"/>
          <w:szCs w:val="20"/>
        </w:rPr>
        <w:t>(S2)</w:t>
      </w:r>
    </w:p>
    <w:p w:rsidR="000E7565" w:rsidRPr="00BC16B1" w:rsidRDefault="000E7565" w:rsidP="000E756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BC16B1">
        <w:rPr>
          <w:rFonts w:ascii="Times New Roman" w:hAnsi="Times New Roman" w:cs="Times New Roman"/>
          <w:sz w:val="20"/>
          <w:szCs w:val="20"/>
        </w:rPr>
        <w:t xml:space="preserve">Where </w:t>
      </w:r>
      <w:proofErr w:type="gramEnd"/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max</m:t>
            </m:r>
          </m:sub>
        </m:sSub>
      </m:oMath>
      <w:r w:rsidRPr="00BC16B1">
        <w:rPr>
          <w:rFonts w:ascii="Times New Roman" w:hAnsi="Times New Roman" w:cs="Times New Roman"/>
          <w:sz w:val="20"/>
          <w:szCs w:val="20"/>
        </w:rPr>
        <w:t xml:space="preserve">, 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A </m:t>
        </m:r>
      </m:oMath>
      <w:r w:rsidRPr="00BC16B1">
        <w:rPr>
          <w:rFonts w:ascii="Times New Roman" w:hAnsi="Times New Roman" w:cs="Times New Roman"/>
          <w:sz w:val="20"/>
          <w:szCs w:val="20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h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sub>
        </m:sSub>
      </m:oMath>
      <w:r w:rsidRPr="00BC16B1">
        <w:rPr>
          <w:rFonts w:ascii="Times New Roman" w:hAnsi="Times New Roman" w:cs="Times New Roman"/>
          <w:sz w:val="20"/>
          <w:szCs w:val="20"/>
        </w:rPr>
        <w:t xml:space="preserve"> are the maximum indentation load, indentation area, and contact </w:t>
      </w:r>
      <w:r w:rsidR="000C2D58" w:rsidRPr="00BC16B1">
        <w:rPr>
          <w:rFonts w:ascii="Times New Roman" w:hAnsi="Times New Roman" w:cs="Times New Roman"/>
          <w:sz w:val="20"/>
          <w:szCs w:val="20"/>
        </w:rPr>
        <w:t>indentation depth respectively</w:t>
      </w:r>
      <w:r w:rsidR="00BC16B1">
        <w:rPr>
          <w:rFonts w:ascii="Times New Roman" w:hAnsi="Times New Roman" w:cs="Times New Roman"/>
          <w:sz w:val="20"/>
          <w:szCs w:val="20"/>
        </w:rPr>
        <w:t xml:space="preserve"> [1]</w:t>
      </w:r>
      <w:r w:rsidR="000C2D58" w:rsidRPr="00BC16B1">
        <w:rPr>
          <w:rFonts w:ascii="Times New Roman" w:hAnsi="Times New Roman" w:cs="Times New Roman"/>
          <w:sz w:val="20"/>
          <w:szCs w:val="20"/>
        </w:rPr>
        <w:t>.</w:t>
      </w:r>
    </w:p>
    <w:p w:rsidR="000E7565" w:rsidRPr="00BC16B1" w:rsidRDefault="000E7565" w:rsidP="000E756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16B1">
        <w:rPr>
          <w:rFonts w:ascii="Times New Roman" w:hAnsi="Times New Roman" w:cs="Times New Roman"/>
          <w:sz w:val="20"/>
          <w:szCs w:val="20"/>
        </w:rPr>
        <w:lastRenderedPageBreak/>
        <w:t>The plasticity index (</w:t>
      </w:r>
      <w:r w:rsidRPr="00BC16B1">
        <w:rPr>
          <w:rFonts w:ascii="Times New Roman" w:hAnsi="Times New Roman" w:cs="Times New Roman"/>
          <w:i/>
          <w:sz w:val="20"/>
          <w:szCs w:val="20"/>
        </w:rPr>
        <w:t>ψ</w:t>
      </w:r>
      <w:r w:rsidRPr="00BC16B1">
        <w:rPr>
          <w:rFonts w:ascii="Times New Roman" w:hAnsi="Times New Roman" w:cs="Times New Roman"/>
          <w:sz w:val="20"/>
          <w:szCs w:val="20"/>
        </w:rPr>
        <w:t xml:space="preserve">) which indicates the relative elastic or plastic behavior under external stresses has been measured using Eq. S3 for all blend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nanocomposites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. Here,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p</m:t>
            </m:r>
          </m:sub>
        </m:sSub>
      </m:oMath>
      <w:r w:rsidRPr="00BC16B1">
        <w:rPr>
          <w:rFonts w:ascii="Times New Roman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A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sub>
        </m:sSub>
      </m:oMath>
      <w:r w:rsidRPr="00BC16B1">
        <w:rPr>
          <w:rFonts w:ascii="Times New Roman" w:hAnsi="Times New Roman" w:cs="Times New Roman"/>
          <w:sz w:val="20"/>
          <w:szCs w:val="20"/>
        </w:rPr>
        <w:t xml:space="preserve"> are the areas under the loading and unloading curve of the hysteresis loop.</w:t>
      </w:r>
    </w:p>
    <w:p w:rsidR="000E7565" w:rsidRPr="00BC16B1" w:rsidRDefault="000E7565" w:rsidP="000E756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16B1">
        <w:rPr>
          <w:rFonts w:ascii="Times New Roman" w:hAnsi="Times New Roman" w:cs="Times New Roman"/>
          <w:i/>
          <w:sz w:val="20"/>
          <w:szCs w:val="20"/>
        </w:rPr>
        <w:t xml:space="preserve">Plasticity index, </w:t>
      </w:r>
      <m:oMath>
        <m:r>
          <w:rPr>
            <w:rFonts w:ascii="Cambria Math" w:hAnsi="Cambria Math" w:cs="Times New Roman"/>
            <w:sz w:val="20"/>
            <w:szCs w:val="20"/>
          </w:rPr>
          <m:t>ψ=</m:t>
        </m:r>
        <m:f>
          <m:f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e</m:t>
                </m:r>
              </m:sub>
            </m:sSub>
          </m:den>
        </m:f>
      </m:oMath>
      <w:r w:rsidRPr="00BC16B1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</w:t>
      </w:r>
      <w:r w:rsidR="00BC16B1">
        <w:rPr>
          <w:rFonts w:ascii="Times New Roman" w:hAnsi="Times New Roman" w:cs="Times New Roman"/>
          <w:i/>
          <w:sz w:val="20"/>
          <w:szCs w:val="20"/>
        </w:rPr>
        <w:t xml:space="preserve">                              </w:t>
      </w:r>
      <w:r w:rsidRPr="00BC16B1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C16B1">
        <w:rPr>
          <w:rFonts w:ascii="Times New Roman" w:hAnsi="Times New Roman" w:cs="Times New Roman"/>
          <w:sz w:val="20"/>
          <w:szCs w:val="20"/>
        </w:rPr>
        <w:t>(S3)</w:t>
      </w:r>
    </w:p>
    <w:p w:rsidR="00AB34B4" w:rsidRDefault="00F74708" w:rsidP="00AB34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Section </w:t>
      </w:r>
      <w:r w:rsidR="00831E15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AB34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B34B4" w:rsidRPr="00EC426E">
        <w:rPr>
          <w:rFonts w:ascii="Times New Roman" w:eastAsiaTheme="minorEastAsia" w:hAnsi="Times New Roman" w:cs="Times New Roman"/>
          <w:b/>
          <w:sz w:val="24"/>
          <w:szCs w:val="24"/>
        </w:rPr>
        <w:t>Nanocomposite</w:t>
      </w:r>
      <w:proofErr w:type="spellEnd"/>
      <w:r w:rsidR="00AB34B4" w:rsidRPr="00EC426E">
        <w:rPr>
          <w:rFonts w:ascii="Times New Roman" w:eastAsiaTheme="minorEastAsia" w:hAnsi="Times New Roman" w:cs="Times New Roman"/>
          <w:b/>
          <w:sz w:val="24"/>
          <w:szCs w:val="24"/>
        </w:rPr>
        <w:t xml:space="preserve"> film surface analysis</w:t>
      </w:r>
      <w:r w:rsidR="00AB34B4" w:rsidRPr="00EC42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34B4">
        <w:rPr>
          <w:rFonts w:ascii="Times New Roman" w:hAnsi="Times New Roman" w:cs="Times New Roman"/>
          <w:b/>
          <w:sz w:val="24"/>
          <w:szCs w:val="24"/>
        </w:rPr>
        <w:t>by AFM</w:t>
      </w:r>
    </w:p>
    <w:p w:rsidR="00AB34B4" w:rsidRPr="00BC16B1" w:rsidRDefault="00AB34B4" w:rsidP="00AB34B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16B1">
        <w:rPr>
          <w:rFonts w:ascii="Times New Roman" w:hAnsi="Times New Roman" w:cs="Times New Roman"/>
          <w:sz w:val="20"/>
          <w:szCs w:val="20"/>
        </w:rPr>
        <w:t xml:space="preserve">The surface texture and film roughness of a pure LLDPE and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graphene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-containing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nanocomposite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were examined using the AFM methodology. Roughness values derived from micro-graphs are also displayed in the corresponding figures, whereas </w:t>
      </w:r>
      <w:r w:rsidR="00BC16B1" w:rsidRPr="00BC16B1">
        <w:rPr>
          <w:rFonts w:ascii="Times New Roman" w:hAnsi="Times New Roman" w:cs="Times New Roman"/>
          <w:b/>
          <w:sz w:val="20"/>
          <w:szCs w:val="20"/>
        </w:rPr>
        <w:t>Fig.</w:t>
      </w:r>
      <w:r w:rsidRPr="00BC16B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62729" w:rsidRPr="00BC16B1">
        <w:rPr>
          <w:rFonts w:ascii="Times New Roman" w:hAnsi="Times New Roman" w:cs="Times New Roman"/>
          <w:b/>
          <w:sz w:val="20"/>
          <w:szCs w:val="20"/>
        </w:rPr>
        <w:t>S</w:t>
      </w:r>
      <w:r w:rsidRPr="00BC16B1">
        <w:rPr>
          <w:rFonts w:ascii="Times New Roman" w:hAnsi="Times New Roman" w:cs="Times New Roman"/>
          <w:b/>
          <w:sz w:val="20"/>
          <w:szCs w:val="20"/>
        </w:rPr>
        <w:t>2</w:t>
      </w:r>
      <w:r w:rsidRPr="00BC16B1">
        <w:rPr>
          <w:rFonts w:ascii="Times New Roman" w:hAnsi="Times New Roman" w:cs="Times New Roman"/>
          <w:sz w:val="20"/>
          <w:szCs w:val="20"/>
        </w:rPr>
        <w:t xml:space="preserve"> shows the AFM micrographs of pure LLDPE and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graphene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reinforced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nanocomposite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films. The roughness value of the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nanocomposite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film is always less than that of the neat LLDPE film</w:t>
      </w:r>
      <w:r w:rsidR="00BC16B1">
        <w:rPr>
          <w:rFonts w:ascii="Times New Roman" w:hAnsi="Times New Roman" w:cs="Times New Roman"/>
          <w:sz w:val="20"/>
          <w:szCs w:val="20"/>
        </w:rPr>
        <w:t xml:space="preserve"> [2]</w:t>
      </w:r>
      <w:r w:rsidRPr="00BC16B1">
        <w:rPr>
          <w:rFonts w:ascii="Times New Roman" w:hAnsi="Times New Roman" w:cs="Times New Roman"/>
          <w:sz w:val="20"/>
          <w:szCs w:val="20"/>
        </w:rPr>
        <w:t xml:space="preserve">. Uniform dispersion of GNP in LLDPE matrix leads in a more reduced roughness value of the corresponding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nanocomposite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film compared to that for LRGO and LG-Ag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nanocomposites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>.</w:t>
      </w:r>
    </w:p>
    <w:p w:rsidR="00AB34B4" w:rsidRDefault="00AB34B4" w:rsidP="00AB34B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A00FEDE" wp14:editId="333E407C">
            <wp:extent cx="5111517" cy="3420207"/>
            <wp:effectExtent l="0" t="0" r="0" b="8890"/>
            <wp:docPr id="2" name="Picture 2" descr="G:\EMI SE WORKS\LLDPE-GO, rGO G-Ag\Characterization\FIGURE TIFF FILES\AFM FILM SURFAC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EMI SE WORKS\LLDPE-GO, rGO G-Ag\Characterization\FIGURE TIFF FILES\AFM FILM SURFACE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525" cy="343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4B4" w:rsidRPr="00BC16B1" w:rsidRDefault="00BC16B1" w:rsidP="00AB34B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BC16B1">
        <w:rPr>
          <w:rFonts w:ascii="Times New Roman" w:hAnsi="Times New Roman" w:cs="Times New Roman"/>
          <w:b/>
          <w:sz w:val="20"/>
          <w:szCs w:val="20"/>
        </w:rPr>
        <w:t>Fig.</w:t>
      </w:r>
      <w:proofErr w:type="gramEnd"/>
      <w:r w:rsidR="00AB34B4" w:rsidRPr="00BC16B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74708" w:rsidRPr="00BC16B1">
        <w:rPr>
          <w:rFonts w:ascii="Times New Roman" w:hAnsi="Times New Roman" w:cs="Times New Roman"/>
          <w:b/>
          <w:sz w:val="20"/>
          <w:szCs w:val="20"/>
        </w:rPr>
        <w:t>S</w:t>
      </w:r>
      <w:r w:rsidR="000E7565" w:rsidRPr="00BC16B1">
        <w:rPr>
          <w:rFonts w:ascii="Times New Roman" w:hAnsi="Times New Roman" w:cs="Times New Roman"/>
          <w:b/>
          <w:sz w:val="20"/>
          <w:szCs w:val="20"/>
        </w:rPr>
        <w:t>2</w:t>
      </w:r>
      <w:r w:rsidR="00AB34B4" w:rsidRPr="00BC16B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B34B4" w:rsidRPr="00BC16B1">
        <w:rPr>
          <w:rFonts w:ascii="Times New Roman" w:hAnsi="Times New Roman" w:cs="Times New Roman"/>
          <w:sz w:val="20"/>
          <w:szCs w:val="20"/>
        </w:rPr>
        <w:t>Surface topographical images of (a) pure LLDPE, (b) LGNP3, (c) LG-Ag3 a</w:t>
      </w:r>
      <w:r w:rsidRPr="00BC16B1">
        <w:rPr>
          <w:rFonts w:ascii="Times New Roman" w:hAnsi="Times New Roman" w:cs="Times New Roman"/>
          <w:sz w:val="20"/>
          <w:szCs w:val="20"/>
        </w:rPr>
        <w:t xml:space="preserve">nd (d) LRGO </w:t>
      </w:r>
      <w:proofErr w:type="spellStart"/>
      <w:r w:rsidRPr="00BC16B1">
        <w:rPr>
          <w:rFonts w:ascii="Times New Roman" w:hAnsi="Times New Roman" w:cs="Times New Roman"/>
          <w:sz w:val="20"/>
          <w:szCs w:val="20"/>
        </w:rPr>
        <w:t>nanocomposite</w:t>
      </w:r>
      <w:proofErr w:type="spellEnd"/>
      <w:r w:rsidRPr="00BC16B1">
        <w:rPr>
          <w:rFonts w:ascii="Times New Roman" w:hAnsi="Times New Roman" w:cs="Times New Roman"/>
          <w:sz w:val="20"/>
          <w:szCs w:val="20"/>
        </w:rPr>
        <w:t xml:space="preserve"> films</w:t>
      </w:r>
    </w:p>
    <w:p w:rsidR="008E693F" w:rsidRPr="00F74708" w:rsidRDefault="00F74708" w:rsidP="00F74708">
      <w:pPr>
        <w:spacing w:line="48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 xml:space="preserve">Section </w:t>
      </w:r>
      <w:r w:rsidR="00831E15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F74708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155E">
        <w:rPr>
          <w:rFonts w:ascii="Times New Roman" w:hAnsi="Times New Roman" w:cs="Times New Roman"/>
          <w:b/>
          <w:sz w:val="24"/>
          <w:szCs w:val="24"/>
        </w:rPr>
        <w:t>Mathematical expressions related to EMI shielding effectiveness of LLDPE/</w:t>
      </w:r>
      <w:proofErr w:type="spellStart"/>
      <w:r w:rsidRPr="00DC155E">
        <w:rPr>
          <w:rFonts w:ascii="Times New Roman" w:hAnsi="Times New Roman" w:cs="Times New Roman"/>
          <w:b/>
          <w:sz w:val="24"/>
          <w:szCs w:val="24"/>
        </w:rPr>
        <w:t>graphene</w:t>
      </w:r>
      <w:proofErr w:type="spellEnd"/>
      <w:r w:rsidRPr="00DC155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C155E">
        <w:rPr>
          <w:rFonts w:ascii="Times New Roman" w:hAnsi="Times New Roman" w:cs="Times New Roman"/>
          <w:b/>
          <w:sz w:val="24"/>
          <w:szCs w:val="24"/>
        </w:rPr>
        <w:t>nanocomposites</w:t>
      </w:r>
      <w:proofErr w:type="spellEnd"/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C16B1">
        <w:rPr>
          <w:rFonts w:ascii="Times New Roman" w:eastAsia="Calibri" w:hAnsi="Times New Roman" w:cs="Times New Roman"/>
          <w:sz w:val="20"/>
          <w:szCs w:val="20"/>
        </w:rPr>
        <w:t>The total shielding effectiveness (</w:t>
      </w:r>
      <w:r w:rsidRPr="00BC16B1">
        <w:rPr>
          <w:rFonts w:ascii="Times New Roman" w:eastAsia="Calibri" w:hAnsi="Times New Roman" w:cs="Times New Roman"/>
          <w:i/>
          <w:sz w:val="20"/>
          <w:szCs w:val="20"/>
        </w:rPr>
        <w:t>SE</w:t>
      </w:r>
      <w:r w:rsidRPr="00BC16B1">
        <w:rPr>
          <w:rFonts w:ascii="Times New Roman" w:eastAsia="Calibri" w:hAnsi="Times New Roman" w:cs="Times New Roman"/>
          <w:i/>
          <w:sz w:val="20"/>
          <w:szCs w:val="20"/>
          <w:vertAlign w:val="subscript"/>
        </w:rPr>
        <w:t>T</w:t>
      </w:r>
      <w:r w:rsidRPr="00BC16B1">
        <w:rPr>
          <w:rFonts w:ascii="Times New Roman" w:eastAsia="Calibri" w:hAnsi="Times New Roman" w:cs="Times New Roman"/>
          <w:sz w:val="20"/>
          <w:szCs w:val="20"/>
        </w:rPr>
        <w:t>) of the electrically conductive composite material can be expressed by the following mathematical expression:</w:t>
      </w:r>
    </w:p>
    <w:p w:rsidR="008E693F" w:rsidRPr="00BC16B1" w:rsidRDefault="00CC227E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  <m:r>
          <w:rPr>
            <w:rFonts w:ascii="Cambria Math" w:hAnsi="Cambria Math"/>
            <w:sz w:val="20"/>
            <w:szCs w:val="20"/>
          </w:rPr>
          <m:t xml:space="preserve"> (dB)=10</m:t>
        </m:r>
        <m:func>
          <m:func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10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T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den>
                </m:f>
              </m:e>
            </m:d>
          </m:e>
        </m:func>
        <m:r>
          <w:rPr>
            <w:rFonts w:ascii="Cambria Math" w:hAnsi="Cambria Math"/>
            <w:sz w:val="20"/>
            <w:szCs w:val="20"/>
          </w:rPr>
          <m:t>=10</m:t>
        </m:r>
        <m:func>
          <m:func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10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T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den>
                </m:f>
              </m:e>
            </m:d>
            <m:r>
              <w:rPr>
                <w:rFonts w:ascii="Cambria Math" w:hAnsi="Cambria Math"/>
                <w:sz w:val="20"/>
                <w:szCs w:val="20"/>
              </w:rPr>
              <m:t>=10</m:t>
            </m:r>
            <m:func>
              <m:func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log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sub>
                </m:sSub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T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den>
                    </m:f>
                  </m:e>
                </m:d>
              </m:e>
            </m:func>
          </m:e>
        </m:func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4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(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gramStart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or </w:t>
      </w:r>
      <w:proofErr w:type="gramEnd"/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H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) 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P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I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(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I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or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H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I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>) depict the transmitted power and incident power respectively of elect</w:t>
      </w:r>
      <w:r w:rsidR="000C2D58" w:rsidRPr="00BC16B1">
        <w:rPr>
          <w:rFonts w:ascii="Times New Roman" w:eastAsia="Calibri" w:hAnsi="Times New Roman" w:cs="Times New Roman"/>
          <w:sz w:val="20"/>
          <w:szCs w:val="20"/>
        </w:rPr>
        <w:t>ric or magnetic field intensity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[3]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. The attenuation of incoming EM radiation occurs through three mechanisms namely absorption, reflection and multiple reflection which are denoted by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MR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respectively.  Therefore total shielding effectiveness (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>) can be expressed as:</w:t>
      </w:r>
    </w:p>
    <w:p w:rsidR="008E693F" w:rsidRPr="00BC16B1" w:rsidRDefault="00CC227E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  <m:r>
          <w:rPr>
            <w:rFonts w:ascii="Cambria Math" w:hAns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  <m:r>
          <w:rPr>
            <w:rFonts w:ascii="Cambria Math" w:hAnsi="Cambria Math"/>
            <w:sz w:val="20"/>
            <w:szCs w:val="20"/>
          </w:rPr>
          <m:t>+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  <m:r>
          <w:rPr>
            <w:rFonts w:ascii="Cambria Math" w:hAnsi="Cambria Math"/>
            <w:sz w:val="20"/>
            <w:szCs w:val="20"/>
          </w:rPr>
          <m:t>+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MR</m:t>
            </m:r>
          </m:sub>
        </m:sSub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5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When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&gt; -15 dB or the skin depth (</w:t>
      </w:r>
      <w:r w:rsidRPr="00BC16B1">
        <w:rPr>
          <w:rFonts w:ascii="Times New Roman" w:eastAsia="Calibri" w:hAnsi="Times New Roman" w:cs="Times New Roman"/>
          <w:i/>
          <w:sz w:val="20"/>
          <w:szCs w:val="20"/>
        </w:rPr>
        <w:t>δ</w:t>
      </w:r>
      <w:r w:rsidRPr="00BC16B1">
        <w:rPr>
          <w:rFonts w:ascii="Times New Roman" w:eastAsia="Calibri" w:hAnsi="Times New Roman" w:cs="Times New Roman"/>
          <w:sz w:val="20"/>
          <w:szCs w:val="20"/>
        </w:rPr>
        <w:t>) of the material is less than the sample thickness, the parameter of multiple reflection (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MR</m:t>
            </m:r>
          </m:sub>
        </m:sSub>
      </m:oMath>
      <w:r w:rsidR="000C2D58" w:rsidRPr="00BC16B1">
        <w:rPr>
          <w:rFonts w:ascii="Times New Roman" w:eastAsia="Calibri" w:hAnsi="Times New Roman" w:cs="Times New Roman"/>
          <w:sz w:val="20"/>
          <w:szCs w:val="20"/>
        </w:rPr>
        <w:t>) can be neglected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[4]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. So,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can be represented as the mathematical sum of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parameters by the following equation:</w:t>
      </w:r>
    </w:p>
    <w:p w:rsidR="008E693F" w:rsidRPr="00BC16B1" w:rsidRDefault="00CC227E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  <m:r>
          <w:rPr>
            <w:rFonts w:ascii="Cambria Math" w:hAns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  <m:r>
          <w:rPr>
            <w:rFonts w:ascii="Cambria Math" w:hAnsi="Cambria Math"/>
            <w:sz w:val="20"/>
            <w:szCs w:val="20"/>
          </w:rPr>
          <m:t>+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    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6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C16B1">
        <w:rPr>
          <w:rFonts w:ascii="Times New Roman" w:eastAsia="Calibri" w:hAnsi="Times New Roman" w:cs="Times New Roman"/>
          <w:sz w:val="20"/>
          <w:szCs w:val="20"/>
        </w:rPr>
        <w:t>The scattering parameters obtained from the VNA vector analyzer in the X-band frequency region (8.2-12.4 GHz) are generally utilized to evaluate total shielding efficiency and reflection, transmission and absorption coefficients. The following equations are employed to calculate the reflection coefficient (</w:t>
      </w:r>
      <w:r w:rsidRPr="00BC16B1">
        <w:rPr>
          <w:rFonts w:ascii="Times New Roman" w:eastAsia="Calibri" w:hAnsi="Times New Roman" w:cs="Times New Roman"/>
          <w:i/>
          <w:sz w:val="20"/>
          <w:szCs w:val="20"/>
        </w:rPr>
        <w:t>R</w:t>
      </w:r>
      <w:r w:rsidRPr="00BC16B1">
        <w:rPr>
          <w:rFonts w:ascii="Times New Roman" w:eastAsia="Calibri" w:hAnsi="Times New Roman" w:cs="Times New Roman"/>
          <w:sz w:val="20"/>
          <w:szCs w:val="20"/>
        </w:rPr>
        <w:t>), absorption coefficient (</w:t>
      </w:r>
      <w:r w:rsidRPr="00BC16B1">
        <w:rPr>
          <w:rFonts w:ascii="Times New Roman" w:eastAsia="Calibri" w:hAnsi="Times New Roman" w:cs="Times New Roman"/>
          <w:i/>
          <w:sz w:val="20"/>
          <w:szCs w:val="20"/>
        </w:rPr>
        <w:t>A</w:t>
      </w:r>
      <w:r w:rsidRPr="00BC16B1">
        <w:rPr>
          <w:rFonts w:ascii="Times New Roman" w:eastAsia="Calibri" w:hAnsi="Times New Roman" w:cs="Times New Roman"/>
          <w:sz w:val="20"/>
          <w:szCs w:val="20"/>
        </w:rPr>
        <w:t>) and transmission coefficient (</w:t>
      </w:r>
      <w:r w:rsidRPr="00BC16B1">
        <w:rPr>
          <w:rFonts w:ascii="Times New Roman" w:eastAsia="Calibri" w:hAnsi="Times New Roman" w:cs="Times New Roman"/>
          <w:i/>
          <w:sz w:val="20"/>
          <w:szCs w:val="20"/>
        </w:rPr>
        <w:t>T</w:t>
      </w:r>
      <w:r w:rsidRPr="00BC16B1">
        <w:rPr>
          <w:rFonts w:ascii="Times New Roman" w:eastAsia="Calibri" w:hAnsi="Times New Roman" w:cs="Times New Roman"/>
          <w:sz w:val="20"/>
          <w:szCs w:val="20"/>
        </w:rPr>
        <w:t>) of electromagnetic radiation.</w:t>
      </w:r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>T=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T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</w:rPr>
          <m:t>=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12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</w:rPr>
          <m:t>=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21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</m:oMath>
      <w:r w:rsidRPr="00BC16B1"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</w:t>
      </w:r>
      <w:r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7</w:t>
      </w:r>
      <w:r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>R=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den>
                </m:f>
              </m:e>
            </m:d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</w:rPr>
          <m:t>=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11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</w:rPr>
          <m:t>=</m:t>
        </m:r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22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</w:t>
      </w:r>
      <w:r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8</w:t>
      </w:r>
      <w:r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>A=1-R-T</m:t>
        </m:r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</w:t>
      </w:r>
      <w:r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9</w:t>
      </w:r>
      <w:r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8E693F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Here, scattering </w:t>
      </w:r>
      <w:proofErr w:type="gramStart"/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parameters </w:t>
      </w:r>
      <w:proofErr w:type="gramEnd"/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12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21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11</m:t>
            </m:r>
          </m:sub>
        </m:sSub>
      </m:oMath>
      <w:r w:rsidRPr="00BC16B1">
        <w:rPr>
          <w:rFonts w:ascii="Times New Roman" w:eastAsia="Calibri" w:hAnsi="Times New Roman" w:cs="Times New Roman"/>
          <w:sz w:val="20"/>
          <w:szCs w:val="20"/>
        </w:rPr>
        <w:t xml:space="preserve"> represent the reverse transmission coefficient, forward transmission coefficient and forward reflection coefficient, respectively. The total EMI attenuation can be calculated from Eq. 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831E15" w:rsidRPr="00BC16B1">
        <w:rPr>
          <w:rFonts w:ascii="Times New Roman" w:eastAsia="Calibri" w:hAnsi="Times New Roman" w:cs="Times New Roman"/>
          <w:sz w:val="20"/>
          <w:szCs w:val="20"/>
        </w:rPr>
        <w:t>10</w:t>
      </w:r>
      <w:r w:rsidRPr="00BC16B1">
        <w:rPr>
          <w:rFonts w:ascii="Times New Roman" w:eastAsia="Calibri" w:hAnsi="Times New Roman" w:cs="Times New Roman"/>
          <w:sz w:val="20"/>
          <w:szCs w:val="20"/>
        </w:rPr>
        <w:t>.</w:t>
      </w:r>
    </w:p>
    <w:p w:rsidR="008E693F" w:rsidRPr="00BC16B1" w:rsidRDefault="00CC227E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T</m:t>
            </m:r>
          </m:sub>
        </m:sSub>
        <m:r>
          <w:rPr>
            <w:rFonts w:ascii="Cambria Math" w:hAnsi="Cambria Math"/>
            <w:sz w:val="20"/>
            <w:szCs w:val="20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dB</m:t>
            </m:r>
          </m:e>
        </m:d>
        <m:r>
          <w:rPr>
            <w:rFonts w:ascii="Cambria Math" w:hAnsi="Cambria Math"/>
            <w:sz w:val="20"/>
            <w:szCs w:val="20"/>
          </w:rPr>
          <m:t>=10log⁡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12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0"/>
            <w:szCs w:val="20"/>
          </w:rPr>
          <m:t>=10log⁡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21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p>
          </m:den>
        </m:f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 xml:space="preserve">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10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CC227E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(</w:t>
      </w:r>
      <w:proofErr w:type="gramStart"/>
      <w:r w:rsidR="008E693F" w:rsidRPr="00BC16B1">
        <w:rPr>
          <w:rFonts w:ascii="Times New Roman" w:eastAsia="Calibri" w:hAnsi="Times New Roman" w:cs="Times New Roman"/>
          <w:sz w:val="20"/>
          <w:szCs w:val="20"/>
        </w:rPr>
        <w:t>reflection</w:t>
      </w:r>
      <w:proofErr w:type="gramEnd"/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) 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(absorption) parameters can be evaluated by employing the following equations:</w:t>
      </w:r>
    </w:p>
    <w:p w:rsidR="008E693F" w:rsidRPr="00BC16B1" w:rsidRDefault="00CC227E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  <m:r>
          <w:rPr>
            <w:rFonts w:ascii="Cambria Math" w:hAnsi="Cambria Math"/>
            <w:sz w:val="20"/>
            <w:szCs w:val="20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dB</m:t>
            </m:r>
          </m:e>
        </m:d>
        <m:r>
          <w:rPr>
            <w:rFonts w:ascii="Cambria Math" w:hAnsi="Cambria Math"/>
            <w:sz w:val="20"/>
            <w:szCs w:val="20"/>
          </w:rPr>
          <m:t>=10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log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10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1-S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den>
            </m:f>
          </m:e>
        </m:d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11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E693F" w:rsidRPr="00BC16B1" w:rsidRDefault="00CC227E" w:rsidP="008E693F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SE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  <m:r>
          <w:rPr>
            <w:rFonts w:ascii="Cambria Math" w:hAnsi="Cambria Math"/>
            <w:sz w:val="20"/>
            <w:szCs w:val="20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dB</m:t>
            </m:r>
          </m:e>
        </m:d>
        <m:r>
          <w:rPr>
            <w:rFonts w:ascii="Cambria Math" w:hAnsi="Cambria Math"/>
            <w:sz w:val="20"/>
            <w:szCs w:val="20"/>
          </w:rPr>
          <m:t>=10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log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10</m:t>
            </m:r>
          </m:sub>
        </m:sSub>
        <m:d>
          <m:dPr>
            <m:begChr m:val="["/>
            <m:endChr m:val="]"/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p>
                </m:sSup>
              </m:den>
            </m:f>
          </m:e>
        </m:d>
      </m:oMath>
      <w:r w:rsidR="008E693F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</w:t>
      </w:r>
      <w:r w:rsidR="00BC16B1">
        <w:rPr>
          <w:rFonts w:ascii="Times New Roman" w:eastAsia="Calibri" w:hAnsi="Times New Roman" w:cs="Times New Roman"/>
          <w:sz w:val="20"/>
          <w:szCs w:val="20"/>
        </w:rPr>
        <w:t xml:space="preserve">                              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(</w:t>
      </w:r>
      <w:r w:rsidR="00F74708" w:rsidRPr="00BC16B1">
        <w:rPr>
          <w:rFonts w:ascii="Times New Roman" w:eastAsia="Calibri" w:hAnsi="Times New Roman" w:cs="Times New Roman"/>
          <w:sz w:val="20"/>
          <w:szCs w:val="20"/>
        </w:rPr>
        <w:t>S</w:t>
      </w:r>
      <w:r w:rsidR="000E7565" w:rsidRPr="00BC16B1">
        <w:rPr>
          <w:rFonts w:ascii="Times New Roman" w:eastAsia="Calibri" w:hAnsi="Times New Roman" w:cs="Times New Roman"/>
          <w:sz w:val="20"/>
          <w:szCs w:val="20"/>
        </w:rPr>
        <w:t>12</w:t>
      </w:r>
      <w:r w:rsidR="008E693F" w:rsidRPr="00BC16B1">
        <w:rPr>
          <w:rFonts w:ascii="Times New Roman" w:eastAsia="Calibri" w:hAnsi="Times New Roman" w:cs="Times New Roman"/>
          <w:sz w:val="20"/>
          <w:szCs w:val="20"/>
        </w:rPr>
        <w:t>)</w:t>
      </w:r>
    </w:p>
    <w:p w:rsidR="00AB34B4" w:rsidRDefault="00C34377" w:rsidP="001335E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4377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770615" w:rsidRPr="00770615" w:rsidRDefault="00770615" w:rsidP="00770615">
      <w:pPr>
        <w:spacing w:line="360" w:lineRule="auto"/>
        <w:ind w:left="640" w:hanging="6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15">
        <w:rPr>
          <w:rFonts w:ascii="Times New Roman" w:hAnsi="Times New Roman" w:cs="Times New Roman"/>
          <w:sz w:val="20"/>
          <w:szCs w:val="20"/>
        </w:rPr>
        <w:t xml:space="preserve">1. </w:t>
      </w:r>
      <w:r w:rsidRPr="00770615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Katti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Kundan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K V., Kumar S, Bose S (2017) Improved mechanical properties through engineering the interface by poly (ether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ether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ketone) grafted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graphene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oxide in epoxy based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nanocomposites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>. Polymer (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Guildf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>) 122:184–193. https://doi.org/10.1016/j.polymer.2017.06.059</w:t>
      </w:r>
    </w:p>
    <w:p w:rsidR="00770615" w:rsidRPr="00770615" w:rsidRDefault="00770615" w:rsidP="001335E0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C83F3D">
        <w:rPr>
          <w:rFonts w:ascii="Times New Roman" w:hAnsi="Times New Roman" w:cs="Times New Roman"/>
          <w:sz w:val="20"/>
          <w:szCs w:val="20"/>
        </w:rPr>
        <w:lastRenderedPageBreak/>
        <w:t>2.</w:t>
      </w:r>
      <w:r>
        <w:t xml:space="preserve"> </w:t>
      </w:r>
      <w:r>
        <w:tab/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Ghosh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SK, Das TK,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Ganguly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S, et al (2022)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Silane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functionalization of sodium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montmorillonite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halloysite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(HNT)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nanoclays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by ‘grafting to’ method to improve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physico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-mechanical and barrier properties of LLDPE/clay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nanocomposites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770615">
        <w:rPr>
          <w:rFonts w:ascii="Times New Roman" w:hAnsi="Times New Roman" w:cs="Times New Roman"/>
          <w:sz w:val="20"/>
          <w:szCs w:val="20"/>
        </w:rPr>
        <w:t>Polym</w:t>
      </w:r>
      <w:proofErr w:type="spellEnd"/>
      <w:r w:rsidRPr="00770615">
        <w:rPr>
          <w:rFonts w:ascii="Times New Roman" w:hAnsi="Times New Roman" w:cs="Times New Roman"/>
          <w:sz w:val="20"/>
          <w:szCs w:val="20"/>
        </w:rPr>
        <w:t xml:space="preserve"> Bull. https://doi.org/10.1007/s00289-022-04281-4</w:t>
      </w:r>
    </w:p>
    <w:p w:rsidR="00C83F3D" w:rsidRPr="00C83F3D" w:rsidRDefault="00C83F3D" w:rsidP="001335E0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C83F3D">
        <w:rPr>
          <w:rFonts w:ascii="Times New Roman" w:hAnsi="Times New Roman" w:cs="Times New Roman"/>
          <w:sz w:val="20"/>
          <w:szCs w:val="20"/>
        </w:rPr>
        <w:t xml:space="preserve">3. </w:t>
      </w:r>
      <w:r w:rsidRPr="00C83F3D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C83F3D">
        <w:rPr>
          <w:rFonts w:ascii="Times New Roman" w:hAnsi="Times New Roman" w:cs="Times New Roman"/>
          <w:sz w:val="20"/>
          <w:szCs w:val="20"/>
        </w:rPr>
        <w:t>Ghosh</w:t>
      </w:r>
      <w:proofErr w:type="spellEnd"/>
      <w:r w:rsidRPr="00C83F3D">
        <w:rPr>
          <w:rFonts w:ascii="Times New Roman" w:hAnsi="Times New Roman" w:cs="Times New Roman"/>
          <w:sz w:val="20"/>
          <w:szCs w:val="20"/>
        </w:rPr>
        <w:t xml:space="preserve"> SK, Das TK, </w:t>
      </w:r>
      <w:proofErr w:type="spellStart"/>
      <w:r w:rsidRPr="00C83F3D">
        <w:rPr>
          <w:rFonts w:ascii="Times New Roman" w:hAnsi="Times New Roman" w:cs="Times New Roman"/>
          <w:sz w:val="20"/>
          <w:szCs w:val="20"/>
        </w:rPr>
        <w:t>Ghosh</w:t>
      </w:r>
      <w:proofErr w:type="spellEnd"/>
      <w:r w:rsidRPr="00C83F3D">
        <w:rPr>
          <w:rFonts w:ascii="Times New Roman" w:hAnsi="Times New Roman" w:cs="Times New Roman"/>
          <w:sz w:val="20"/>
          <w:szCs w:val="20"/>
        </w:rPr>
        <w:t xml:space="preserve"> S, et al (2021) Selective distribution of conductive carbonaceous inclusion in thermoplastic elastomer: A wet chemical approach of promoting dual percolation and inhibiting radiation pollution in X</w:t>
      </w:r>
      <w:r>
        <w:rPr>
          <w:rFonts w:ascii="Times New Roman" w:hAnsi="Times New Roman" w:cs="Times New Roman"/>
          <w:sz w:val="20"/>
          <w:szCs w:val="20"/>
        </w:rPr>
        <w:t xml:space="preserve">-band. Compos </w:t>
      </w:r>
      <w:proofErr w:type="spellStart"/>
      <w:r>
        <w:rPr>
          <w:rFonts w:ascii="Times New Roman" w:hAnsi="Times New Roman" w:cs="Times New Roman"/>
          <w:sz w:val="20"/>
          <w:szCs w:val="20"/>
        </w:rPr>
        <w:t>Sci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Technol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210</w:t>
      </w:r>
      <w:proofErr w:type="gramStart"/>
      <w:r>
        <w:rPr>
          <w:rFonts w:ascii="Times New Roman" w:hAnsi="Times New Roman" w:cs="Times New Roman"/>
          <w:sz w:val="20"/>
          <w:szCs w:val="20"/>
        </w:rPr>
        <w:t>:.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83F3D">
        <w:rPr>
          <w:rFonts w:ascii="Times New Roman" w:hAnsi="Times New Roman" w:cs="Times New Roman"/>
          <w:sz w:val="20"/>
          <w:szCs w:val="20"/>
        </w:rPr>
        <w:t>https://doi.org/10.1016/j.compscitech.2021.108800</w:t>
      </w:r>
    </w:p>
    <w:p w:rsidR="00C34377" w:rsidRPr="00C83F3D" w:rsidRDefault="00C83F3D" w:rsidP="00C83F3D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C83F3D">
        <w:rPr>
          <w:rFonts w:ascii="Times New Roman" w:hAnsi="Times New Roman" w:cs="Times New Roman"/>
          <w:sz w:val="20"/>
          <w:szCs w:val="20"/>
        </w:rPr>
        <w:t xml:space="preserve">4. </w:t>
      </w:r>
      <w:r w:rsidRPr="00C83F3D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C83F3D">
        <w:rPr>
          <w:rFonts w:ascii="Times New Roman" w:hAnsi="Times New Roman" w:cs="Times New Roman"/>
          <w:sz w:val="20"/>
          <w:szCs w:val="20"/>
        </w:rPr>
        <w:t>Bhawal</w:t>
      </w:r>
      <w:proofErr w:type="spellEnd"/>
      <w:r w:rsidRPr="00C83F3D">
        <w:rPr>
          <w:rFonts w:ascii="Times New Roman" w:hAnsi="Times New Roman" w:cs="Times New Roman"/>
          <w:sz w:val="20"/>
          <w:szCs w:val="20"/>
        </w:rPr>
        <w:t xml:space="preserve"> P, </w:t>
      </w:r>
      <w:proofErr w:type="spellStart"/>
      <w:r w:rsidRPr="00C83F3D">
        <w:rPr>
          <w:rFonts w:ascii="Times New Roman" w:hAnsi="Times New Roman" w:cs="Times New Roman"/>
          <w:sz w:val="20"/>
          <w:szCs w:val="20"/>
        </w:rPr>
        <w:t>Ganguly</w:t>
      </w:r>
      <w:proofErr w:type="spellEnd"/>
      <w:r w:rsidRPr="00C83F3D">
        <w:rPr>
          <w:rFonts w:ascii="Times New Roman" w:hAnsi="Times New Roman" w:cs="Times New Roman"/>
          <w:sz w:val="20"/>
          <w:szCs w:val="20"/>
        </w:rPr>
        <w:t xml:space="preserve"> S, Das TK, et al (2018) Mechanically robust conductive carbon clusters confined ethylene methyl acrylate–based flexible composites for superior shielding effectiveness. </w:t>
      </w:r>
      <w:proofErr w:type="spellStart"/>
      <w:r w:rsidRPr="00C83F3D">
        <w:rPr>
          <w:rFonts w:ascii="Times New Roman" w:hAnsi="Times New Roman" w:cs="Times New Roman"/>
          <w:sz w:val="20"/>
          <w:szCs w:val="20"/>
        </w:rPr>
        <w:t>Polym</w:t>
      </w:r>
      <w:proofErr w:type="spellEnd"/>
      <w:r w:rsidRPr="00C83F3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F3D">
        <w:rPr>
          <w:rFonts w:ascii="Times New Roman" w:hAnsi="Times New Roman" w:cs="Times New Roman"/>
          <w:sz w:val="20"/>
          <w:szCs w:val="20"/>
        </w:rPr>
        <w:t>Adv</w:t>
      </w:r>
      <w:proofErr w:type="spellEnd"/>
      <w:r w:rsidRPr="00C83F3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C83F3D">
        <w:rPr>
          <w:rFonts w:ascii="Times New Roman" w:hAnsi="Times New Roman" w:cs="Times New Roman"/>
          <w:sz w:val="20"/>
          <w:szCs w:val="20"/>
        </w:rPr>
        <w:t>Technol</w:t>
      </w:r>
      <w:proofErr w:type="spellEnd"/>
      <w:r w:rsidRPr="00C83F3D">
        <w:rPr>
          <w:rFonts w:ascii="Times New Roman" w:hAnsi="Times New Roman" w:cs="Times New Roman"/>
          <w:sz w:val="20"/>
          <w:szCs w:val="20"/>
        </w:rPr>
        <w:t xml:space="preserve"> 29:95–110. https://doi.org/10.1002/pat.4092</w:t>
      </w:r>
    </w:p>
    <w:sectPr w:rsidR="00C34377" w:rsidRPr="00C83F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0tLQwMTe3MDC3MDVW0lEKTi0uzszPAymwrAUANf0BeiwAAAA="/>
  </w:docVars>
  <w:rsids>
    <w:rsidRoot w:val="006B43C8"/>
    <w:rsid w:val="00014317"/>
    <w:rsid w:val="000A0826"/>
    <w:rsid w:val="000C2D58"/>
    <w:rsid w:val="000E7565"/>
    <w:rsid w:val="001335E0"/>
    <w:rsid w:val="002550E8"/>
    <w:rsid w:val="0034645C"/>
    <w:rsid w:val="00365692"/>
    <w:rsid w:val="00462729"/>
    <w:rsid w:val="004F2CCD"/>
    <w:rsid w:val="005F09EC"/>
    <w:rsid w:val="006327E6"/>
    <w:rsid w:val="006B01A9"/>
    <w:rsid w:val="006B43C8"/>
    <w:rsid w:val="007302FD"/>
    <w:rsid w:val="00740414"/>
    <w:rsid w:val="00770615"/>
    <w:rsid w:val="00831E15"/>
    <w:rsid w:val="008E693F"/>
    <w:rsid w:val="0092452F"/>
    <w:rsid w:val="00A17A41"/>
    <w:rsid w:val="00AB34B4"/>
    <w:rsid w:val="00BC16B1"/>
    <w:rsid w:val="00C12C52"/>
    <w:rsid w:val="00C34377"/>
    <w:rsid w:val="00C75B7C"/>
    <w:rsid w:val="00C83F3D"/>
    <w:rsid w:val="00CC227E"/>
    <w:rsid w:val="00DC155E"/>
    <w:rsid w:val="00EB6877"/>
    <w:rsid w:val="00EF233A"/>
    <w:rsid w:val="00F64204"/>
    <w:rsid w:val="00F74708"/>
    <w:rsid w:val="00FB4CAE"/>
    <w:rsid w:val="00FD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4B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34B4"/>
    <w:pPr>
      <w:spacing w:after="0" w:line="240" w:lineRule="auto"/>
    </w:pPr>
    <w:rPr>
      <w:rFonts w:ascii="Tahoma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34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3437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65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4B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34B4"/>
    <w:pPr>
      <w:spacing w:after="0" w:line="240" w:lineRule="auto"/>
    </w:pPr>
    <w:rPr>
      <w:rFonts w:ascii="Tahoma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34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3437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65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1178</Words>
  <Characters>6717</Characters>
  <Application>Microsoft Office Word</Application>
  <DocSecurity>0</DocSecurity>
  <Lines>55</Lines>
  <Paragraphs>15</Paragraphs>
  <ScaleCrop>false</ScaleCrop>
  <Company>Microsoft</Company>
  <LinksUpToDate>false</LinksUpToDate>
  <CharactersWithSpaces>7880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SUMAN GHOSH</dc:creator>
  <cp:keywords/>
  <dc:description/>
  <cp:lastModifiedBy>Suman</cp:lastModifiedBy>
  <cp:revision>37</cp:revision>
  <dcterms:created xsi:type="dcterms:W3CDTF">2022-07-10T04:02:00Z</dcterms:created>
  <dcterms:modified xsi:type="dcterms:W3CDTF">2022-09-13T09:27:00Z</dcterms:modified>
</cp:coreProperties>
</file>