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B249C" w14:textId="21481ED5" w:rsidR="00CC1195" w:rsidRPr="00CC1195" w:rsidRDefault="00CC1195" w:rsidP="00CC1195">
      <w:pPr>
        <w:spacing w:line="480" w:lineRule="auto"/>
        <w:ind w:firstLineChars="0" w:firstLine="0"/>
        <w:rPr>
          <w:rFonts w:cs="Times New Roman"/>
          <w:b/>
          <w:bCs/>
        </w:rPr>
      </w:pPr>
      <w:bookmarkStart w:id="0" w:name="OLE_LINK51"/>
      <w:r w:rsidRPr="00DA2072">
        <w:rPr>
          <w:rFonts w:cs="Times New Roman" w:hint="eastAsia"/>
          <w:b/>
          <w:bCs/>
        </w:rPr>
        <w:t>S</w:t>
      </w:r>
      <w:r w:rsidRPr="00DA2072">
        <w:rPr>
          <w:rFonts w:cs="Times New Roman"/>
          <w:b/>
          <w:bCs/>
        </w:rPr>
        <w:t>upporting information for</w:t>
      </w:r>
    </w:p>
    <w:bookmarkEnd w:id="0"/>
    <w:p w14:paraId="51EFF413" w14:textId="0E0720E0" w:rsidR="001B0395" w:rsidRDefault="002763BD" w:rsidP="002763BD">
      <w:pPr>
        <w:ind w:firstLineChars="0" w:firstLine="0"/>
        <w:rPr>
          <w:b/>
          <w:bCs/>
        </w:rPr>
      </w:pPr>
      <w:r w:rsidRPr="002763BD">
        <w:rPr>
          <w:b/>
          <w:bCs/>
          <w:szCs w:val="24"/>
        </w:rPr>
        <w:t>Spatial distribution characteristics and ecological assembly process of bacteria and aerobic anoxygenic photosynthesis bacteria in Three Gorges Reservoir</w:t>
      </w:r>
    </w:p>
    <w:p w14:paraId="001587D2" w14:textId="77777777" w:rsidR="002763BD" w:rsidRPr="00B702DD" w:rsidRDefault="002763BD" w:rsidP="001B0395">
      <w:pPr>
        <w:ind w:firstLineChars="0" w:firstLine="0"/>
        <w:rPr>
          <w:szCs w:val="24"/>
        </w:rPr>
      </w:pPr>
    </w:p>
    <w:p w14:paraId="17C6AB63" w14:textId="006F9054" w:rsidR="00DA7464" w:rsidRPr="00B702DD" w:rsidRDefault="00B702DD" w:rsidP="00B702DD">
      <w:pPr>
        <w:ind w:firstLineChars="0" w:firstLine="0"/>
        <w:rPr>
          <w:szCs w:val="24"/>
        </w:rPr>
      </w:pPr>
      <w:bookmarkStart w:id="1" w:name="_Hlk105072537"/>
      <w:r w:rsidRPr="00B702DD">
        <w:rPr>
          <w:szCs w:val="24"/>
        </w:rPr>
        <w:t>Lixin</w:t>
      </w:r>
      <w:r w:rsidRPr="00B702DD">
        <w:rPr>
          <w:rFonts w:hint="eastAsia"/>
          <w:szCs w:val="24"/>
        </w:rPr>
        <w:t xml:space="preserve"> </w:t>
      </w:r>
      <w:r w:rsidRPr="00B702DD">
        <w:rPr>
          <w:szCs w:val="24"/>
        </w:rPr>
        <w:t>Huo</w:t>
      </w:r>
      <w:r w:rsidRPr="00B702DD">
        <w:rPr>
          <w:szCs w:val="24"/>
          <w:vertAlign w:val="superscript"/>
        </w:rPr>
        <w:t>a, b, c, d</w:t>
      </w:r>
      <w:r w:rsidRPr="00B702DD">
        <w:rPr>
          <w:szCs w:val="24"/>
        </w:rPr>
        <w:t>, Anran Ma</w:t>
      </w:r>
      <w:r w:rsidRPr="00B702DD">
        <w:rPr>
          <w:szCs w:val="24"/>
          <w:vertAlign w:val="superscript"/>
        </w:rPr>
        <w:t>a, b, c, e</w:t>
      </w:r>
      <w:r w:rsidRPr="00B702DD">
        <w:rPr>
          <w:szCs w:val="24"/>
        </w:rPr>
        <w:t>, Hong Liu</w:t>
      </w:r>
      <w:r w:rsidRPr="00B702DD">
        <w:rPr>
          <w:szCs w:val="24"/>
          <w:vertAlign w:val="superscript"/>
        </w:rPr>
        <w:t>a, b, c, d</w:t>
      </w:r>
      <w:r w:rsidRPr="00B702DD">
        <w:rPr>
          <w:rStyle w:val="af0"/>
          <w:color w:val="0E101A"/>
          <w:szCs w:val="21"/>
        </w:rPr>
        <w:t xml:space="preserve"> *</w:t>
      </w:r>
      <w:r w:rsidRPr="00B702DD">
        <w:rPr>
          <w:szCs w:val="24"/>
        </w:rPr>
        <w:t>, Xingzu Wang</w:t>
      </w:r>
      <w:r w:rsidRPr="00B702DD">
        <w:rPr>
          <w:szCs w:val="24"/>
          <w:vertAlign w:val="superscript"/>
        </w:rPr>
        <w:t xml:space="preserve">a, b, c, d </w:t>
      </w:r>
      <w:r w:rsidRPr="00B702DD">
        <w:rPr>
          <w:rStyle w:val="af0"/>
          <w:b w:val="0"/>
          <w:bCs/>
          <w:color w:val="0E101A"/>
          <w:szCs w:val="21"/>
        </w:rPr>
        <w:t xml:space="preserve">*, Cheng Song </w:t>
      </w:r>
      <w:r w:rsidRPr="00B702DD">
        <w:rPr>
          <w:szCs w:val="24"/>
          <w:vertAlign w:val="superscript"/>
        </w:rPr>
        <w:t>a, c</w:t>
      </w:r>
    </w:p>
    <w:p w14:paraId="530099D7" w14:textId="77777777" w:rsidR="00B702DD" w:rsidRPr="00B702DD" w:rsidRDefault="00B702DD" w:rsidP="00B702DD">
      <w:pPr>
        <w:ind w:firstLineChars="0" w:firstLine="0"/>
        <w:rPr>
          <w:rStyle w:val="af0"/>
          <w:b w:val="0"/>
          <w:szCs w:val="24"/>
        </w:rPr>
      </w:pPr>
    </w:p>
    <w:bookmarkEnd w:id="1"/>
    <w:p w14:paraId="6C18552F" w14:textId="77777777" w:rsidR="00B702DD" w:rsidRPr="00B702DD" w:rsidRDefault="00B702DD" w:rsidP="00B702DD">
      <w:pPr>
        <w:widowControl/>
        <w:snapToGrid w:val="0"/>
        <w:spacing w:line="480" w:lineRule="auto"/>
        <w:ind w:firstLineChars="0" w:firstLine="0"/>
        <w:rPr>
          <w:rStyle w:val="af0"/>
          <w:b w:val="0"/>
          <w:bCs/>
          <w:color w:val="0E101A"/>
          <w:szCs w:val="21"/>
        </w:rPr>
      </w:pPr>
      <w:r w:rsidRPr="00B702DD">
        <w:rPr>
          <w:rStyle w:val="af0"/>
          <w:b w:val="0"/>
          <w:bCs/>
          <w:color w:val="0E101A"/>
          <w:szCs w:val="21"/>
          <w:vertAlign w:val="superscript"/>
        </w:rPr>
        <w:t xml:space="preserve">a </w:t>
      </w:r>
      <w:bookmarkStart w:id="2" w:name="OLE_LINK9"/>
      <w:r w:rsidRPr="00B702DD">
        <w:rPr>
          <w:rStyle w:val="af0"/>
          <w:b w:val="0"/>
          <w:bCs/>
          <w:color w:val="0E101A"/>
          <w:szCs w:val="21"/>
        </w:rPr>
        <w:t>Chongqing Institute of Green and Intelligent Technology,</w:t>
      </w:r>
      <w:r w:rsidRPr="00B702DD">
        <w:rPr>
          <w:rStyle w:val="af0"/>
          <w:b w:val="0"/>
          <w:bCs/>
          <w:color w:val="0E101A"/>
          <w:szCs w:val="21"/>
          <w:vertAlign w:val="superscript"/>
        </w:rPr>
        <w:t xml:space="preserve"> </w:t>
      </w:r>
      <w:r w:rsidRPr="00B702DD">
        <w:rPr>
          <w:rStyle w:val="af0"/>
          <w:b w:val="0"/>
          <w:bCs/>
          <w:color w:val="0E101A"/>
          <w:szCs w:val="21"/>
        </w:rPr>
        <w:t>Chinese Academy of Sciences, Chongqing, 400714, China</w:t>
      </w:r>
      <w:bookmarkEnd w:id="2"/>
    </w:p>
    <w:p w14:paraId="7C88D02D" w14:textId="77777777" w:rsidR="00B702DD" w:rsidRPr="00B702DD" w:rsidRDefault="00B702DD" w:rsidP="00B702DD">
      <w:pPr>
        <w:widowControl/>
        <w:snapToGrid w:val="0"/>
        <w:spacing w:line="480" w:lineRule="auto"/>
        <w:ind w:firstLineChars="0" w:firstLine="0"/>
        <w:rPr>
          <w:rStyle w:val="af0"/>
          <w:b w:val="0"/>
          <w:bCs/>
          <w:color w:val="0E101A"/>
          <w:szCs w:val="21"/>
        </w:rPr>
      </w:pPr>
      <w:r w:rsidRPr="00B702DD">
        <w:rPr>
          <w:rStyle w:val="af0"/>
          <w:b w:val="0"/>
          <w:bCs/>
          <w:color w:val="0E101A"/>
          <w:szCs w:val="21"/>
          <w:vertAlign w:val="superscript"/>
        </w:rPr>
        <w:t>b</w:t>
      </w:r>
      <w:r w:rsidRPr="00B702DD">
        <w:rPr>
          <w:rStyle w:val="af0"/>
          <w:b w:val="0"/>
          <w:bCs/>
          <w:color w:val="0E101A"/>
          <w:szCs w:val="21"/>
        </w:rPr>
        <w:t xml:space="preserve"> </w:t>
      </w:r>
      <w:r w:rsidRPr="00B702DD">
        <w:rPr>
          <w:rStyle w:val="af0"/>
          <w:rFonts w:hint="eastAsia"/>
          <w:b w:val="0"/>
          <w:bCs/>
          <w:color w:val="0E101A"/>
          <w:szCs w:val="21"/>
        </w:rPr>
        <w:t xml:space="preserve">Chongqing School, University of Chinese Academy of Sciences, College of </w:t>
      </w:r>
      <w:r w:rsidRPr="00B702DD">
        <w:rPr>
          <w:rStyle w:val="af0"/>
          <w:b w:val="0"/>
          <w:bCs/>
          <w:color w:val="0E101A"/>
          <w:szCs w:val="21"/>
        </w:rPr>
        <w:t>R</w:t>
      </w:r>
      <w:r w:rsidRPr="00B702DD">
        <w:rPr>
          <w:rStyle w:val="af0"/>
          <w:rFonts w:hint="eastAsia"/>
          <w:b w:val="0"/>
          <w:bCs/>
          <w:color w:val="0E101A"/>
          <w:szCs w:val="21"/>
        </w:rPr>
        <w:t xml:space="preserve">esources and </w:t>
      </w:r>
      <w:r w:rsidRPr="00B702DD">
        <w:rPr>
          <w:rStyle w:val="af0"/>
          <w:b w:val="0"/>
          <w:bCs/>
          <w:color w:val="0E101A"/>
          <w:szCs w:val="21"/>
        </w:rPr>
        <w:t>E</w:t>
      </w:r>
      <w:r w:rsidRPr="00B702DD">
        <w:rPr>
          <w:rStyle w:val="af0"/>
          <w:rFonts w:hint="eastAsia"/>
          <w:b w:val="0"/>
          <w:bCs/>
          <w:color w:val="0E101A"/>
          <w:szCs w:val="21"/>
        </w:rPr>
        <w:t>nvironment, Chongqing</w:t>
      </w:r>
      <w:r w:rsidRPr="00B702DD">
        <w:rPr>
          <w:rStyle w:val="af0"/>
          <w:b w:val="0"/>
          <w:bCs/>
          <w:color w:val="0E101A"/>
          <w:szCs w:val="21"/>
        </w:rPr>
        <w:t>,</w:t>
      </w:r>
      <w:r w:rsidRPr="00B702DD">
        <w:rPr>
          <w:rStyle w:val="af0"/>
          <w:rFonts w:hint="eastAsia"/>
          <w:b w:val="0"/>
          <w:bCs/>
          <w:color w:val="0E101A"/>
          <w:szCs w:val="21"/>
        </w:rPr>
        <w:t xml:space="preserve"> 400714, China</w:t>
      </w:r>
    </w:p>
    <w:p w14:paraId="27A741F7" w14:textId="77777777" w:rsidR="00B702DD" w:rsidRPr="00B702DD" w:rsidRDefault="00B702DD" w:rsidP="00B702DD">
      <w:pPr>
        <w:widowControl/>
        <w:snapToGrid w:val="0"/>
        <w:spacing w:line="480" w:lineRule="auto"/>
        <w:ind w:firstLineChars="0" w:firstLine="0"/>
        <w:rPr>
          <w:rStyle w:val="af0"/>
          <w:b w:val="0"/>
          <w:bCs/>
          <w:color w:val="0E101A"/>
          <w:szCs w:val="21"/>
        </w:rPr>
      </w:pPr>
      <w:r w:rsidRPr="00B702DD">
        <w:rPr>
          <w:rStyle w:val="af0"/>
          <w:b w:val="0"/>
          <w:bCs/>
          <w:color w:val="0E101A"/>
          <w:szCs w:val="21"/>
          <w:vertAlign w:val="superscript"/>
        </w:rPr>
        <w:t>c</w:t>
      </w:r>
      <w:r w:rsidRPr="00B702DD">
        <w:rPr>
          <w:rStyle w:val="af0"/>
          <w:rFonts w:hint="eastAsia"/>
          <w:b w:val="0"/>
          <w:bCs/>
          <w:color w:val="0E101A"/>
          <w:szCs w:val="21"/>
          <w:vertAlign w:val="superscript"/>
        </w:rPr>
        <w:t xml:space="preserve"> </w:t>
      </w:r>
      <w:r w:rsidRPr="00B702DD">
        <w:rPr>
          <w:rStyle w:val="af0"/>
          <w:b w:val="0"/>
          <w:bCs/>
          <w:color w:val="0E101A"/>
          <w:szCs w:val="21"/>
        </w:rPr>
        <w:t>Key Laboratory of Reservoir Aquatic Environment, Chinese Academy of Sciences, Chongqing, 400714, China</w:t>
      </w:r>
    </w:p>
    <w:p w14:paraId="569A5EB2" w14:textId="77777777" w:rsidR="00B702DD" w:rsidRPr="00B702DD" w:rsidRDefault="00B702DD" w:rsidP="00B702DD">
      <w:pPr>
        <w:widowControl/>
        <w:snapToGrid w:val="0"/>
        <w:spacing w:line="480" w:lineRule="auto"/>
        <w:ind w:firstLineChars="0" w:firstLine="0"/>
        <w:rPr>
          <w:rStyle w:val="af0"/>
          <w:b w:val="0"/>
          <w:bCs/>
          <w:color w:val="0E101A"/>
          <w:szCs w:val="21"/>
        </w:rPr>
      </w:pPr>
      <w:r w:rsidRPr="00B702DD">
        <w:rPr>
          <w:rFonts w:cs="Times New Roman"/>
          <w:bCs/>
          <w:szCs w:val="24"/>
          <w:vertAlign w:val="superscript"/>
        </w:rPr>
        <w:t>d</w:t>
      </w:r>
      <w:r w:rsidRPr="00B702DD">
        <w:rPr>
          <w:rFonts w:cs="Times New Roman"/>
          <w:bCs/>
          <w:szCs w:val="24"/>
        </w:rPr>
        <w:t xml:space="preserve"> University of</w:t>
      </w:r>
      <w:r w:rsidRPr="00B702DD">
        <w:rPr>
          <w:rFonts w:eastAsia="Times New Roman" w:cs="Times New Roman"/>
          <w:bCs/>
          <w:szCs w:val="24"/>
        </w:rPr>
        <w:t xml:space="preserve"> Chinese Academy of Sciences, Beijing, 1000</w:t>
      </w:r>
      <w:r w:rsidRPr="00B702DD">
        <w:rPr>
          <w:rFonts w:cs="Times New Roman"/>
          <w:bCs/>
          <w:szCs w:val="24"/>
        </w:rPr>
        <w:t>49</w:t>
      </w:r>
      <w:r w:rsidRPr="00B702DD">
        <w:rPr>
          <w:rFonts w:eastAsia="Times New Roman" w:cs="Times New Roman"/>
          <w:bCs/>
          <w:szCs w:val="24"/>
        </w:rPr>
        <w:t>, China</w:t>
      </w:r>
    </w:p>
    <w:p w14:paraId="7B2FB4D1" w14:textId="77777777" w:rsidR="00B702DD" w:rsidRPr="00B702DD" w:rsidRDefault="00B702DD" w:rsidP="00B702DD">
      <w:pPr>
        <w:widowControl/>
        <w:snapToGrid w:val="0"/>
        <w:spacing w:line="480" w:lineRule="auto"/>
        <w:ind w:firstLineChars="0" w:firstLine="0"/>
        <w:rPr>
          <w:rStyle w:val="af0"/>
          <w:b w:val="0"/>
          <w:bCs/>
          <w:color w:val="0E101A"/>
          <w:szCs w:val="21"/>
        </w:rPr>
      </w:pPr>
      <w:r w:rsidRPr="00B702DD">
        <w:rPr>
          <w:rStyle w:val="af0"/>
          <w:b w:val="0"/>
          <w:bCs/>
          <w:color w:val="0E101A"/>
          <w:szCs w:val="21"/>
          <w:vertAlign w:val="superscript"/>
        </w:rPr>
        <w:t>e</w:t>
      </w:r>
      <w:r w:rsidRPr="00B702DD">
        <w:rPr>
          <w:rStyle w:val="af0"/>
          <w:b w:val="0"/>
          <w:bCs/>
          <w:color w:val="0E101A"/>
          <w:szCs w:val="21"/>
        </w:rPr>
        <w:t xml:space="preserve"> Chongqing Jiaotong University, Chongqing, 400074, China</w:t>
      </w:r>
    </w:p>
    <w:p w14:paraId="062B022E" w14:textId="77777777" w:rsidR="002763BD" w:rsidRPr="00B702DD" w:rsidRDefault="002763BD" w:rsidP="002763BD">
      <w:pPr>
        <w:widowControl/>
        <w:snapToGrid w:val="0"/>
        <w:spacing w:line="480" w:lineRule="auto"/>
        <w:ind w:firstLineChars="0" w:firstLine="0"/>
        <w:rPr>
          <w:rStyle w:val="af0"/>
          <w:b w:val="0"/>
          <w:bCs/>
          <w:color w:val="0E101A"/>
          <w:szCs w:val="21"/>
          <w:vertAlign w:val="superscript"/>
        </w:rPr>
      </w:pPr>
    </w:p>
    <w:p w14:paraId="3AFF466C" w14:textId="77777777" w:rsidR="002763BD" w:rsidRPr="002763BD" w:rsidRDefault="002763BD" w:rsidP="002763BD">
      <w:pPr>
        <w:widowControl/>
        <w:snapToGrid w:val="0"/>
        <w:spacing w:line="480" w:lineRule="auto"/>
        <w:ind w:firstLineChars="0" w:firstLine="0"/>
        <w:rPr>
          <w:rStyle w:val="af0"/>
          <w:b w:val="0"/>
          <w:bCs/>
          <w:color w:val="0E101A"/>
          <w:szCs w:val="21"/>
        </w:rPr>
      </w:pPr>
      <w:r w:rsidRPr="002763BD">
        <w:rPr>
          <w:rStyle w:val="af0"/>
          <w:b w:val="0"/>
          <w:bCs/>
          <w:color w:val="0E101A"/>
          <w:szCs w:val="21"/>
        </w:rPr>
        <w:t xml:space="preserve">* </w:t>
      </w:r>
      <w:r w:rsidRPr="00917D66">
        <w:rPr>
          <w:rStyle w:val="af0"/>
          <w:color w:val="0E101A"/>
          <w:szCs w:val="21"/>
        </w:rPr>
        <w:t>Corresponding author:</w:t>
      </w:r>
      <w:r w:rsidRPr="002763BD">
        <w:rPr>
          <w:rStyle w:val="af0"/>
          <w:b w:val="0"/>
          <w:bCs/>
          <w:color w:val="0E101A"/>
          <w:szCs w:val="21"/>
        </w:rPr>
        <w:t xml:space="preserve"> No. 266 Fangzhen Avenue, Shuitu High-Tech Park, Beibei, Chongqing 400714, China.</w:t>
      </w:r>
    </w:p>
    <w:p w14:paraId="39BE2308" w14:textId="524247AA" w:rsidR="00CC1195" w:rsidRDefault="002763BD" w:rsidP="00F02588">
      <w:pPr>
        <w:widowControl/>
        <w:snapToGrid w:val="0"/>
        <w:spacing w:line="480" w:lineRule="auto"/>
        <w:ind w:firstLineChars="0" w:firstLine="0"/>
        <w:rPr>
          <w:b/>
          <w:bCs/>
        </w:rPr>
      </w:pPr>
      <w:r w:rsidRPr="002763BD">
        <w:rPr>
          <w:rStyle w:val="af0"/>
          <w:b w:val="0"/>
          <w:bCs/>
          <w:color w:val="0E101A"/>
          <w:szCs w:val="21"/>
        </w:rPr>
        <w:t>E-mail address:</w:t>
      </w:r>
      <w:r w:rsidRPr="002763BD">
        <w:rPr>
          <w:rStyle w:val="af0"/>
          <w:rFonts w:hint="eastAsia"/>
          <w:b w:val="0"/>
          <w:bCs/>
          <w:szCs w:val="21"/>
        </w:rPr>
        <w:t xml:space="preserve"> </w:t>
      </w:r>
      <w:r w:rsidRPr="002763BD">
        <w:rPr>
          <w:rStyle w:val="af0"/>
          <w:b w:val="0"/>
          <w:bCs/>
          <w:szCs w:val="21"/>
        </w:rPr>
        <w:t>liuhong@cigit.ac.cn (H. Liu), wangxingzu@cigit.ac.cn</w:t>
      </w:r>
      <w:r w:rsidRPr="002763BD">
        <w:rPr>
          <w:rStyle w:val="af0"/>
          <w:b w:val="0"/>
          <w:bCs/>
          <w:color w:val="0E101A"/>
          <w:szCs w:val="21"/>
        </w:rPr>
        <w:t xml:space="preserve"> (X. Wang)</w:t>
      </w:r>
      <w:r w:rsidR="00CC1195">
        <w:rPr>
          <w:b/>
          <w:bCs/>
        </w:rPr>
        <w:br w:type="page"/>
      </w:r>
    </w:p>
    <w:p w14:paraId="39835C54" w14:textId="5F0A4F9A" w:rsidR="002477E7" w:rsidRDefault="00801B5A" w:rsidP="006254D9">
      <w:pPr>
        <w:ind w:firstLineChars="0" w:firstLine="0"/>
        <w:rPr>
          <w:rFonts w:cs="Times New Roman"/>
          <w:b/>
          <w:bCs/>
          <w:szCs w:val="24"/>
        </w:rPr>
      </w:pPr>
      <w:r w:rsidRPr="00D124DB">
        <w:rPr>
          <w:rFonts w:cs="Times New Roman" w:hint="eastAsia"/>
          <w:b/>
          <w:bCs/>
          <w:szCs w:val="24"/>
        </w:rPr>
        <w:lastRenderedPageBreak/>
        <w:t>T</w:t>
      </w:r>
      <w:r w:rsidRPr="00D124DB">
        <w:rPr>
          <w:rFonts w:cs="Times New Roman"/>
          <w:b/>
          <w:bCs/>
          <w:szCs w:val="24"/>
        </w:rPr>
        <w:t>ext S1</w:t>
      </w:r>
      <w:r>
        <w:rPr>
          <w:rFonts w:cs="Times New Roman"/>
          <w:b/>
          <w:bCs/>
          <w:szCs w:val="24"/>
        </w:rPr>
        <w:t xml:space="preserve">. The </w:t>
      </w:r>
      <w:r w:rsidRPr="00801B5A">
        <w:rPr>
          <w:rFonts w:cs="Times New Roman"/>
          <w:b/>
          <w:bCs/>
          <w:szCs w:val="24"/>
        </w:rPr>
        <w:t>PCR amplification</w:t>
      </w:r>
      <w:r w:rsidR="00E0758F">
        <w:rPr>
          <w:rFonts w:cs="Times New Roman"/>
          <w:b/>
          <w:bCs/>
          <w:szCs w:val="24"/>
        </w:rPr>
        <w:t xml:space="preserve"> </w:t>
      </w:r>
      <w:r w:rsidR="00E0758F" w:rsidRPr="00E0758F">
        <w:rPr>
          <w:rFonts w:cs="Times New Roman"/>
          <w:b/>
          <w:bCs/>
          <w:szCs w:val="24"/>
        </w:rPr>
        <w:t xml:space="preserve">and </w:t>
      </w:r>
      <w:r w:rsidR="00E0758F" w:rsidRPr="00E0758F">
        <w:rPr>
          <w:b/>
          <w:bCs/>
        </w:rPr>
        <w:t>sequencing</w:t>
      </w:r>
      <w:r w:rsidRPr="00E0758F">
        <w:rPr>
          <w:rFonts w:cs="Times New Roman"/>
          <w:b/>
          <w:bCs/>
          <w:szCs w:val="24"/>
        </w:rPr>
        <w:t xml:space="preserve"> </w:t>
      </w:r>
      <w:r w:rsidR="00A83F9C" w:rsidRPr="00E0758F">
        <w:rPr>
          <w:rFonts w:cs="Times New Roman"/>
          <w:b/>
          <w:bCs/>
          <w:szCs w:val="24"/>
        </w:rPr>
        <w:t xml:space="preserve">of </w:t>
      </w:r>
      <w:r w:rsidR="00A83F9C" w:rsidRPr="00A83F9C">
        <w:rPr>
          <w:rFonts w:cs="Times New Roman"/>
          <w:b/>
          <w:bCs/>
          <w:szCs w:val="24"/>
        </w:rPr>
        <w:t xml:space="preserve">16S rRNA </w:t>
      </w:r>
      <w:r w:rsidR="00A83F9C">
        <w:rPr>
          <w:rFonts w:cs="Times New Roman"/>
          <w:b/>
          <w:bCs/>
          <w:szCs w:val="24"/>
        </w:rPr>
        <w:t xml:space="preserve">and </w:t>
      </w:r>
      <w:r w:rsidR="00A83F9C" w:rsidRPr="00A83F9C">
        <w:rPr>
          <w:rFonts w:cs="Times New Roman"/>
          <w:b/>
          <w:bCs/>
          <w:i/>
          <w:iCs/>
          <w:szCs w:val="24"/>
        </w:rPr>
        <w:t>pufM</w:t>
      </w:r>
      <w:r w:rsidR="00A83F9C">
        <w:rPr>
          <w:rFonts w:cs="Times New Roman"/>
          <w:b/>
          <w:bCs/>
          <w:szCs w:val="24"/>
        </w:rPr>
        <w:t xml:space="preserve"> gene</w:t>
      </w:r>
    </w:p>
    <w:p w14:paraId="11A71E76" w14:textId="4295CE0F" w:rsidR="002477E7" w:rsidRDefault="002477E7" w:rsidP="00576B0A">
      <w:pPr>
        <w:ind w:firstLine="480"/>
      </w:pPr>
      <w:r>
        <w:t>The</w:t>
      </w:r>
      <w:r w:rsidRPr="00080896">
        <w:t xml:space="preserve"> </w:t>
      </w:r>
      <w:r w:rsidRPr="009B4B88">
        <w:t>primer pairs</w:t>
      </w:r>
      <w:r>
        <w:t xml:space="preserve"> for</w:t>
      </w:r>
      <w:r w:rsidRPr="009B4B88">
        <w:t xml:space="preserve"> 16S rRNA gene</w:t>
      </w:r>
      <w:r>
        <w:t xml:space="preserve"> were: 515</w:t>
      </w:r>
      <w:r w:rsidRPr="009B4B88">
        <w:t>F (5'-</w:t>
      </w:r>
      <w:r w:rsidRPr="00E638AF">
        <w:t>GTGCCAGCMGCCGCGG</w:t>
      </w:r>
      <w:r w:rsidRPr="009B4B88">
        <w:t>-3')</w:t>
      </w:r>
      <w:r>
        <w:t>/907</w:t>
      </w:r>
      <w:r w:rsidRPr="009B4B88">
        <w:t>R</w:t>
      </w:r>
      <w:r>
        <w:t xml:space="preserve"> </w:t>
      </w:r>
      <w:r w:rsidRPr="009B4B88">
        <w:t>(5'-</w:t>
      </w:r>
      <w:r w:rsidRPr="00185EF4">
        <w:t xml:space="preserve"> CCGTCAATTCMTTTRAGTTT </w:t>
      </w:r>
      <w:r w:rsidRPr="009B4B88">
        <w:t>-3')</w:t>
      </w:r>
      <w:r>
        <w:t xml:space="preserve"> </w:t>
      </w:r>
      <w:r w:rsidR="00A67EBF">
        <w:rPr>
          <w:color w:val="ED7D31" w:themeColor="accent2"/>
        </w:rPr>
        <w:t>[1, 2]</w:t>
      </w:r>
      <w:r>
        <w:t>.</w:t>
      </w:r>
      <w:r w:rsidRPr="002477E7">
        <w:t xml:space="preserve"> </w:t>
      </w:r>
      <w:r w:rsidRPr="009B4B88">
        <w:t>The PCR mixtures contain 5 × TransStart FastPfu buffer 4</w:t>
      </w:r>
      <w:bookmarkStart w:id="3" w:name="OLE_LINK1"/>
      <w:r w:rsidRPr="00E02088">
        <w:rPr>
          <w:vertAlign w:val="superscript"/>
        </w:rPr>
        <w:t xml:space="preserve"> </w:t>
      </w:r>
      <w:bookmarkEnd w:id="3"/>
      <w:r w:rsidRPr="009B4B88">
        <w:t>μL, 2.5</w:t>
      </w:r>
      <w:r w:rsidR="00E02088">
        <w:rPr>
          <w:kern w:val="0"/>
          <w:vertAlign w:val="superscript"/>
        </w:rPr>
        <w:t xml:space="preserve"> </w:t>
      </w:r>
      <w:r w:rsidRPr="009B4B88">
        <w:t>mM dNTPs 2</w:t>
      </w:r>
      <w:r w:rsidR="00E02088">
        <w:t xml:space="preserve"> </w:t>
      </w:r>
      <w:r w:rsidRPr="009B4B88">
        <w:t>μL, forward primer (5μM) 0.8μL, reverse primer (5</w:t>
      </w:r>
      <w:bookmarkStart w:id="4" w:name="OLE_LINK2"/>
      <w:r w:rsidR="00E02088" w:rsidRPr="00E02088">
        <w:rPr>
          <w:vertAlign w:val="superscript"/>
        </w:rPr>
        <w:t xml:space="preserve"> </w:t>
      </w:r>
      <w:bookmarkEnd w:id="4"/>
      <w:r w:rsidRPr="009B4B88">
        <w:t xml:space="preserve">μM) 0.8μL, TransStart FastPfu DNA Polymerase 0.4μL, </w:t>
      </w:r>
      <w:r>
        <w:t>BSA 0.2</w:t>
      </w:r>
      <w:r w:rsidRPr="009B4B88">
        <w:t>μL</w:t>
      </w:r>
      <w:r>
        <w:t xml:space="preserve">, </w:t>
      </w:r>
      <w:r w:rsidRPr="009B4B88">
        <w:t>template DNA 10</w:t>
      </w:r>
      <w:r w:rsidR="00E02088">
        <w:rPr>
          <w:kern w:val="0"/>
          <w:vertAlign w:val="superscript"/>
        </w:rPr>
        <w:t xml:space="preserve"> </w:t>
      </w:r>
      <w:r w:rsidRPr="009B4B88">
        <w:t>ng, and finally ddH</w:t>
      </w:r>
      <w:r w:rsidRPr="00875728">
        <w:rPr>
          <w:vertAlign w:val="subscript"/>
        </w:rPr>
        <w:t>2</w:t>
      </w:r>
      <w:r w:rsidRPr="009B4B88">
        <w:t>O up to 20μL.</w:t>
      </w:r>
      <w:r w:rsidRPr="003D060C">
        <w:t xml:space="preserve"> </w:t>
      </w:r>
      <w:r w:rsidRPr="00C95290">
        <w:t>The PCR amplification</w:t>
      </w:r>
      <w:r>
        <w:t xml:space="preserve"> </w:t>
      </w:r>
      <w:r>
        <w:rPr>
          <w:rFonts w:hint="eastAsia"/>
        </w:rPr>
        <w:t>of</w:t>
      </w:r>
      <w:r w:rsidRPr="00C95290">
        <w:t xml:space="preserve"> 16S rRNA was performed as follows: initial denaturation at 95 ℃ for 3 min</w:t>
      </w:r>
      <w:r>
        <w:t>;</w:t>
      </w:r>
      <w:r w:rsidRPr="00C95290">
        <w:t xml:space="preserve"> followed by 27 cycles of denaturing at 95 ℃ for 30</w:t>
      </w:r>
      <w:r w:rsidR="00E02088">
        <w:rPr>
          <w:kern w:val="0"/>
          <w:vertAlign w:val="superscript"/>
        </w:rPr>
        <w:t xml:space="preserve"> </w:t>
      </w:r>
      <w:r w:rsidRPr="00C95290">
        <w:t>s, annealing at 55 ℃ for 30 s and extension at 72 ℃</w:t>
      </w:r>
      <w:r>
        <w:t xml:space="preserve"> </w:t>
      </w:r>
      <w:r w:rsidRPr="00C95290">
        <w:t>for 45</w:t>
      </w:r>
      <w:r w:rsidR="00E02088">
        <w:rPr>
          <w:kern w:val="0"/>
          <w:vertAlign w:val="superscript"/>
        </w:rPr>
        <w:t xml:space="preserve"> </w:t>
      </w:r>
      <w:r w:rsidRPr="00C95290">
        <w:t>s, and single extension at 72 ℃ for 10 min.</w:t>
      </w:r>
    </w:p>
    <w:p w14:paraId="5E3D99ED" w14:textId="47E69009" w:rsidR="0008580E" w:rsidRDefault="002477E7" w:rsidP="00576B0A">
      <w:pPr>
        <w:ind w:firstLine="480"/>
      </w:pPr>
      <w:r>
        <w:t>The</w:t>
      </w:r>
      <w:r w:rsidRPr="00080896">
        <w:t xml:space="preserve"> </w:t>
      </w:r>
      <w:r w:rsidRPr="009B4B88">
        <w:t>primer pairs</w:t>
      </w:r>
      <w:r>
        <w:t xml:space="preserve"> for</w:t>
      </w:r>
      <w:r w:rsidRPr="009B4B88">
        <w:t xml:space="preserve"> </w:t>
      </w:r>
      <w:r>
        <w:rPr>
          <w:i/>
          <w:iCs/>
          <w:kern w:val="0"/>
          <w:szCs w:val="24"/>
        </w:rPr>
        <w:t>pufM</w:t>
      </w:r>
      <w:r>
        <w:rPr>
          <w:kern w:val="0"/>
          <w:szCs w:val="24"/>
        </w:rPr>
        <w:t xml:space="preserve"> gene</w:t>
      </w:r>
      <w:r>
        <w:t xml:space="preserve"> were: </w:t>
      </w:r>
      <w:r w:rsidRPr="00956F92">
        <w:rPr>
          <w:i/>
          <w:iCs/>
        </w:rPr>
        <w:t>pufM</w:t>
      </w:r>
      <w:r w:rsidRPr="00956F92">
        <w:t>-557</w:t>
      </w:r>
      <w:r>
        <w:t>F</w:t>
      </w:r>
      <w:r w:rsidRPr="00956F92">
        <w:t xml:space="preserve"> (5`-CGCACCTGGACTGGAC-3`)</w:t>
      </w:r>
      <w:r>
        <w:t>/</w:t>
      </w:r>
      <w:r w:rsidRPr="00956F92">
        <w:rPr>
          <w:i/>
          <w:iCs/>
        </w:rPr>
        <w:t>pufM</w:t>
      </w:r>
      <w:r w:rsidRPr="00956F92">
        <w:t>-</w:t>
      </w:r>
      <w:r>
        <w:t>WAWR</w:t>
      </w:r>
      <w:r w:rsidRPr="00956F92">
        <w:t xml:space="preserve"> (5`- AYNGCRAACCACCANGCCCA -3`)</w:t>
      </w:r>
      <w:r>
        <w:t xml:space="preserve"> </w:t>
      </w:r>
      <w:r w:rsidR="00A67EBF">
        <w:rPr>
          <w:color w:val="ED7D31" w:themeColor="accent2"/>
        </w:rPr>
        <w:t>[3, 4]</w:t>
      </w:r>
      <w:r>
        <w:rPr>
          <w:rFonts w:hint="eastAsia"/>
        </w:rPr>
        <w:t>.</w:t>
      </w:r>
      <w:r>
        <w:t xml:space="preserve"> </w:t>
      </w:r>
      <w:bookmarkStart w:id="5" w:name="_Hlk106449036"/>
      <w:r w:rsidRPr="009B4B88">
        <w:t>The PCR mixtures contain 5 × TransStart FastPfu buffer 4</w:t>
      </w:r>
      <w:r w:rsidR="00E02088" w:rsidRPr="00E02088">
        <w:rPr>
          <w:vertAlign w:val="superscript"/>
        </w:rPr>
        <w:t xml:space="preserve"> </w:t>
      </w:r>
      <w:r w:rsidRPr="009B4B88">
        <w:t>μL, 2.5</w:t>
      </w:r>
      <w:r w:rsidRPr="00E02088">
        <w:rPr>
          <w:vertAlign w:val="superscript"/>
        </w:rPr>
        <w:t xml:space="preserve"> </w:t>
      </w:r>
      <w:r w:rsidRPr="009B4B88">
        <w:t>mM dNTPs 2</w:t>
      </w:r>
      <w:r w:rsidRPr="00E02088">
        <w:rPr>
          <w:vertAlign w:val="superscript"/>
        </w:rPr>
        <w:t xml:space="preserve"> </w:t>
      </w:r>
      <w:r w:rsidRPr="009B4B88">
        <w:t>μL, forward primer (5</w:t>
      </w:r>
      <w:r w:rsidRPr="00E02088">
        <w:rPr>
          <w:vertAlign w:val="superscript"/>
        </w:rPr>
        <w:t xml:space="preserve"> </w:t>
      </w:r>
      <w:r w:rsidRPr="009B4B88">
        <w:t>μM) 0.8</w:t>
      </w:r>
      <w:r w:rsidRPr="00E02088">
        <w:rPr>
          <w:vertAlign w:val="superscript"/>
        </w:rPr>
        <w:t xml:space="preserve"> </w:t>
      </w:r>
      <w:r w:rsidRPr="009B4B88">
        <w:t>μL, reverse primer (5</w:t>
      </w:r>
      <w:r w:rsidRPr="00E02088">
        <w:rPr>
          <w:vertAlign w:val="superscript"/>
        </w:rPr>
        <w:t xml:space="preserve"> </w:t>
      </w:r>
      <w:r w:rsidRPr="009B4B88">
        <w:t>μM) 0.8</w:t>
      </w:r>
      <w:r w:rsidRPr="00E02088">
        <w:rPr>
          <w:vertAlign w:val="superscript"/>
        </w:rPr>
        <w:t xml:space="preserve"> </w:t>
      </w:r>
      <w:r w:rsidRPr="009B4B88">
        <w:t>μL, TransStart FastPfu DNA Polymerase 0.4</w:t>
      </w:r>
      <w:r w:rsidRPr="00E02088">
        <w:rPr>
          <w:vertAlign w:val="superscript"/>
        </w:rPr>
        <w:t xml:space="preserve"> </w:t>
      </w:r>
      <w:r w:rsidRPr="009B4B88">
        <w:t xml:space="preserve">μL, </w:t>
      </w:r>
      <w:r>
        <w:t>BSA 0.2</w:t>
      </w:r>
      <w:r w:rsidR="00E02088" w:rsidRPr="00E02088">
        <w:rPr>
          <w:vertAlign w:val="superscript"/>
        </w:rPr>
        <w:t xml:space="preserve"> </w:t>
      </w:r>
      <w:r w:rsidRPr="009B4B88">
        <w:t>μL</w:t>
      </w:r>
      <w:r>
        <w:t xml:space="preserve">, </w:t>
      </w:r>
      <w:r w:rsidRPr="009B4B88">
        <w:t>template DNA 10</w:t>
      </w:r>
      <w:r w:rsidRPr="00E02088">
        <w:rPr>
          <w:vertAlign w:val="superscript"/>
        </w:rPr>
        <w:t xml:space="preserve"> </w:t>
      </w:r>
      <w:r w:rsidRPr="009B4B88">
        <w:t>ng, and finally ddH</w:t>
      </w:r>
      <w:r w:rsidRPr="00875728">
        <w:rPr>
          <w:vertAlign w:val="subscript"/>
        </w:rPr>
        <w:t>2</w:t>
      </w:r>
      <w:r w:rsidRPr="009B4B88">
        <w:t>O up to 20</w:t>
      </w:r>
      <w:r w:rsidRPr="00E02088">
        <w:rPr>
          <w:vertAlign w:val="superscript"/>
        </w:rPr>
        <w:t xml:space="preserve"> </w:t>
      </w:r>
      <w:r w:rsidRPr="009B4B88">
        <w:t>μL.</w:t>
      </w:r>
      <w:r w:rsidRPr="003D060C">
        <w:t xml:space="preserve"> </w:t>
      </w:r>
      <w:r w:rsidRPr="00C95290">
        <w:t>The PCR amplification</w:t>
      </w:r>
      <w:r>
        <w:t xml:space="preserve"> </w:t>
      </w:r>
      <w:r>
        <w:rPr>
          <w:rFonts w:hint="eastAsia"/>
        </w:rPr>
        <w:t>of</w:t>
      </w:r>
      <w:r w:rsidRPr="00C95290">
        <w:t xml:space="preserve"> 16S rRNA was performed as follows: initial denaturation at 95 ℃ for 3 min</w:t>
      </w:r>
      <w:r>
        <w:t>;</w:t>
      </w:r>
      <w:r w:rsidRPr="00C95290">
        <w:t xml:space="preserve"> followed by </w:t>
      </w:r>
      <w:r>
        <w:t>40</w:t>
      </w:r>
      <w:r w:rsidRPr="00C95290">
        <w:t xml:space="preserve"> cycles of denaturing at 95 ℃ for 30</w:t>
      </w:r>
      <w:r w:rsidRPr="00E02088">
        <w:rPr>
          <w:vertAlign w:val="superscript"/>
        </w:rPr>
        <w:t xml:space="preserve"> </w:t>
      </w:r>
      <w:r w:rsidRPr="00C95290">
        <w:t xml:space="preserve">s, annealing at </w:t>
      </w:r>
      <w:r>
        <w:t>40</w:t>
      </w:r>
      <w:r w:rsidRPr="00C95290">
        <w:t xml:space="preserve"> ℃ for 30 s and extension at 72 ℃</w:t>
      </w:r>
      <w:r>
        <w:t xml:space="preserve"> </w:t>
      </w:r>
      <w:r w:rsidRPr="00C95290">
        <w:t>for 45</w:t>
      </w:r>
      <w:r w:rsidRPr="00E02088">
        <w:rPr>
          <w:vertAlign w:val="superscript"/>
        </w:rPr>
        <w:t xml:space="preserve"> </w:t>
      </w:r>
      <w:r w:rsidRPr="00C95290">
        <w:t>s, and single extension at 72 ℃ for 10 min.</w:t>
      </w:r>
      <w:bookmarkEnd w:id="5"/>
    </w:p>
    <w:p w14:paraId="6CE819C4" w14:textId="7E3388DC" w:rsidR="0008580E" w:rsidRDefault="00E0758F" w:rsidP="0008580E">
      <w:pPr>
        <w:ind w:firstLine="480"/>
      </w:pPr>
      <w:r w:rsidRPr="00E0758F">
        <w:t>PCR products were extracted from 2% agarose gels and purified, and then measured by a Quantus™ Fluorometer (Promega, USA). According to the standard protocol of Majorbio Bio-Pharm Technology Co. Ltd (Shanghai, China), the purified amplicons were pooled in equimolar concentration on the Illumina Miseq PE300 platform (Illumina, San Diego, USA), and high-throughput sequencing was performed at the paired end.</w:t>
      </w:r>
      <w:r w:rsidR="002477E7" w:rsidRPr="00C95290">
        <w:t xml:space="preserve"> </w:t>
      </w:r>
    </w:p>
    <w:p w14:paraId="2CFA2CEC" w14:textId="1F315636" w:rsidR="00D705D2" w:rsidRPr="0008580E" w:rsidRDefault="00D705D2" w:rsidP="0008580E">
      <w:pPr>
        <w:ind w:firstLineChars="0" w:firstLine="0"/>
      </w:pPr>
      <w:r w:rsidRPr="00D124DB">
        <w:rPr>
          <w:rFonts w:cs="Times New Roman" w:hint="eastAsia"/>
          <w:b/>
          <w:bCs/>
          <w:szCs w:val="24"/>
        </w:rPr>
        <w:t>T</w:t>
      </w:r>
      <w:r w:rsidRPr="00D124DB">
        <w:rPr>
          <w:rFonts w:cs="Times New Roman"/>
          <w:b/>
          <w:bCs/>
          <w:szCs w:val="24"/>
        </w:rPr>
        <w:t>ext S</w:t>
      </w:r>
      <w:r>
        <w:rPr>
          <w:rFonts w:cs="Times New Roman"/>
          <w:b/>
          <w:bCs/>
          <w:szCs w:val="24"/>
        </w:rPr>
        <w:t xml:space="preserve">2. </w:t>
      </w:r>
      <w:r w:rsidRPr="00D705D2">
        <w:rPr>
          <w:rFonts w:cs="Times New Roman"/>
          <w:b/>
          <w:bCs/>
          <w:szCs w:val="24"/>
        </w:rPr>
        <w:t xml:space="preserve">Processing of sequencing data </w:t>
      </w:r>
    </w:p>
    <w:p w14:paraId="1BCF4E36" w14:textId="00A9265A" w:rsidR="00D705D2" w:rsidRDefault="00D705D2" w:rsidP="00D705D2">
      <w:pPr>
        <w:ind w:firstLine="480"/>
      </w:pPr>
      <w:r w:rsidRPr="00A10405">
        <w:t xml:space="preserve">The raw 16S rRNA </w:t>
      </w:r>
      <w:r>
        <w:t xml:space="preserve">and </w:t>
      </w:r>
      <w:r w:rsidRPr="001F2F0B">
        <w:rPr>
          <w:i/>
          <w:iCs/>
        </w:rPr>
        <w:t>pufM</w:t>
      </w:r>
      <w:r w:rsidRPr="00A10405">
        <w:t xml:space="preserve"> gene sequencing reads were demultiplexed, quality-filtered by </w:t>
      </w:r>
      <w:r>
        <w:t>F</w:t>
      </w:r>
      <w:r w:rsidRPr="00A10405">
        <w:t>astp version 0.20.0</w:t>
      </w:r>
      <w:r>
        <w:t xml:space="preserve"> </w:t>
      </w:r>
      <w:r w:rsidR="00A67EBF">
        <w:rPr>
          <w:color w:val="ED7D31" w:themeColor="accent2"/>
        </w:rPr>
        <w:t>[5]</w:t>
      </w:r>
      <w:r w:rsidRPr="00A10405">
        <w:t xml:space="preserve"> and merged by F</w:t>
      </w:r>
      <w:r>
        <w:t>lash</w:t>
      </w:r>
      <w:r w:rsidRPr="00A10405">
        <w:t xml:space="preserve"> version 1.2.7</w:t>
      </w:r>
      <w:r>
        <w:t xml:space="preserve"> </w:t>
      </w:r>
      <w:r w:rsidR="00A67EBF">
        <w:rPr>
          <w:color w:val="ED7D31" w:themeColor="accent2"/>
        </w:rPr>
        <w:t>[6]</w:t>
      </w:r>
      <w:r w:rsidRPr="00C92E84">
        <w:t xml:space="preserve"> with the following criteria:</w:t>
      </w:r>
      <w:r>
        <w:t xml:space="preserve"> </w:t>
      </w:r>
      <w:r w:rsidRPr="00C92E84">
        <w:t>(i) the 300</w:t>
      </w:r>
      <w:r w:rsidRPr="00E02088">
        <w:rPr>
          <w:vertAlign w:val="superscript"/>
        </w:rPr>
        <w:t xml:space="preserve"> </w:t>
      </w:r>
      <w:r w:rsidRPr="00C92E84">
        <w:t>bp reads were truncated at any site receiving an average quality score of</w:t>
      </w:r>
      <w:r w:rsidRPr="00E02088">
        <w:rPr>
          <w:vertAlign w:val="superscript"/>
        </w:rPr>
        <w:t xml:space="preserve"> </w:t>
      </w:r>
      <w:r w:rsidRPr="00C92E84">
        <w:t>&lt;</w:t>
      </w:r>
      <w:r w:rsidRPr="00E02088">
        <w:rPr>
          <w:vertAlign w:val="superscript"/>
        </w:rPr>
        <w:t xml:space="preserve"> </w:t>
      </w:r>
      <w:r w:rsidRPr="00C92E84">
        <w:t>20 over a 50</w:t>
      </w:r>
      <w:r w:rsidRPr="00E02088">
        <w:rPr>
          <w:vertAlign w:val="superscript"/>
        </w:rPr>
        <w:t xml:space="preserve"> </w:t>
      </w:r>
      <w:r w:rsidRPr="00C92E84">
        <w:t xml:space="preserve">bp sliding window, and </w:t>
      </w:r>
      <w:r>
        <w:t xml:space="preserve">discarding </w:t>
      </w:r>
      <w:r w:rsidRPr="00C92E84">
        <w:t>the truncated reads shorter than 50</w:t>
      </w:r>
      <w:r w:rsidRPr="00E02088">
        <w:rPr>
          <w:vertAlign w:val="superscript"/>
        </w:rPr>
        <w:t xml:space="preserve"> </w:t>
      </w:r>
      <w:r w:rsidRPr="00C92E84">
        <w:t xml:space="preserve">bp </w:t>
      </w:r>
      <w:r>
        <w:t>and</w:t>
      </w:r>
      <w:r w:rsidRPr="00C92E84">
        <w:t xml:space="preserve"> ambiguous characters </w:t>
      </w:r>
      <w:r>
        <w:t>of reads</w:t>
      </w:r>
      <w:r w:rsidRPr="00C92E84">
        <w:t>;</w:t>
      </w:r>
      <w:r>
        <w:t xml:space="preserve"> </w:t>
      </w:r>
      <w:r w:rsidRPr="00C92E84">
        <w:t>(ii)</w:t>
      </w:r>
      <w:r>
        <w:t xml:space="preserve"> </w:t>
      </w:r>
      <w:r w:rsidRPr="00711ACE">
        <w:t>only overlapping sequences longer than 10</w:t>
      </w:r>
      <w:r w:rsidRPr="00E02088">
        <w:rPr>
          <w:vertAlign w:val="superscript"/>
        </w:rPr>
        <w:t xml:space="preserve"> </w:t>
      </w:r>
      <w:r w:rsidRPr="00711ACE">
        <w:t>bp were assembled</w:t>
      </w:r>
      <w:r>
        <w:t>.</w:t>
      </w:r>
      <w:r w:rsidRPr="00711ACE">
        <w:t xml:space="preserve"> Reads that could not be assembled were discarded</w:t>
      </w:r>
      <w:r>
        <w:t xml:space="preserve">; </w:t>
      </w:r>
      <w:r w:rsidRPr="001C7C12">
        <w:t>(iii)</w:t>
      </w:r>
      <w:r>
        <w:t xml:space="preserve"> </w:t>
      </w:r>
      <w:r w:rsidRPr="00AB76C4">
        <w:t xml:space="preserve">Samples were distinguished </w:t>
      </w:r>
      <w:r>
        <w:t xml:space="preserve">by </w:t>
      </w:r>
      <w:r w:rsidRPr="00AB76C4">
        <w:t xml:space="preserve">according to </w:t>
      </w:r>
      <w:r w:rsidRPr="00AB76C4">
        <w:lastRenderedPageBreak/>
        <w:t xml:space="preserve">the barcode and primers, and the sequence direction was adjusted, exact barcode matching, </w:t>
      </w:r>
      <w:r>
        <w:t>two</w:t>
      </w:r>
      <w:r w:rsidRPr="00AB76C4">
        <w:t xml:space="preserve"> nucleotide mismatch in primer matching</w:t>
      </w:r>
      <w:r>
        <w:t xml:space="preserve">. </w:t>
      </w:r>
      <w:r w:rsidRPr="00A10405">
        <w:t xml:space="preserve">Operational </w:t>
      </w:r>
      <w:r>
        <w:t>T</w:t>
      </w:r>
      <w:r w:rsidRPr="00A10405">
        <w:t xml:space="preserve">axonomic </w:t>
      </w:r>
      <w:r>
        <w:t>U</w:t>
      </w:r>
      <w:r w:rsidRPr="00A10405">
        <w:t>nits (OTUs) with 97% similarity cutoff</w:t>
      </w:r>
      <w:r>
        <w:t xml:space="preserve"> </w:t>
      </w:r>
      <w:r w:rsidRPr="00A10405">
        <w:t xml:space="preserve">were clustered using </w:t>
      </w:r>
      <w:r w:rsidRPr="00E03630">
        <w:t>UPARSE version 7.1</w:t>
      </w:r>
      <w:r w:rsidRPr="00A10405">
        <w:t>, and chimeric sequences were identified and removed.</w:t>
      </w:r>
    </w:p>
    <w:p w14:paraId="1D55C5FE" w14:textId="77777777" w:rsidR="0008580E" w:rsidRDefault="0008580E" w:rsidP="00D705D2">
      <w:pPr>
        <w:ind w:firstLineChars="0" w:firstLine="0"/>
      </w:pPr>
    </w:p>
    <w:p w14:paraId="5C9280B7" w14:textId="0F5725E7" w:rsidR="0071163D" w:rsidRPr="0008580E" w:rsidRDefault="0071163D" w:rsidP="00D705D2">
      <w:pPr>
        <w:ind w:firstLineChars="0" w:firstLine="0"/>
      </w:pPr>
      <w:r w:rsidRPr="00D124DB">
        <w:rPr>
          <w:rFonts w:cs="Times New Roman" w:hint="eastAsia"/>
          <w:b/>
          <w:bCs/>
          <w:szCs w:val="24"/>
        </w:rPr>
        <w:t>T</w:t>
      </w:r>
      <w:r w:rsidRPr="00D124DB">
        <w:rPr>
          <w:rFonts w:cs="Times New Roman"/>
          <w:b/>
          <w:bCs/>
          <w:szCs w:val="24"/>
        </w:rPr>
        <w:t>ext S</w:t>
      </w:r>
      <w:r w:rsidR="00497053">
        <w:rPr>
          <w:rFonts w:cs="Times New Roman"/>
          <w:b/>
          <w:bCs/>
          <w:szCs w:val="24"/>
        </w:rPr>
        <w:t>3</w:t>
      </w:r>
      <w:r>
        <w:rPr>
          <w:rFonts w:cs="Times New Roman"/>
          <w:b/>
          <w:bCs/>
          <w:szCs w:val="24"/>
        </w:rPr>
        <w:t xml:space="preserve">. The </w:t>
      </w:r>
      <w:r w:rsidRPr="0071163D">
        <w:rPr>
          <w:rFonts w:cs="Times New Roman"/>
          <w:b/>
          <w:bCs/>
          <w:szCs w:val="24"/>
        </w:rPr>
        <w:t>qPCR</w:t>
      </w:r>
      <w:r>
        <w:rPr>
          <w:rFonts w:cs="Times New Roman"/>
          <w:b/>
          <w:bCs/>
          <w:szCs w:val="24"/>
        </w:rPr>
        <w:t xml:space="preserve"> of</w:t>
      </w:r>
      <w:r w:rsidRPr="0071163D">
        <w:rPr>
          <w:rFonts w:cs="Times New Roman"/>
          <w:b/>
          <w:bCs/>
          <w:szCs w:val="24"/>
        </w:rPr>
        <w:t xml:space="preserve"> </w:t>
      </w:r>
      <w:r w:rsidRPr="0071163D">
        <w:rPr>
          <w:rFonts w:cs="Times New Roman"/>
          <w:b/>
          <w:bCs/>
          <w:i/>
          <w:iCs/>
          <w:szCs w:val="24"/>
        </w:rPr>
        <w:t>pufM</w:t>
      </w:r>
      <w:r w:rsidRPr="0071163D">
        <w:rPr>
          <w:rFonts w:cs="Times New Roman"/>
          <w:b/>
          <w:bCs/>
          <w:szCs w:val="24"/>
        </w:rPr>
        <w:t xml:space="preserve"> gene </w:t>
      </w:r>
    </w:p>
    <w:p w14:paraId="3D34166B" w14:textId="6956090D" w:rsidR="0008580E" w:rsidRDefault="0071163D" w:rsidP="0071163D">
      <w:pPr>
        <w:ind w:firstLine="480"/>
      </w:pPr>
      <w:r w:rsidRPr="0071163D">
        <w:t>The assay mixture contained 2×</w:t>
      </w:r>
      <w:r w:rsidRPr="00E02088">
        <w:rPr>
          <w:vertAlign w:val="superscript"/>
        </w:rPr>
        <w:t xml:space="preserve"> </w:t>
      </w:r>
      <w:r w:rsidRPr="0071163D">
        <w:t>ChamQ SYBR Color qPCR Master Mix 10</w:t>
      </w:r>
      <w:r w:rsidRPr="00E02088">
        <w:rPr>
          <w:vertAlign w:val="superscript"/>
        </w:rPr>
        <w:t xml:space="preserve"> </w:t>
      </w:r>
      <w:r w:rsidRPr="0071163D">
        <w:t>μL, 0.8</w:t>
      </w:r>
      <w:r w:rsidRPr="00E02088">
        <w:rPr>
          <w:vertAlign w:val="superscript"/>
        </w:rPr>
        <w:t xml:space="preserve"> </w:t>
      </w:r>
      <w:r w:rsidRPr="0071163D">
        <w:t>μL of forward and reverse primer (5</w:t>
      </w:r>
      <w:r w:rsidRPr="00E02088">
        <w:rPr>
          <w:vertAlign w:val="superscript"/>
        </w:rPr>
        <w:t xml:space="preserve"> </w:t>
      </w:r>
      <w:r w:rsidRPr="0071163D">
        <w:t>μM), 50× ROX Reference Dye 1 0.4</w:t>
      </w:r>
      <w:r w:rsidRPr="00E02088">
        <w:rPr>
          <w:vertAlign w:val="superscript"/>
        </w:rPr>
        <w:t xml:space="preserve"> </w:t>
      </w:r>
      <w:r w:rsidRPr="0071163D">
        <w:t>μL, 2</w:t>
      </w:r>
      <w:r w:rsidRPr="00E02088">
        <w:rPr>
          <w:vertAlign w:val="superscript"/>
        </w:rPr>
        <w:t xml:space="preserve"> </w:t>
      </w:r>
      <w:r w:rsidRPr="0071163D">
        <w:t>μL of template DNA, and 6</w:t>
      </w:r>
      <w:r w:rsidRPr="00E02088">
        <w:rPr>
          <w:vertAlign w:val="superscript"/>
        </w:rPr>
        <w:t xml:space="preserve"> </w:t>
      </w:r>
      <w:r w:rsidRPr="0071163D">
        <w:t>μL of ddH</w:t>
      </w:r>
      <w:r w:rsidRPr="0071163D">
        <w:rPr>
          <w:vertAlign w:val="subscript"/>
        </w:rPr>
        <w:t>2</w:t>
      </w:r>
      <w:r w:rsidRPr="0071163D">
        <w:t xml:space="preserve">O. Thermal cycling conditions for the </w:t>
      </w:r>
      <w:r w:rsidRPr="00E02088">
        <w:rPr>
          <w:i/>
          <w:iCs/>
        </w:rPr>
        <w:t>pufM</w:t>
      </w:r>
      <w:r w:rsidRPr="0071163D">
        <w:t xml:space="preserve"> gene were as follows: an in</w:t>
      </w:r>
      <w:r w:rsidRPr="0071163D">
        <w:rPr>
          <w:rFonts w:hint="eastAsia"/>
        </w:rPr>
        <w:t xml:space="preserve">itial cycle of 95 </w:t>
      </w:r>
      <w:r w:rsidRPr="0071163D">
        <w:rPr>
          <w:rFonts w:hint="eastAsia"/>
        </w:rPr>
        <w:t>℃</w:t>
      </w:r>
      <w:r w:rsidRPr="0071163D">
        <w:rPr>
          <w:rFonts w:hint="eastAsia"/>
        </w:rPr>
        <w:t xml:space="preserve"> for 3 min; followed by 40 cycles of denaturing at 95 </w:t>
      </w:r>
      <w:r w:rsidRPr="0071163D">
        <w:rPr>
          <w:rFonts w:hint="eastAsia"/>
        </w:rPr>
        <w:t>℃</w:t>
      </w:r>
      <w:r w:rsidRPr="0071163D">
        <w:rPr>
          <w:rFonts w:hint="eastAsia"/>
        </w:rPr>
        <w:t xml:space="preserve"> for 5</w:t>
      </w:r>
      <w:r w:rsidRPr="00E02088">
        <w:rPr>
          <w:rFonts w:hint="eastAsia"/>
          <w:vertAlign w:val="superscript"/>
        </w:rPr>
        <w:t xml:space="preserve"> </w:t>
      </w:r>
      <w:r w:rsidRPr="0071163D">
        <w:rPr>
          <w:rFonts w:hint="eastAsia"/>
        </w:rPr>
        <w:t xml:space="preserve">s, annealing at 58 </w:t>
      </w:r>
      <w:r w:rsidRPr="0071163D">
        <w:rPr>
          <w:rFonts w:hint="eastAsia"/>
        </w:rPr>
        <w:t>℃</w:t>
      </w:r>
      <w:r w:rsidRPr="0071163D">
        <w:rPr>
          <w:rFonts w:hint="eastAsia"/>
        </w:rPr>
        <w:t xml:space="preserve"> for 30</w:t>
      </w:r>
      <w:r w:rsidRPr="00E02088">
        <w:rPr>
          <w:rFonts w:hint="eastAsia"/>
          <w:vertAlign w:val="superscript"/>
        </w:rPr>
        <w:t xml:space="preserve"> </w:t>
      </w:r>
      <w:r w:rsidRPr="0071163D">
        <w:rPr>
          <w:rFonts w:hint="eastAsia"/>
        </w:rPr>
        <w:t xml:space="preserve">s and extension at 72 </w:t>
      </w:r>
      <w:r w:rsidRPr="0071163D">
        <w:rPr>
          <w:rFonts w:hint="eastAsia"/>
        </w:rPr>
        <w:t>℃</w:t>
      </w:r>
      <w:r w:rsidRPr="0071163D">
        <w:rPr>
          <w:rFonts w:hint="eastAsia"/>
        </w:rPr>
        <w:t xml:space="preserve"> for 60</w:t>
      </w:r>
      <w:r w:rsidRPr="00E02088">
        <w:rPr>
          <w:rFonts w:hint="eastAsia"/>
          <w:vertAlign w:val="superscript"/>
        </w:rPr>
        <w:t xml:space="preserve"> </w:t>
      </w:r>
      <w:r w:rsidRPr="0071163D">
        <w:rPr>
          <w:rFonts w:hint="eastAsia"/>
        </w:rPr>
        <w:t xml:space="preserve">s. </w:t>
      </w:r>
    </w:p>
    <w:p w14:paraId="48CE6BBA" w14:textId="77777777" w:rsidR="0008580E" w:rsidRDefault="0008580E" w:rsidP="0008580E">
      <w:pPr>
        <w:ind w:firstLineChars="0" w:firstLine="0"/>
      </w:pPr>
    </w:p>
    <w:p w14:paraId="040C65EC" w14:textId="479C0DE9" w:rsidR="0008580E" w:rsidRPr="0008580E" w:rsidRDefault="0008580E" w:rsidP="0008580E">
      <w:pPr>
        <w:ind w:firstLineChars="0" w:firstLine="0"/>
      </w:pPr>
      <w:r w:rsidRPr="00D124DB">
        <w:rPr>
          <w:rFonts w:cs="Times New Roman" w:hint="eastAsia"/>
          <w:b/>
          <w:bCs/>
          <w:szCs w:val="24"/>
        </w:rPr>
        <w:t>T</w:t>
      </w:r>
      <w:r w:rsidRPr="00D124DB">
        <w:rPr>
          <w:rFonts w:cs="Times New Roman"/>
          <w:b/>
          <w:bCs/>
          <w:szCs w:val="24"/>
        </w:rPr>
        <w:t>ext S</w:t>
      </w:r>
      <w:r>
        <w:rPr>
          <w:rFonts w:cs="Times New Roman"/>
          <w:b/>
          <w:bCs/>
          <w:szCs w:val="24"/>
        </w:rPr>
        <w:t>4. The null model analysis</w:t>
      </w:r>
    </w:p>
    <w:p w14:paraId="40D6966C" w14:textId="41C2F2CA" w:rsidR="00801B5A" w:rsidRPr="00F02588" w:rsidRDefault="0008580E" w:rsidP="00F02588">
      <w:pPr>
        <w:ind w:firstLine="480"/>
        <w:rPr>
          <w:rFonts w:cs="Times New Roman"/>
          <w:b/>
          <w:bCs/>
          <w:szCs w:val="24"/>
        </w:rPr>
      </w:pPr>
      <w:r w:rsidRPr="00EB0F4E">
        <w:rPr>
          <w:color w:val="000000" w:themeColor="text1"/>
        </w:rPr>
        <w:t>For null model analysis, the process governing community assembly was identified based on the βNTI and Raup-Crick metric (RC). The fraction of pairwise comparisons with βNTI</w:t>
      </w:r>
      <w:r w:rsidRPr="00E02088">
        <w:rPr>
          <w:color w:val="000000" w:themeColor="text1"/>
          <w:vertAlign w:val="superscript"/>
        </w:rPr>
        <w:t xml:space="preserve"> </w:t>
      </w:r>
      <w:r>
        <w:rPr>
          <w:color w:val="000000" w:themeColor="text1"/>
        </w:rPr>
        <w:t>&gt;</w:t>
      </w:r>
      <w:r w:rsidRPr="00E02088">
        <w:rPr>
          <w:color w:val="000000" w:themeColor="text1"/>
          <w:vertAlign w:val="superscript"/>
        </w:rPr>
        <w:t xml:space="preserve"> </w:t>
      </w:r>
      <w:r w:rsidRPr="00EB0F4E">
        <w:rPr>
          <w:color w:val="000000" w:themeColor="text1"/>
        </w:rPr>
        <w:t>2 was considered as the percentages of heterogeneous selection, whereas those with βNTI</w:t>
      </w:r>
      <w:r w:rsidRPr="00E02088">
        <w:rPr>
          <w:color w:val="000000" w:themeColor="text1"/>
          <w:vertAlign w:val="superscript"/>
        </w:rPr>
        <w:t xml:space="preserve"> </w:t>
      </w:r>
      <w:r>
        <w:rPr>
          <w:color w:val="000000" w:themeColor="text1"/>
        </w:rPr>
        <w:t>&lt;</w:t>
      </w:r>
      <w:r w:rsidRPr="00E02088">
        <w:rPr>
          <w:color w:val="000000" w:themeColor="text1"/>
          <w:vertAlign w:val="superscript"/>
        </w:rPr>
        <w:t xml:space="preserve"> </w:t>
      </w:r>
      <w:r>
        <w:rPr>
          <w:color w:val="000000" w:themeColor="text1"/>
        </w:rPr>
        <w:t>-</w:t>
      </w:r>
      <w:r w:rsidRPr="00EB0F4E">
        <w:rPr>
          <w:color w:val="000000" w:themeColor="text1"/>
        </w:rPr>
        <w:t>2 as the percentages of h</w:t>
      </w:r>
      <w:r>
        <w:rPr>
          <w:color w:val="000000" w:themeColor="text1"/>
        </w:rPr>
        <w:t>om</w:t>
      </w:r>
      <w:r w:rsidRPr="00EB0F4E">
        <w:rPr>
          <w:color w:val="000000" w:themeColor="text1"/>
        </w:rPr>
        <w:t>ogeneous selection</w:t>
      </w:r>
      <w:r>
        <w:rPr>
          <w:color w:val="000000" w:themeColor="text1"/>
        </w:rPr>
        <w:t xml:space="preserve">, </w:t>
      </w:r>
      <w:r w:rsidRPr="00CF4DF6">
        <w:rPr>
          <w:color w:val="000000" w:themeColor="text1"/>
        </w:rPr>
        <w:t>both these selections are deterministic processes</w:t>
      </w:r>
      <w:r w:rsidRPr="00EB0F4E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EB0F4E">
        <w:rPr>
          <w:color w:val="000000" w:themeColor="text1"/>
        </w:rPr>
        <w:t>Next, taxonomic diversity metric RC was used to partition the remaining</w:t>
      </w:r>
      <w:r>
        <w:rPr>
          <w:color w:val="000000" w:themeColor="text1"/>
        </w:rPr>
        <w:t xml:space="preserve"> </w:t>
      </w:r>
      <w:r w:rsidRPr="00EB0F4E">
        <w:rPr>
          <w:rFonts w:hint="eastAsia"/>
          <w:color w:val="000000" w:themeColor="text1"/>
        </w:rPr>
        <w:t>pairwise comparison with |</w:t>
      </w:r>
      <w:r w:rsidRPr="00EB0F4E">
        <w:rPr>
          <w:color w:val="000000" w:themeColor="text1"/>
        </w:rPr>
        <w:t>βNTI</w:t>
      </w:r>
      <w:r w:rsidRPr="00EB0F4E">
        <w:rPr>
          <w:rFonts w:hint="eastAsia"/>
          <w:color w:val="000000" w:themeColor="text1"/>
        </w:rPr>
        <w:t>|</w:t>
      </w:r>
      <w:r w:rsidRPr="00E02088">
        <w:rPr>
          <w:rFonts w:hint="eastAsia"/>
          <w:color w:val="000000" w:themeColor="text1"/>
          <w:vertAlign w:val="superscript"/>
        </w:rPr>
        <w:t xml:space="preserve"> </w:t>
      </w:r>
      <w:r w:rsidRPr="0090011A">
        <w:rPr>
          <w:rFonts w:cs="Times New Roman"/>
          <w:color w:val="000000" w:themeColor="text1"/>
        </w:rPr>
        <w:t>≤</w:t>
      </w:r>
      <w:r w:rsidRPr="00E02088">
        <w:rPr>
          <w:rFonts w:cs="Times New Roman"/>
          <w:color w:val="000000" w:themeColor="text1"/>
          <w:vertAlign w:val="superscript"/>
        </w:rPr>
        <w:t xml:space="preserve"> </w:t>
      </w:r>
      <w:r w:rsidRPr="00EB0F4E">
        <w:rPr>
          <w:rFonts w:hint="eastAsia"/>
          <w:color w:val="000000" w:themeColor="text1"/>
        </w:rPr>
        <w:t>2.</w:t>
      </w:r>
      <w:r>
        <w:rPr>
          <w:color w:val="000000" w:themeColor="text1"/>
        </w:rPr>
        <w:t xml:space="preserve"> </w:t>
      </w:r>
      <w:r w:rsidRPr="00EB0F4E">
        <w:rPr>
          <w:rFonts w:hint="eastAsia"/>
          <w:color w:val="000000" w:themeColor="text1"/>
        </w:rPr>
        <w:t>|</w:t>
      </w:r>
      <w:r w:rsidRPr="00EB0F4E">
        <w:rPr>
          <w:color w:val="000000" w:themeColor="text1"/>
        </w:rPr>
        <w:t>βNTI</w:t>
      </w:r>
      <w:r w:rsidRPr="00EB0F4E">
        <w:rPr>
          <w:rFonts w:hint="eastAsia"/>
          <w:color w:val="000000" w:themeColor="text1"/>
        </w:rPr>
        <w:t>|</w:t>
      </w:r>
      <w:r w:rsidRPr="00E02088">
        <w:rPr>
          <w:rFonts w:hint="eastAsia"/>
          <w:color w:val="000000" w:themeColor="text1"/>
          <w:vertAlign w:val="superscript"/>
        </w:rPr>
        <w:t xml:space="preserve"> </w:t>
      </w:r>
      <w:r w:rsidRPr="0090011A">
        <w:rPr>
          <w:rFonts w:cs="Times New Roman"/>
          <w:color w:val="000000" w:themeColor="text1"/>
        </w:rPr>
        <w:t>≤</w:t>
      </w:r>
      <w:r w:rsidRPr="00E02088">
        <w:rPr>
          <w:rFonts w:cs="Times New Roman"/>
          <w:color w:val="000000" w:themeColor="text1"/>
          <w:vertAlign w:val="superscript"/>
        </w:rPr>
        <w:t xml:space="preserve"> </w:t>
      </w:r>
      <w:r w:rsidRPr="00EB0F4E">
        <w:rPr>
          <w:rFonts w:hint="eastAsia"/>
          <w:color w:val="000000" w:themeColor="text1"/>
        </w:rPr>
        <w:t>2</w:t>
      </w:r>
      <w:r>
        <w:rPr>
          <w:color w:val="000000" w:themeColor="text1"/>
        </w:rPr>
        <w:t xml:space="preserve"> is belonged to </w:t>
      </w:r>
      <w:r w:rsidRPr="002D747D">
        <w:rPr>
          <w:color w:val="000000" w:themeColor="text1"/>
        </w:rPr>
        <w:t>stochastic processes</w:t>
      </w:r>
      <w:r>
        <w:rPr>
          <w:color w:val="000000" w:themeColor="text1"/>
        </w:rPr>
        <w:t xml:space="preserve">, which </w:t>
      </w:r>
      <w:r w:rsidRPr="002D747D">
        <w:rPr>
          <w:color w:val="000000" w:themeColor="text1"/>
        </w:rPr>
        <w:t>could be classified</w:t>
      </w:r>
      <w:r>
        <w:rPr>
          <w:rFonts w:hint="eastAsia"/>
          <w:color w:val="000000" w:themeColor="text1"/>
        </w:rPr>
        <w:t xml:space="preserve"> </w:t>
      </w:r>
      <w:r w:rsidRPr="002D747D">
        <w:rPr>
          <w:color w:val="000000" w:themeColor="text1"/>
        </w:rPr>
        <w:t>into 3 ecological processes: homogenizing dispersal (</w:t>
      </w:r>
      <w:r w:rsidRPr="00EB0F4E">
        <w:rPr>
          <w:rFonts w:hint="eastAsia"/>
          <w:color w:val="000000" w:themeColor="text1"/>
        </w:rPr>
        <w:t>RC</w:t>
      </w:r>
      <w:r w:rsidRPr="00E02088">
        <w:rPr>
          <w:rFonts w:hint="eastAsia"/>
          <w:color w:val="000000" w:themeColor="text1"/>
          <w:vertAlign w:val="superscript"/>
        </w:rPr>
        <w:t xml:space="preserve"> </w:t>
      </w:r>
      <w:r>
        <w:rPr>
          <w:color w:val="000000" w:themeColor="text1"/>
        </w:rPr>
        <w:t>&lt;</w:t>
      </w:r>
      <w:r w:rsidRPr="00E02088">
        <w:rPr>
          <w:rFonts w:hint="eastAsia"/>
          <w:color w:val="000000" w:themeColor="text1"/>
          <w:vertAlign w:val="superscript"/>
        </w:rPr>
        <w:t xml:space="preserve"> </w:t>
      </w:r>
      <w:r w:rsidRPr="00EB0F4E">
        <w:rPr>
          <w:rFonts w:hint="eastAsia"/>
          <w:color w:val="000000" w:themeColor="text1"/>
        </w:rPr>
        <w:t>0.95</w:t>
      </w:r>
      <w:r w:rsidRPr="002D747D">
        <w:rPr>
          <w:color w:val="000000" w:themeColor="text1"/>
        </w:rPr>
        <w:t>),</w:t>
      </w:r>
      <w:r>
        <w:rPr>
          <w:rFonts w:hint="eastAsia"/>
          <w:color w:val="000000" w:themeColor="text1"/>
        </w:rPr>
        <w:t xml:space="preserve"> </w:t>
      </w:r>
      <w:r w:rsidRPr="002D747D">
        <w:rPr>
          <w:color w:val="000000" w:themeColor="text1"/>
        </w:rPr>
        <w:t>dispersal limitation (</w:t>
      </w:r>
      <w:r w:rsidRPr="00EB0F4E">
        <w:rPr>
          <w:rFonts w:hint="eastAsia"/>
          <w:color w:val="000000" w:themeColor="text1"/>
        </w:rPr>
        <w:t>RC</w:t>
      </w:r>
      <w:r w:rsidRPr="00E02088">
        <w:rPr>
          <w:rFonts w:hint="eastAsia"/>
          <w:color w:val="000000" w:themeColor="text1"/>
          <w:vertAlign w:val="superscript"/>
        </w:rPr>
        <w:t xml:space="preserve"> </w:t>
      </w:r>
      <w:r>
        <w:rPr>
          <w:color w:val="000000" w:themeColor="text1"/>
        </w:rPr>
        <w:t>&gt;</w:t>
      </w:r>
      <w:r w:rsidRPr="00E02088">
        <w:rPr>
          <w:rFonts w:hint="eastAsia"/>
          <w:color w:val="000000" w:themeColor="text1"/>
          <w:vertAlign w:val="superscript"/>
        </w:rPr>
        <w:t xml:space="preserve"> </w:t>
      </w:r>
      <w:r w:rsidRPr="00EB0F4E">
        <w:rPr>
          <w:rFonts w:hint="eastAsia"/>
          <w:color w:val="000000" w:themeColor="text1"/>
        </w:rPr>
        <w:t>0.95</w:t>
      </w:r>
      <w:r w:rsidRPr="002D747D">
        <w:rPr>
          <w:color w:val="000000" w:themeColor="text1"/>
        </w:rPr>
        <w:t>) and ecological drift (</w:t>
      </w:r>
      <w:r w:rsidRPr="00EB0F4E">
        <w:rPr>
          <w:rFonts w:hint="eastAsia"/>
          <w:color w:val="000000" w:themeColor="text1"/>
        </w:rPr>
        <w:t>|RC|</w:t>
      </w:r>
      <w:r w:rsidRPr="00E02088">
        <w:rPr>
          <w:rFonts w:hint="eastAsia"/>
          <w:color w:val="000000" w:themeColor="text1"/>
          <w:vertAlign w:val="superscript"/>
        </w:rPr>
        <w:t xml:space="preserve"> </w:t>
      </w:r>
      <w:r w:rsidRPr="0090011A">
        <w:rPr>
          <w:rFonts w:cs="Times New Roman"/>
          <w:color w:val="000000" w:themeColor="text1"/>
        </w:rPr>
        <w:t>≤</w:t>
      </w:r>
      <w:r w:rsidRPr="00E02088">
        <w:rPr>
          <w:rFonts w:hint="eastAsia"/>
          <w:color w:val="000000" w:themeColor="text1"/>
          <w:vertAlign w:val="superscript"/>
        </w:rPr>
        <w:t xml:space="preserve"> </w:t>
      </w:r>
      <w:r w:rsidRPr="00EB0F4E">
        <w:rPr>
          <w:rFonts w:hint="eastAsia"/>
          <w:color w:val="000000" w:themeColor="text1"/>
        </w:rPr>
        <w:t>0.95</w:t>
      </w:r>
      <w:r w:rsidRPr="002D747D">
        <w:rPr>
          <w:color w:val="000000" w:themeColor="text1"/>
        </w:rPr>
        <w:t>)</w:t>
      </w:r>
      <w:r>
        <w:rPr>
          <w:color w:val="000000" w:themeColor="text1"/>
        </w:rPr>
        <w:t>.</w:t>
      </w:r>
      <w:r w:rsidRPr="0071163D">
        <w:rPr>
          <w:rFonts w:cs="Times New Roman"/>
          <w:b/>
          <w:bCs/>
          <w:szCs w:val="24"/>
        </w:rPr>
        <w:t xml:space="preserve"> </w:t>
      </w:r>
      <w:r w:rsidR="00801B5A">
        <w:br w:type="page"/>
      </w:r>
    </w:p>
    <w:p w14:paraId="3F52F374" w14:textId="10E874D4" w:rsidR="006254D9" w:rsidRDefault="006254D9" w:rsidP="006254D9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73FAAF36" wp14:editId="140C3B51">
            <wp:extent cx="2626468" cy="224313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9" r="5909"/>
                    <a:stretch/>
                  </pic:blipFill>
                  <pic:spPr bwMode="auto">
                    <a:xfrm>
                      <a:off x="0" y="0"/>
                      <a:ext cx="2696860" cy="2303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EC38EB" wp14:editId="309AC190">
            <wp:extent cx="2599231" cy="224689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348" r="5484"/>
                    <a:stretch/>
                  </pic:blipFill>
                  <pic:spPr bwMode="auto">
                    <a:xfrm>
                      <a:off x="0" y="0"/>
                      <a:ext cx="2671988" cy="2309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2268B5" w14:textId="4E52C59E" w:rsidR="006254D9" w:rsidRDefault="006254D9" w:rsidP="006254D9">
      <w:pPr>
        <w:ind w:firstLineChars="0" w:firstLine="0"/>
      </w:pPr>
      <w:r>
        <w:rPr>
          <w:noProof/>
        </w:rPr>
        <w:drawing>
          <wp:inline distT="0" distB="0" distL="0" distR="0" wp14:anchorId="1971A222" wp14:editId="18B92F2D">
            <wp:extent cx="3054190" cy="125927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262" cy="1285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356CDC" w14:textId="45F7EB9E" w:rsidR="00CC1195" w:rsidRPr="00F02588" w:rsidRDefault="00B12530" w:rsidP="00F02588">
      <w:pPr>
        <w:spacing w:line="480" w:lineRule="auto"/>
        <w:ind w:firstLineChars="0" w:firstLine="0"/>
        <w:rPr>
          <w:szCs w:val="24"/>
        </w:rPr>
      </w:pPr>
      <w:r w:rsidRPr="00CC1195">
        <w:rPr>
          <w:rFonts w:hint="eastAsia"/>
          <w:szCs w:val="24"/>
        </w:rPr>
        <w:t>F</w:t>
      </w:r>
      <w:r w:rsidRPr="00CC1195">
        <w:rPr>
          <w:szCs w:val="24"/>
        </w:rPr>
        <w:t>ig S1</w:t>
      </w:r>
      <w:r w:rsidR="009F6629" w:rsidRPr="00CC1195">
        <w:rPr>
          <w:szCs w:val="24"/>
        </w:rPr>
        <w:t>.</w:t>
      </w:r>
      <w:r w:rsidRPr="00CC1195">
        <w:rPr>
          <w:szCs w:val="24"/>
        </w:rPr>
        <w:t xml:space="preserve"> Water quality parameters of sampling points and living conditions of population</w:t>
      </w:r>
      <w:r w:rsidRPr="00CC1195">
        <w:rPr>
          <w:rFonts w:hint="eastAsia"/>
          <w:szCs w:val="24"/>
        </w:rPr>
        <w:t>.</w:t>
      </w:r>
      <w:r w:rsidRPr="00CC1195">
        <w:rPr>
          <w:szCs w:val="24"/>
        </w:rPr>
        <w:t xml:space="preserve"> Low, no houses nearby; Medium, sporadic houses; High, towns. (n=109)</w:t>
      </w:r>
      <w:r w:rsidR="00E446FA" w:rsidRPr="00CC1195">
        <w:rPr>
          <w:szCs w:val="24"/>
        </w:rPr>
        <w:t xml:space="preserve"> Different lowercases letters above each box in the same subfigure represent significant differences between areas (p</w:t>
      </w:r>
      <w:r w:rsidR="00E446FA" w:rsidRPr="00E02088">
        <w:rPr>
          <w:szCs w:val="24"/>
          <w:vertAlign w:val="superscript"/>
        </w:rPr>
        <w:t xml:space="preserve"> </w:t>
      </w:r>
      <w:r w:rsidR="00E446FA" w:rsidRPr="00CC1195">
        <w:rPr>
          <w:szCs w:val="24"/>
        </w:rPr>
        <w:t>&lt;</w:t>
      </w:r>
      <w:r w:rsidR="00E446FA" w:rsidRPr="00E02088">
        <w:rPr>
          <w:szCs w:val="24"/>
          <w:vertAlign w:val="superscript"/>
        </w:rPr>
        <w:t xml:space="preserve"> </w:t>
      </w:r>
      <w:r w:rsidR="00E446FA" w:rsidRPr="00CC1195">
        <w:rPr>
          <w:szCs w:val="24"/>
        </w:rPr>
        <w:t>0.05).</w:t>
      </w:r>
      <w:bookmarkStart w:id="6" w:name="_Hlk97890797"/>
      <w:r w:rsidR="00CC1195">
        <w:br w:type="page"/>
      </w:r>
    </w:p>
    <w:p w14:paraId="353B0AF5" w14:textId="17A691D6" w:rsidR="00E85E4B" w:rsidRDefault="0067638A" w:rsidP="00E85E4B">
      <w:pPr>
        <w:ind w:firstLineChars="0" w:firstLine="0"/>
        <w:jc w:val="center"/>
      </w:pPr>
      <w:r>
        <w:object w:dxaOrig="7312" w:dyaOrig="5589" w14:anchorId="6AB723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6.7pt;height:250.95pt" o:ole="">
            <v:imagedata r:id="rId11" o:title=""/>
          </v:shape>
          <o:OLEObject Type="Embed" ProgID="Origin95.Graph" ShapeID="_x0000_i1025" DrawAspect="Content" ObjectID="_1723901830" r:id="rId12"/>
        </w:object>
      </w:r>
    </w:p>
    <w:p w14:paraId="3724416A" w14:textId="5F82AC0E" w:rsidR="00CC1195" w:rsidRPr="00F02588" w:rsidRDefault="00E85E4B" w:rsidP="00F02588">
      <w:pPr>
        <w:spacing w:line="480" w:lineRule="auto"/>
        <w:ind w:firstLineChars="0" w:firstLine="0"/>
        <w:rPr>
          <w:szCs w:val="24"/>
        </w:rPr>
      </w:pPr>
      <w:bookmarkStart w:id="7" w:name="_Hlk99639843"/>
      <w:r w:rsidRPr="00CC1195">
        <w:rPr>
          <w:szCs w:val="24"/>
        </w:rPr>
        <w:t xml:space="preserve">Fig </w:t>
      </w:r>
      <w:r w:rsidR="00634519" w:rsidRPr="00CC1195">
        <w:rPr>
          <w:szCs w:val="24"/>
        </w:rPr>
        <w:t>S2</w:t>
      </w:r>
      <w:r w:rsidRPr="00CC1195">
        <w:rPr>
          <w:szCs w:val="24"/>
        </w:rPr>
        <w:t xml:space="preserve">. The qPCR of </w:t>
      </w:r>
      <w:r w:rsidR="003C699E" w:rsidRPr="00CC1195">
        <w:rPr>
          <w:rFonts w:cs="宋体"/>
          <w:color w:val="000000"/>
          <w:kern w:val="0"/>
          <w:szCs w:val="24"/>
        </w:rPr>
        <w:t>AAPB</w:t>
      </w:r>
      <w:r w:rsidRPr="00CC1195">
        <w:rPr>
          <w:szCs w:val="24"/>
        </w:rPr>
        <w:t xml:space="preserve"> in </w:t>
      </w:r>
      <w:r w:rsidRPr="00CC1195">
        <w:rPr>
          <w:kern w:val="0"/>
          <w:szCs w:val="24"/>
        </w:rPr>
        <w:t>sediment of the TGR</w:t>
      </w:r>
      <w:r w:rsidRPr="00CC1195">
        <w:rPr>
          <w:szCs w:val="24"/>
        </w:rPr>
        <w:t>.</w:t>
      </w:r>
      <w:bookmarkEnd w:id="7"/>
      <w:r w:rsidR="00E446FA" w:rsidRPr="00CC1195">
        <w:rPr>
          <w:szCs w:val="24"/>
        </w:rPr>
        <w:t xml:space="preserve"> Different lowercases letters above each box in the same subfigure represent significant differences between areas (p</w:t>
      </w:r>
      <w:r w:rsidR="00E446FA" w:rsidRPr="00E02088">
        <w:rPr>
          <w:szCs w:val="24"/>
          <w:vertAlign w:val="superscript"/>
        </w:rPr>
        <w:t xml:space="preserve"> </w:t>
      </w:r>
      <w:r w:rsidR="00E446FA" w:rsidRPr="00CC1195">
        <w:rPr>
          <w:szCs w:val="24"/>
        </w:rPr>
        <w:t>&lt;</w:t>
      </w:r>
      <w:r w:rsidR="00E446FA" w:rsidRPr="00E02088">
        <w:rPr>
          <w:szCs w:val="24"/>
          <w:vertAlign w:val="superscript"/>
        </w:rPr>
        <w:t xml:space="preserve"> </w:t>
      </w:r>
      <w:r w:rsidR="00E446FA" w:rsidRPr="00CC1195">
        <w:rPr>
          <w:szCs w:val="24"/>
        </w:rPr>
        <w:t>0.05).</w:t>
      </w:r>
      <w:bookmarkEnd w:id="6"/>
      <w:r w:rsidR="00CC1195">
        <w:br w:type="page"/>
      </w:r>
    </w:p>
    <w:p w14:paraId="03A81810" w14:textId="7C2BCB54" w:rsidR="001C7500" w:rsidRDefault="008E5E52" w:rsidP="00F42525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5641B37A" wp14:editId="79A30725">
            <wp:extent cx="5469990" cy="46697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243" cy="4675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DEAB73" w14:textId="15AD0F13" w:rsidR="00CC1195" w:rsidRPr="00F02588" w:rsidRDefault="001C7500" w:rsidP="00F02588">
      <w:pPr>
        <w:spacing w:line="480" w:lineRule="auto"/>
        <w:ind w:firstLineChars="0" w:firstLine="0"/>
        <w:rPr>
          <w:szCs w:val="24"/>
        </w:rPr>
      </w:pPr>
      <w:bookmarkStart w:id="8" w:name="_Hlk97890822"/>
      <w:r w:rsidRPr="00CC1195">
        <w:rPr>
          <w:szCs w:val="24"/>
        </w:rPr>
        <w:t xml:space="preserve">Fig </w:t>
      </w:r>
      <w:r w:rsidR="008C768E" w:rsidRPr="00CC1195">
        <w:rPr>
          <w:szCs w:val="24"/>
        </w:rPr>
        <w:t>S</w:t>
      </w:r>
      <w:r w:rsidR="005701E5" w:rsidRPr="00CC1195">
        <w:rPr>
          <w:szCs w:val="24"/>
        </w:rPr>
        <w:t>3</w:t>
      </w:r>
      <w:r w:rsidR="009F6629" w:rsidRPr="00CC1195">
        <w:rPr>
          <w:szCs w:val="24"/>
        </w:rPr>
        <w:t>.</w:t>
      </w:r>
      <w:r w:rsidRPr="00CC1195">
        <w:rPr>
          <w:szCs w:val="24"/>
        </w:rPr>
        <w:t xml:space="preserve"> Differences in alpha diversity indices of bacterial and AAPB communities among different regions in the Three Gorges Reservoir. </w:t>
      </w:r>
      <w:r w:rsidR="00AF31F4" w:rsidRPr="00CC1195">
        <w:rPr>
          <w:szCs w:val="24"/>
        </w:rPr>
        <w:t>Different lowercases letters above each box in the same subfigure represent significant differences between areas (p</w:t>
      </w:r>
      <w:r w:rsidR="00AF31F4" w:rsidRPr="00E02088">
        <w:rPr>
          <w:szCs w:val="24"/>
          <w:vertAlign w:val="superscript"/>
        </w:rPr>
        <w:t xml:space="preserve"> </w:t>
      </w:r>
      <w:r w:rsidR="00AF31F4" w:rsidRPr="00CC1195">
        <w:rPr>
          <w:szCs w:val="24"/>
        </w:rPr>
        <w:t>&lt;</w:t>
      </w:r>
      <w:r w:rsidR="00AF31F4" w:rsidRPr="00E02088">
        <w:rPr>
          <w:szCs w:val="24"/>
          <w:vertAlign w:val="superscript"/>
        </w:rPr>
        <w:t xml:space="preserve"> </w:t>
      </w:r>
      <w:r w:rsidR="00AF31F4" w:rsidRPr="00CC1195">
        <w:rPr>
          <w:szCs w:val="24"/>
        </w:rPr>
        <w:t>0.05).</w:t>
      </w:r>
      <w:r w:rsidR="00CC1195">
        <w:br w:type="page"/>
      </w:r>
    </w:p>
    <w:p w14:paraId="4A3016E4" w14:textId="1840A3F5" w:rsidR="001F4CE3" w:rsidRDefault="008C03AB" w:rsidP="001C7500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4FE2911A" wp14:editId="5A188F60">
            <wp:extent cx="5450652" cy="391096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846" cy="39204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83495C" w14:textId="45F7DDA5" w:rsidR="00195DBD" w:rsidRPr="00F02588" w:rsidRDefault="001F4CE3" w:rsidP="00F02588">
      <w:pPr>
        <w:spacing w:line="480" w:lineRule="auto"/>
        <w:ind w:firstLineChars="0" w:firstLine="0"/>
        <w:rPr>
          <w:szCs w:val="24"/>
        </w:rPr>
      </w:pPr>
      <w:r w:rsidRPr="00195DBD">
        <w:rPr>
          <w:rFonts w:hint="eastAsia"/>
          <w:szCs w:val="24"/>
        </w:rPr>
        <w:t>F</w:t>
      </w:r>
      <w:r w:rsidRPr="00195DBD">
        <w:rPr>
          <w:szCs w:val="24"/>
        </w:rPr>
        <w:t xml:space="preserve">ig </w:t>
      </w:r>
      <w:r w:rsidR="005701E5" w:rsidRPr="00195DBD">
        <w:rPr>
          <w:szCs w:val="24"/>
        </w:rPr>
        <w:t>S</w:t>
      </w:r>
      <w:r w:rsidR="008C768E" w:rsidRPr="00195DBD">
        <w:rPr>
          <w:szCs w:val="24"/>
        </w:rPr>
        <w:t>4</w:t>
      </w:r>
      <w:r w:rsidRPr="00195DBD">
        <w:rPr>
          <w:szCs w:val="24"/>
        </w:rPr>
        <w:t xml:space="preserve">. </w:t>
      </w:r>
      <w:r w:rsidR="005450CD" w:rsidRPr="00195DBD">
        <w:rPr>
          <w:kern w:val="0"/>
          <w:szCs w:val="24"/>
        </w:rPr>
        <w:t xml:space="preserve">The biodiversity indices and qPCR of </w:t>
      </w:r>
      <w:r w:rsidR="005450CD" w:rsidRPr="00195DBD">
        <w:rPr>
          <w:i/>
          <w:iCs/>
          <w:kern w:val="0"/>
          <w:szCs w:val="24"/>
        </w:rPr>
        <w:t>pufM</w:t>
      </w:r>
      <w:r w:rsidR="005450CD" w:rsidRPr="00195DBD">
        <w:rPr>
          <w:kern w:val="0"/>
          <w:szCs w:val="24"/>
        </w:rPr>
        <w:t xml:space="preserve"> gene changed from upstream to downstream in the mainstream.</w:t>
      </w:r>
      <w:bookmarkEnd w:id="8"/>
      <w:r w:rsidR="00195DBD">
        <w:br w:type="page"/>
      </w:r>
    </w:p>
    <w:p w14:paraId="4B992D8A" w14:textId="0AFA4059" w:rsidR="007B438B" w:rsidRDefault="00FA51CD" w:rsidP="00195DBD">
      <w:pPr>
        <w:spacing w:line="480" w:lineRule="auto"/>
        <w:ind w:firstLineChars="0" w:firstLine="0"/>
      </w:pPr>
      <w:r>
        <w:rPr>
          <w:noProof/>
        </w:rPr>
        <w:lastRenderedPageBreak/>
        <w:drawing>
          <wp:inline distT="0" distB="0" distL="0" distR="0" wp14:anchorId="261C1CB4" wp14:editId="205B7BCC">
            <wp:extent cx="5328557" cy="4683438"/>
            <wp:effectExtent l="0" t="0" r="0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7" r="4489" b="1986"/>
                    <a:stretch/>
                  </pic:blipFill>
                  <pic:spPr bwMode="auto">
                    <a:xfrm>
                      <a:off x="0" y="0"/>
                      <a:ext cx="5342542" cy="469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FF7617" w14:textId="1B9E45C1" w:rsidR="00195DBD" w:rsidRPr="00F02588" w:rsidRDefault="00751A8F" w:rsidP="00F02588">
      <w:pPr>
        <w:spacing w:line="480" w:lineRule="auto"/>
        <w:ind w:firstLineChars="0" w:firstLine="0"/>
        <w:rPr>
          <w:szCs w:val="24"/>
        </w:rPr>
      </w:pPr>
      <w:r w:rsidRPr="00195DBD">
        <w:rPr>
          <w:rFonts w:hint="eastAsia"/>
          <w:szCs w:val="24"/>
        </w:rPr>
        <w:t>F</w:t>
      </w:r>
      <w:r w:rsidRPr="00195DBD">
        <w:rPr>
          <w:szCs w:val="24"/>
        </w:rPr>
        <w:t xml:space="preserve">ig </w:t>
      </w:r>
      <w:r w:rsidR="008C768E" w:rsidRPr="00195DBD">
        <w:rPr>
          <w:szCs w:val="24"/>
        </w:rPr>
        <w:t>S5</w:t>
      </w:r>
      <w:r w:rsidRPr="00195DBD">
        <w:rPr>
          <w:szCs w:val="24"/>
        </w:rPr>
        <w:t xml:space="preserve">. </w:t>
      </w:r>
      <w:r w:rsidR="00136C71" w:rsidRPr="00195DBD">
        <w:rPr>
          <w:szCs w:val="24"/>
        </w:rPr>
        <w:t xml:space="preserve">Linear regression of environmental similarity based on Euclidean distance and geographic distances with the similarities of bacterial and </w:t>
      </w:r>
      <w:r w:rsidR="00136C71" w:rsidRPr="00195DBD">
        <w:rPr>
          <w:i/>
          <w:iCs/>
          <w:szCs w:val="24"/>
        </w:rPr>
        <w:t>pufM</w:t>
      </w:r>
      <w:r w:rsidR="00136C71" w:rsidRPr="00195DBD">
        <w:rPr>
          <w:szCs w:val="24"/>
        </w:rPr>
        <w:t xml:space="preserve"> gene communities based on Bray-Curtis distance between each two samples from the sediment.</w:t>
      </w:r>
      <w:r w:rsidR="00195DBD">
        <w:br w:type="page"/>
      </w:r>
    </w:p>
    <w:p w14:paraId="122E65CE" w14:textId="552E8A60" w:rsidR="003B5A09" w:rsidRDefault="00195DBD" w:rsidP="00415229">
      <w:pPr>
        <w:ind w:firstLine="480"/>
        <w:jc w:val="center"/>
      </w:pPr>
      <w:r w:rsidRPr="003B5A09">
        <w:object w:dxaOrig="5122" w:dyaOrig="3958" w14:anchorId="11BFACE2">
          <v:shape id="_x0000_i1026" type="#_x0000_t75" style="width:309.5pt;height:239.1pt" o:ole="">
            <v:imagedata r:id="rId16" o:title=""/>
          </v:shape>
          <o:OLEObject Type="Embed" ProgID="Origin95.Graph" ShapeID="_x0000_i1026" DrawAspect="Content" ObjectID="_1723901831" r:id="rId17"/>
        </w:object>
      </w:r>
    </w:p>
    <w:p w14:paraId="12AB4458" w14:textId="23AC821F" w:rsidR="00195DBD" w:rsidRPr="00F02588" w:rsidRDefault="00C335BF" w:rsidP="00F02588">
      <w:pPr>
        <w:spacing w:line="480" w:lineRule="auto"/>
        <w:ind w:firstLineChars="0" w:firstLine="0"/>
        <w:jc w:val="center"/>
        <w:rPr>
          <w:sz w:val="21"/>
          <w:szCs w:val="21"/>
        </w:rPr>
      </w:pPr>
      <w:r w:rsidRPr="00195DBD">
        <w:rPr>
          <w:szCs w:val="24"/>
        </w:rPr>
        <w:t>Fig S</w:t>
      </w:r>
      <w:r w:rsidR="00323FD2" w:rsidRPr="00195DBD">
        <w:rPr>
          <w:szCs w:val="24"/>
        </w:rPr>
        <w:t>6</w:t>
      </w:r>
      <w:r w:rsidRPr="00195DBD">
        <w:rPr>
          <w:szCs w:val="24"/>
        </w:rPr>
        <w:t>.</w:t>
      </w:r>
      <w:r w:rsidR="00415229" w:rsidRPr="00195DBD">
        <w:rPr>
          <w:szCs w:val="24"/>
        </w:rPr>
        <w:t xml:space="preserve"> βNTI </w:t>
      </w:r>
      <w:r w:rsidR="00415229" w:rsidRPr="00195DBD">
        <w:rPr>
          <w:rFonts w:hint="eastAsia"/>
          <w:szCs w:val="24"/>
        </w:rPr>
        <w:t>o</w:t>
      </w:r>
      <w:r w:rsidR="00415229" w:rsidRPr="00195DBD">
        <w:rPr>
          <w:szCs w:val="24"/>
        </w:rPr>
        <w:t>f bacterial and AAPB community in sediments of TGR</w:t>
      </w:r>
      <w:r w:rsidR="00415229" w:rsidRPr="00FA1FFC">
        <w:rPr>
          <w:sz w:val="21"/>
          <w:szCs w:val="21"/>
        </w:rPr>
        <w:t>.</w:t>
      </w:r>
      <w:r w:rsidR="00195DBD">
        <w:br w:type="page"/>
      </w:r>
    </w:p>
    <w:p w14:paraId="6437FA37" w14:textId="6241D593" w:rsidR="00826D15" w:rsidRDefault="00AE4678" w:rsidP="00826D15">
      <w:pPr>
        <w:ind w:firstLine="480"/>
      </w:pPr>
      <w:r>
        <w:rPr>
          <w:noProof/>
        </w:rPr>
        <w:lastRenderedPageBreak/>
        <w:drawing>
          <wp:inline distT="0" distB="0" distL="0" distR="0" wp14:anchorId="0852C891" wp14:editId="65F27348">
            <wp:extent cx="5274310" cy="753110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3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73AB2" w14:textId="39983653" w:rsidR="00195DBD" w:rsidRPr="00F02588" w:rsidRDefault="00AE4678" w:rsidP="00F02588">
      <w:pPr>
        <w:spacing w:line="480" w:lineRule="auto"/>
        <w:ind w:firstLineChars="0" w:firstLine="0"/>
        <w:rPr>
          <w:szCs w:val="24"/>
        </w:rPr>
      </w:pPr>
      <w:r w:rsidRPr="00195DBD">
        <w:rPr>
          <w:szCs w:val="24"/>
        </w:rPr>
        <w:t>Fig S</w:t>
      </w:r>
      <w:r w:rsidR="007666EA" w:rsidRPr="00195DBD">
        <w:rPr>
          <w:szCs w:val="24"/>
        </w:rPr>
        <w:t>7</w:t>
      </w:r>
      <w:r w:rsidRPr="00195DBD">
        <w:rPr>
          <w:szCs w:val="24"/>
        </w:rPr>
        <w:t xml:space="preserve">. Molecular Phylogenetic analysis of </w:t>
      </w:r>
      <w:r w:rsidRPr="00195DBD">
        <w:rPr>
          <w:i/>
          <w:iCs/>
          <w:szCs w:val="24"/>
        </w:rPr>
        <w:t>pufM</w:t>
      </w:r>
      <w:r w:rsidRPr="00195DBD">
        <w:rPr>
          <w:szCs w:val="24"/>
        </w:rPr>
        <w:t xml:space="preserve"> gene in sediment by Maximum Likelihood method.</w:t>
      </w:r>
      <w:r w:rsidR="00195DBD">
        <w:rPr>
          <w:sz w:val="21"/>
          <w:szCs w:val="21"/>
        </w:rPr>
        <w:br w:type="page"/>
      </w:r>
    </w:p>
    <w:p w14:paraId="43443344" w14:textId="77777777" w:rsidR="00CC1195" w:rsidRPr="00195DBD" w:rsidRDefault="00CC1195" w:rsidP="00195DBD">
      <w:pPr>
        <w:spacing w:line="480" w:lineRule="auto"/>
        <w:ind w:firstLineChars="0" w:firstLine="0"/>
        <w:rPr>
          <w:szCs w:val="24"/>
        </w:rPr>
      </w:pPr>
      <w:bookmarkStart w:id="9" w:name="_Hlk94978397"/>
      <w:r w:rsidRPr="00195DBD">
        <w:rPr>
          <w:rFonts w:hint="eastAsia"/>
          <w:szCs w:val="24"/>
        </w:rPr>
        <w:lastRenderedPageBreak/>
        <w:t>T</w:t>
      </w:r>
      <w:r w:rsidRPr="00195DBD">
        <w:rPr>
          <w:szCs w:val="24"/>
        </w:rPr>
        <w:t xml:space="preserve">able S1. Statistics of 16S rRNA gene </w:t>
      </w:r>
      <w:r w:rsidRPr="00195DBD">
        <w:rPr>
          <w:rFonts w:hint="eastAsia"/>
          <w:szCs w:val="24"/>
        </w:rPr>
        <w:t>and</w:t>
      </w:r>
      <w:r w:rsidRPr="00195DBD">
        <w:rPr>
          <w:szCs w:val="24"/>
        </w:rPr>
        <w:t xml:space="preserve"> </w:t>
      </w:r>
      <w:r w:rsidRPr="00195DBD">
        <w:rPr>
          <w:i/>
          <w:iCs/>
          <w:szCs w:val="24"/>
        </w:rPr>
        <w:t>pufM</w:t>
      </w:r>
      <w:r w:rsidRPr="00195DBD">
        <w:rPr>
          <w:szCs w:val="24"/>
        </w:rPr>
        <w:t xml:space="preserve"> gene sequencing</w:t>
      </w:r>
    </w:p>
    <w:bookmarkEnd w:id="9"/>
    <w:tbl>
      <w:tblPr>
        <w:tblW w:w="8222" w:type="dxa"/>
        <w:jc w:val="center"/>
        <w:tblLook w:val="04A0" w:firstRow="1" w:lastRow="0" w:firstColumn="1" w:lastColumn="0" w:noHBand="0" w:noVBand="1"/>
      </w:tblPr>
      <w:tblGrid>
        <w:gridCol w:w="2552"/>
        <w:gridCol w:w="3260"/>
        <w:gridCol w:w="2410"/>
      </w:tblGrid>
      <w:tr w:rsidR="00CC1195" w:rsidRPr="004A478D" w14:paraId="6737BC5D" w14:textId="77777777" w:rsidTr="00ED40D9">
        <w:trPr>
          <w:trHeight w:val="278"/>
          <w:jc w:val="center"/>
        </w:trPr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F9DC2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3DE17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 w:hint="eastAsia"/>
                <w:b/>
                <w:bCs/>
                <w:color w:val="000000"/>
                <w:kern w:val="0"/>
              </w:rPr>
              <w:t>Bacteria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BDE31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/>
                <w:b/>
                <w:bCs/>
                <w:color w:val="000000"/>
                <w:kern w:val="0"/>
              </w:rPr>
              <w:t>AAPB</w:t>
            </w:r>
          </w:p>
        </w:tc>
      </w:tr>
      <w:tr w:rsidR="00CC1195" w:rsidRPr="004A478D" w14:paraId="167C1D47" w14:textId="77777777" w:rsidTr="00195DBD">
        <w:trPr>
          <w:trHeight w:val="278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2F53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Sample numbers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6070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>
              <w:rPr>
                <w:rFonts w:cs="宋体"/>
                <w:color w:val="000000"/>
                <w:kern w:val="0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87FF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>
              <w:rPr>
                <w:rFonts w:cs="宋体"/>
                <w:color w:val="000000"/>
                <w:kern w:val="0"/>
              </w:rPr>
              <w:t>40</w:t>
            </w:r>
          </w:p>
        </w:tc>
      </w:tr>
      <w:tr w:rsidR="00CC1195" w:rsidRPr="004A478D" w14:paraId="26090428" w14:textId="77777777" w:rsidTr="00195DBD">
        <w:trPr>
          <w:trHeight w:val="27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E5E4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Total count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1F0A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2209318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99D9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899047</w:t>
            </w:r>
          </w:p>
        </w:tc>
      </w:tr>
      <w:tr w:rsidR="00CC1195" w:rsidRPr="004A478D" w14:paraId="6566874C" w14:textId="77777777" w:rsidTr="00195DBD">
        <w:trPr>
          <w:trHeight w:val="27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42B4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Min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DADE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30512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4A91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11938</w:t>
            </w:r>
          </w:p>
        </w:tc>
      </w:tr>
      <w:tr w:rsidR="00CC1195" w:rsidRPr="004A478D" w14:paraId="61E69F1E" w14:textId="77777777" w:rsidTr="00195DBD">
        <w:trPr>
          <w:trHeight w:val="27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5AA8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Max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B607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88364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D99A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46880</w:t>
            </w:r>
          </w:p>
        </w:tc>
      </w:tr>
      <w:tr w:rsidR="00CC1195" w:rsidRPr="004A478D" w14:paraId="28A7C028" w14:textId="77777777" w:rsidTr="00195DBD">
        <w:trPr>
          <w:trHeight w:val="27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2840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Median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FDBC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53940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1F102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20815</w:t>
            </w:r>
          </w:p>
        </w:tc>
      </w:tr>
      <w:tr w:rsidR="00CC1195" w:rsidRPr="004A478D" w14:paraId="76AA9511" w14:textId="77777777" w:rsidTr="00195DBD">
        <w:trPr>
          <w:trHeight w:val="27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7D9F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Mean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145A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55233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A780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22476</w:t>
            </w:r>
          </w:p>
        </w:tc>
      </w:tr>
      <w:tr w:rsidR="00CC1195" w:rsidRPr="004A478D" w14:paraId="54F1AC6F" w14:textId="77777777" w:rsidTr="00195DBD">
        <w:trPr>
          <w:trHeight w:val="27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9687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Std.dev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7B82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17418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E220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6966</w:t>
            </w:r>
          </w:p>
        </w:tc>
      </w:tr>
      <w:tr w:rsidR="00CC1195" w:rsidRPr="004A478D" w14:paraId="7108FE5F" w14:textId="77777777" w:rsidTr="00195DBD">
        <w:trPr>
          <w:trHeight w:val="27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01C1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Min-length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2460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201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59DB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200</w:t>
            </w:r>
          </w:p>
        </w:tc>
      </w:tr>
      <w:tr w:rsidR="00CC1195" w:rsidRPr="004A478D" w14:paraId="12E66A5E" w14:textId="77777777" w:rsidTr="00ED40D9">
        <w:trPr>
          <w:trHeight w:val="278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7E39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Max-length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FFFC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544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57FD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264</w:t>
            </w:r>
          </w:p>
        </w:tc>
      </w:tr>
      <w:tr w:rsidR="00CC1195" w:rsidRPr="004A478D" w14:paraId="79E94FB7" w14:textId="77777777" w:rsidTr="00ED40D9">
        <w:trPr>
          <w:trHeight w:val="278"/>
          <w:jc w:val="center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B4961" w14:textId="77777777" w:rsidR="00CC1195" w:rsidRPr="004A478D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  <w:r w:rsidRPr="004A478D">
              <w:rPr>
                <w:rFonts w:cs="宋体" w:hint="eastAsia"/>
                <w:color w:val="000000"/>
                <w:kern w:val="0"/>
              </w:rPr>
              <w:t>Mean-length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ACEAC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7A4C7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230</w:t>
            </w:r>
          </w:p>
        </w:tc>
      </w:tr>
    </w:tbl>
    <w:p w14:paraId="1CB2A459" w14:textId="77777777" w:rsidR="00195DBD" w:rsidRDefault="00195DBD" w:rsidP="00F02588">
      <w:pPr>
        <w:ind w:firstLineChars="0" w:firstLine="0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5EE50AFA" w14:textId="16BE46E6" w:rsidR="00CC1195" w:rsidRPr="00195DBD" w:rsidRDefault="00CC1195" w:rsidP="00195DBD">
      <w:pPr>
        <w:spacing w:line="480" w:lineRule="auto"/>
        <w:ind w:firstLineChars="0" w:firstLine="0"/>
        <w:rPr>
          <w:szCs w:val="24"/>
        </w:rPr>
      </w:pPr>
      <w:r w:rsidRPr="00195DBD">
        <w:rPr>
          <w:szCs w:val="24"/>
        </w:rPr>
        <w:lastRenderedPageBreak/>
        <w:t>Table S2. Statistics of taxonomy annotation</w:t>
      </w:r>
    </w:p>
    <w:tbl>
      <w:tblPr>
        <w:tblW w:w="8081" w:type="dxa"/>
        <w:jc w:val="center"/>
        <w:tblLook w:val="04A0" w:firstRow="1" w:lastRow="0" w:firstColumn="1" w:lastColumn="0" w:noHBand="0" w:noVBand="1"/>
      </w:tblPr>
      <w:tblGrid>
        <w:gridCol w:w="2835"/>
        <w:gridCol w:w="2694"/>
        <w:gridCol w:w="2552"/>
      </w:tblGrid>
      <w:tr w:rsidR="00CC1195" w:rsidRPr="00725D0A" w14:paraId="0F7DBA6F" w14:textId="77777777" w:rsidTr="00ED40D9">
        <w:trPr>
          <w:trHeight w:val="278"/>
          <w:jc w:val="center"/>
        </w:trPr>
        <w:tc>
          <w:tcPr>
            <w:tcW w:w="28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2F62F" w14:textId="77777777" w:rsidR="00CC1195" w:rsidRPr="00725D0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0B28FE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 w:hint="eastAsia"/>
                <w:b/>
                <w:bCs/>
                <w:color w:val="000000"/>
                <w:kern w:val="0"/>
              </w:rPr>
              <w:t>Bacteria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0496E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/>
                <w:b/>
                <w:bCs/>
                <w:color w:val="000000"/>
                <w:kern w:val="0"/>
              </w:rPr>
              <w:t>AAPB</w:t>
            </w:r>
          </w:p>
        </w:tc>
      </w:tr>
      <w:tr w:rsidR="00CC1195" w:rsidRPr="00725D0A" w14:paraId="31D0FBA8" w14:textId="77777777" w:rsidTr="00195DBD">
        <w:trPr>
          <w:trHeight w:val="278"/>
          <w:jc w:val="center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F403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 w:hint="eastAsia"/>
                <w:b/>
                <w:bCs/>
                <w:color w:val="000000"/>
                <w:kern w:val="0"/>
              </w:rPr>
              <w:t>Phylum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0011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67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5202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11</w:t>
            </w:r>
          </w:p>
        </w:tc>
      </w:tr>
      <w:tr w:rsidR="00CC1195" w:rsidRPr="00725D0A" w14:paraId="244F8EB1" w14:textId="77777777" w:rsidTr="00195DBD">
        <w:trPr>
          <w:trHeight w:val="278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2935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 w:hint="eastAsia"/>
                <w:b/>
                <w:bCs/>
                <w:color w:val="000000"/>
                <w:kern w:val="0"/>
              </w:rPr>
              <w:t>Class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B38A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202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9472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16</w:t>
            </w:r>
          </w:p>
        </w:tc>
      </w:tr>
      <w:tr w:rsidR="00CC1195" w:rsidRPr="00725D0A" w14:paraId="548A41B2" w14:textId="77777777" w:rsidTr="00195DBD">
        <w:trPr>
          <w:trHeight w:val="278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D566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 w:hint="eastAsia"/>
                <w:b/>
                <w:bCs/>
                <w:color w:val="000000"/>
                <w:kern w:val="0"/>
              </w:rPr>
              <w:t>Order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6D43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481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A0EB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34</w:t>
            </w:r>
          </w:p>
        </w:tc>
      </w:tr>
      <w:tr w:rsidR="00CC1195" w:rsidRPr="00725D0A" w14:paraId="42EC4AF7" w14:textId="77777777" w:rsidTr="00195DBD">
        <w:trPr>
          <w:trHeight w:val="278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19D6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 w:hint="eastAsia"/>
                <w:b/>
                <w:bCs/>
                <w:color w:val="000000"/>
                <w:kern w:val="0"/>
              </w:rPr>
              <w:t>Family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0E38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796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4E43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54</w:t>
            </w:r>
          </w:p>
        </w:tc>
      </w:tr>
      <w:tr w:rsidR="00CC1195" w:rsidRPr="00725D0A" w14:paraId="4817A2C7" w14:textId="77777777" w:rsidTr="00ED40D9">
        <w:trPr>
          <w:trHeight w:val="278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AB69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 w:hint="eastAsia"/>
                <w:b/>
                <w:bCs/>
                <w:color w:val="000000"/>
                <w:kern w:val="0"/>
              </w:rPr>
              <w:t>Genus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D881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1560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7BFF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107</w:t>
            </w:r>
          </w:p>
        </w:tc>
      </w:tr>
      <w:tr w:rsidR="00CC1195" w:rsidRPr="00725D0A" w14:paraId="3B5F80FA" w14:textId="77777777" w:rsidTr="00ED40D9">
        <w:trPr>
          <w:trHeight w:val="278"/>
          <w:jc w:val="center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C8E86" w14:textId="77777777" w:rsidR="00CC1195" w:rsidRPr="00ED40D9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b/>
                <w:bCs/>
                <w:color w:val="000000"/>
                <w:kern w:val="0"/>
              </w:rPr>
            </w:pPr>
            <w:r w:rsidRPr="00ED40D9">
              <w:rPr>
                <w:rFonts w:cs="宋体" w:hint="eastAsia"/>
                <w:b/>
                <w:bCs/>
                <w:color w:val="000000"/>
                <w:kern w:val="0"/>
              </w:rPr>
              <w:t>O</w:t>
            </w:r>
            <w:r w:rsidRPr="00ED40D9">
              <w:rPr>
                <w:rFonts w:cs="宋体"/>
                <w:b/>
                <w:bCs/>
                <w:color w:val="000000"/>
                <w:kern w:val="0"/>
              </w:rPr>
              <w:t>TU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4898A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13874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D4B52" w14:textId="77777777" w:rsidR="00CC1195" w:rsidRPr="00EA21CA" w:rsidRDefault="00CC1195" w:rsidP="001458AE">
            <w:pPr>
              <w:widowControl/>
              <w:ind w:firstLineChars="0" w:firstLine="0"/>
              <w:jc w:val="center"/>
              <w:rPr>
                <w:rFonts w:cs="宋体"/>
                <w:color w:val="000000"/>
                <w:kern w:val="0"/>
                <w:szCs w:val="24"/>
              </w:rPr>
            </w:pPr>
            <w:r w:rsidRPr="00EA21CA">
              <w:rPr>
                <w:rFonts w:eastAsia="等线" w:cs="Times New Roman"/>
                <w:color w:val="000000"/>
                <w:szCs w:val="24"/>
              </w:rPr>
              <w:t>5438</w:t>
            </w:r>
          </w:p>
        </w:tc>
      </w:tr>
    </w:tbl>
    <w:p w14:paraId="382B4EDD" w14:textId="77777777" w:rsidR="00604836" w:rsidRDefault="00604836" w:rsidP="00917D66">
      <w:pPr>
        <w:ind w:firstLineChars="0" w:firstLine="0"/>
        <w:rPr>
          <w:b/>
          <w:bCs/>
        </w:rPr>
      </w:pPr>
      <w:r>
        <w:rPr>
          <w:b/>
          <w:bCs/>
        </w:rPr>
        <w:br w:type="page"/>
      </w:r>
    </w:p>
    <w:p w14:paraId="1523D953" w14:textId="03A3A631" w:rsidR="00511761" w:rsidRPr="00604836" w:rsidRDefault="00604836" w:rsidP="00917D66">
      <w:pPr>
        <w:ind w:firstLineChars="0" w:firstLine="0"/>
        <w:rPr>
          <w:b/>
          <w:bCs/>
        </w:rPr>
      </w:pPr>
      <w:r w:rsidRPr="00610C47">
        <w:rPr>
          <w:b/>
          <w:bCs/>
        </w:rPr>
        <w:lastRenderedPageBreak/>
        <w:t xml:space="preserve">References </w:t>
      </w:r>
    </w:p>
    <w:p w14:paraId="40BA8CB6" w14:textId="52AF3128" w:rsidR="00A67EBF" w:rsidRPr="00A67EBF" w:rsidRDefault="00A67EBF" w:rsidP="00A67EBF">
      <w:pPr>
        <w:pStyle w:val="a7"/>
        <w:numPr>
          <w:ilvl w:val="0"/>
          <w:numId w:val="2"/>
        </w:numPr>
        <w:ind w:firstLineChars="0"/>
        <w:rPr>
          <w:color w:val="000000" w:themeColor="text1"/>
        </w:rPr>
      </w:pPr>
      <w:r w:rsidRPr="00A67EBF">
        <w:rPr>
          <w:color w:val="000000" w:themeColor="text1"/>
        </w:rPr>
        <w:t>Liu T, Zhang AN, Wang JW, Liu SF, Jiang XT, Dang CY, Ma T, Liu ST, Chen Q, Xie SG, Zhang T, Ni JR</w:t>
      </w:r>
      <w:r>
        <w:rPr>
          <w:color w:val="000000" w:themeColor="text1"/>
        </w:rPr>
        <w:t xml:space="preserve"> (</w:t>
      </w:r>
      <w:r w:rsidRPr="00A67EBF">
        <w:rPr>
          <w:color w:val="000000" w:themeColor="text1"/>
        </w:rPr>
        <w:t>2018</w:t>
      </w:r>
      <w:r>
        <w:rPr>
          <w:color w:val="000000" w:themeColor="text1"/>
        </w:rPr>
        <w:t>)</w:t>
      </w:r>
      <w:r w:rsidRPr="00A67EBF">
        <w:rPr>
          <w:color w:val="000000" w:themeColor="text1"/>
        </w:rPr>
        <w:t xml:space="preserve"> Integrated biogeography of planktonic and sedimentary bacterial communities in the Yangtze River. Microbiome 6</w:t>
      </w:r>
      <w:r>
        <w:rPr>
          <w:color w:val="000000" w:themeColor="text1"/>
        </w:rPr>
        <w:t>:</w:t>
      </w:r>
      <w:r w:rsidRPr="00A67EBF">
        <w:rPr>
          <w:color w:val="000000" w:themeColor="text1"/>
        </w:rPr>
        <w:t xml:space="preserve"> 1-14.</w:t>
      </w:r>
    </w:p>
    <w:p w14:paraId="51C2742C" w14:textId="6FE4D966" w:rsidR="00A67EBF" w:rsidRPr="00A67EBF" w:rsidRDefault="00A67EBF" w:rsidP="00A67EBF">
      <w:pPr>
        <w:pStyle w:val="a7"/>
        <w:numPr>
          <w:ilvl w:val="0"/>
          <w:numId w:val="2"/>
        </w:numPr>
        <w:ind w:firstLineChars="0"/>
        <w:rPr>
          <w:color w:val="000000" w:themeColor="text1"/>
        </w:rPr>
      </w:pPr>
      <w:r w:rsidRPr="00A67EBF">
        <w:rPr>
          <w:color w:val="000000" w:themeColor="text1"/>
        </w:rPr>
        <w:t xml:space="preserve">Wang F, Li WY, Li Y, Zhang JP, Chen JP, Zhang W, Wu X </w:t>
      </w:r>
      <w:r>
        <w:rPr>
          <w:color w:val="000000" w:themeColor="text1"/>
        </w:rPr>
        <w:t>(</w:t>
      </w:r>
      <w:r w:rsidRPr="00A67EBF">
        <w:rPr>
          <w:color w:val="000000" w:themeColor="text1"/>
        </w:rPr>
        <w:t>2018</w:t>
      </w:r>
      <w:r>
        <w:rPr>
          <w:color w:val="000000" w:themeColor="text1"/>
        </w:rPr>
        <w:t>)</w:t>
      </w:r>
      <w:r w:rsidRPr="00A67EBF">
        <w:rPr>
          <w:color w:val="000000" w:themeColor="text1"/>
        </w:rPr>
        <w:t xml:space="preserve"> Molecular analysis of bacterial community in the tap water with different water ages of a drinking water distribution system. Front. Environ. Sci. Eng. 12.</w:t>
      </w:r>
    </w:p>
    <w:p w14:paraId="70EC30BC" w14:textId="0D03EF5A" w:rsidR="00A67EBF" w:rsidRPr="00A67EBF" w:rsidRDefault="00A67EBF" w:rsidP="00A67EBF">
      <w:pPr>
        <w:pStyle w:val="a7"/>
        <w:numPr>
          <w:ilvl w:val="0"/>
          <w:numId w:val="2"/>
        </w:numPr>
        <w:ind w:firstLineChars="0"/>
        <w:rPr>
          <w:color w:val="000000" w:themeColor="text1"/>
        </w:rPr>
      </w:pPr>
      <w:r w:rsidRPr="00A67EBF">
        <w:rPr>
          <w:color w:val="000000" w:themeColor="text1"/>
        </w:rPr>
        <w:t>Bibiloni-Isaksson J, Seymour JR, Ingleton</w:t>
      </w:r>
      <w:r>
        <w:rPr>
          <w:color w:val="000000" w:themeColor="text1"/>
        </w:rPr>
        <w:t xml:space="preserve"> </w:t>
      </w:r>
      <w:r w:rsidRPr="00A67EBF">
        <w:rPr>
          <w:color w:val="000000" w:themeColor="text1"/>
        </w:rPr>
        <w:t xml:space="preserve">T, van de Kamp J, Bodrossy L, Brown MV </w:t>
      </w:r>
      <w:r>
        <w:rPr>
          <w:color w:val="000000" w:themeColor="text1"/>
        </w:rPr>
        <w:t>(</w:t>
      </w:r>
      <w:r w:rsidRPr="00A67EBF">
        <w:rPr>
          <w:color w:val="000000" w:themeColor="text1"/>
        </w:rPr>
        <w:t>2016</w:t>
      </w:r>
      <w:r>
        <w:rPr>
          <w:color w:val="000000" w:themeColor="text1"/>
        </w:rPr>
        <w:t>)</w:t>
      </w:r>
      <w:r w:rsidRPr="00A67EBF">
        <w:rPr>
          <w:color w:val="000000" w:themeColor="text1"/>
        </w:rPr>
        <w:t xml:space="preserve"> Spatial and temporal variability of aerobic anoxygenic photoheterotrophic bacteria along the east coast of Australia. Environ. Microbiol. 12</w:t>
      </w:r>
      <w:r w:rsidR="009C0DF7">
        <w:rPr>
          <w:color w:val="000000" w:themeColor="text1"/>
        </w:rPr>
        <w:t>:</w:t>
      </w:r>
      <w:r w:rsidRPr="00A67EBF">
        <w:rPr>
          <w:color w:val="000000" w:themeColor="text1"/>
        </w:rPr>
        <w:t xml:space="preserve"> 4485-4500.</w:t>
      </w:r>
    </w:p>
    <w:p w14:paraId="351B542A" w14:textId="6ACF49CB" w:rsidR="00A67EBF" w:rsidRPr="00A67EBF" w:rsidRDefault="00A67EBF" w:rsidP="00A67EBF">
      <w:pPr>
        <w:pStyle w:val="a7"/>
        <w:numPr>
          <w:ilvl w:val="0"/>
          <w:numId w:val="2"/>
        </w:numPr>
        <w:ind w:firstLineChars="0"/>
        <w:rPr>
          <w:color w:val="000000" w:themeColor="text1"/>
        </w:rPr>
      </w:pPr>
      <w:r w:rsidRPr="00A67EBF">
        <w:rPr>
          <w:color w:val="000000" w:themeColor="text1"/>
        </w:rPr>
        <w:t xml:space="preserve">Zhang HH, Wang Y, Huang TL, Wang CX, Lu LC, Si F, Li N, Liu KW, Yan MM, Miao YT </w:t>
      </w:r>
      <w:r w:rsidR="009C0DF7">
        <w:rPr>
          <w:color w:val="000000" w:themeColor="text1"/>
        </w:rPr>
        <w:t>(</w:t>
      </w:r>
      <w:r w:rsidRPr="00A67EBF">
        <w:rPr>
          <w:color w:val="000000" w:themeColor="text1"/>
        </w:rPr>
        <w:t>2020</w:t>
      </w:r>
      <w:r w:rsidR="009C0DF7">
        <w:rPr>
          <w:color w:val="000000" w:themeColor="text1"/>
        </w:rPr>
        <w:t>)</w:t>
      </w:r>
      <w:r w:rsidRPr="00A67EBF">
        <w:rPr>
          <w:color w:val="000000" w:themeColor="text1"/>
        </w:rPr>
        <w:t xml:space="preserve"> Spatial and temporal succession characteristics of aerobic anoxygenic photosynthesis bacteria in a stratified reservoir. Environmental Sci. (China) 41</w:t>
      </w:r>
      <w:r w:rsidR="009C0DF7">
        <w:rPr>
          <w:color w:val="000000" w:themeColor="text1"/>
        </w:rPr>
        <w:t>:</w:t>
      </w:r>
      <w:r w:rsidRPr="00A67EBF">
        <w:rPr>
          <w:color w:val="000000" w:themeColor="text1"/>
        </w:rPr>
        <w:t xml:space="preserve"> 2188-2197.</w:t>
      </w:r>
    </w:p>
    <w:p w14:paraId="1DF61FD4" w14:textId="549D13BE" w:rsidR="00A67EBF" w:rsidRPr="00A67EBF" w:rsidRDefault="00A67EBF" w:rsidP="00A67EBF">
      <w:pPr>
        <w:pStyle w:val="a7"/>
        <w:numPr>
          <w:ilvl w:val="0"/>
          <w:numId w:val="2"/>
        </w:numPr>
        <w:ind w:firstLineChars="0"/>
        <w:rPr>
          <w:color w:val="000000" w:themeColor="text1"/>
        </w:rPr>
      </w:pPr>
      <w:r w:rsidRPr="00A67EBF">
        <w:rPr>
          <w:color w:val="000000" w:themeColor="text1"/>
        </w:rPr>
        <w:t xml:space="preserve">Chen SF, Zhou YQ, Chen YR, Gu J </w:t>
      </w:r>
      <w:r w:rsidR="009C0DF7">
        <w:rPr>
          <w:color w:val="000000" w:themeColor="text1"/>
        </w:rPr>
        <w:t>(</w:t>
      </w:r>
      <w:r w:rsidRPr="00A67EBF">
        <w:rPr>
          <w:color w:val="000000" w:themeColor="text1"/>
        </w:rPr>
        <w:t>2018</w:t>
      </w:r>
      <w:r w:rsidR="009C0DF7">
        <w:rPr>
          <w:color w:val="000000" w:themeColor="text1"/>
        </w:rPr>
        <w:t>)</w:t>
      </w:r>
      <w:r w:rsidRPr="00A67EBF">
        <w:rPr>
          <w:color w:val="000000" w:themeColor="text1"/>
        </w:rPr>
        <w:t xml:space="preserve"> Fastp: An ultra-fast all-in-one FASTQ preprocessor. Bioinformatics 34</w:t>
      </w:r>
      <w:r w:rsidR="009C0DF7">
        <w:rPr>
          <w:color w:val="000000" w:themeColor="text1"/>
        </w:rPr>
        <w:t>:</w:t>
      </w:r>
      <w:r w:rsidRPr="00A67EBF">
        <w:rPr>
          <w:color w:val="000000" w:themeColor="text1"/>
        </w:rPr>
        <w:t xml:space="preserve"> i884</w:t>
      </w:r>
      <w:r w:rsidRPr="00A67EBF">
        <w:rPr>
          <w:kern w:val="0"/>
        </w:rPr>
        <w:t>-</w:t>
      </w:r>
      <w:r w:rsidRPr="00A67EBF">
        <w:rPr>
          <w:color w:val="000000" w:themeColor="text1"/>
        </w:rPr>
        <w:t>i890.</w:t>
      </w:r>
    </w:p>
    <w:p w14:paraId="5F12B7E8" w14:textId="3A8082DD" w:rsidR="00917D66" w:rsidRPr="00A67EBF" w:rsidRDefault="00A67EBF" w:rsidP="00A67EBF">
      <w:pPr>
        <w:pStyle w:val="a7"/>
        <w:numPr>
          <w:ilvl w:val="0"/>
          <w:numId w:val="2"/>
        </w:numPr>
        <w:ind w:firstLineChars="0"/>
        <w:rPr>
          <w:rFonts w:hint="eastAsia"/>
          <w:color w:val="000000" w:themeColor="text1"/>
        </w:rPr>
      </w:pPr>
      <w:r w:rsidRPr="00A67EBF">
        <w:rPr>
          <w:color w:val="000000" w:themeColor="text1"/>
        </w:rPr>
        <w:t xml:space="preserve">Magoč T, Salzberg SL </w:t>
      </w:r>
      <w:r w:rsidR="009C0DF7">
        <w:rPr>
          <w:color w:val="000000" w:themeColor="text1"/>
        </w:rPr>
        <w:t>(</w:t>
      </w:r>
      <w:r w:rsidRPr="00A67EBF">
        <w:rPr>
          <w:color w:val="000000" w:themeColor="text1"/>
        </w:rPr>
        <w:t>2011</w:t>
      </w:r>
      <w:r w:rsidR="009C0DF7">
        <w:rPr>
          <w:color w:val="000000" w:themeColor="text1"/>
        </w:rPr>
        <w:t>)</w:t>
      </w:r>
      <w:r w:rsidRPr="00A67EBF">
        <w:rPr>
          <w:color w:val="000000" w:themeColor="text1"/>
        </w:rPr>
        <w:t xml:space="preserve"> FLASH: Fast length adjustment of short reads to improve genome assemblies. Bioinformatics 27</w:t>
      </w:r>
      <w:r w:rsidR="009C0DF7">
        <w:rPr>
          <w:color w:val="000000" w:themeColor="text1"/>
        </w:rPr>
        <w:t>:</w:t>
      </w:r>
      <w:r w:rsidRPr="00A67EBF">
        <w:rPr>
          <w:color w:val="000000" w:themeColor="text1"/>
        </w:rPr>
        <w:t xml:space="preserve"> 2957</w:t>
      </w:r>
      <w:r w:rsidRPr="00A67EBF">
        <w:rPr>
          <w:kern w:val="0"/>
        </w:rPr>
        <w:t>-</w:t>
      </w:r>
      <w:r w:rsidRPr="00A67EBF">
        <w:rPr>
          <w:color w:val="000000" w:themeColor="text1"/>
        </w:rPr>
        <w:t>2963.</w:t>
      </w:r>
    </w:p>
    <w:sectPr w:rsidR="00917D66" w:rsidRPr="00A67EBF" w:rsidSect="00B702DD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 w:code="9"/>
      <w:pgMar w:top="1418" w:right="1418" w:bottom="1418" w:left="1418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F7D37" w14:textId="77777777" w:rsidR="005051D8" w:rsidRDefault="005051D8" w:rsidP="001A1E2D">
      <w:pPr>
        <w:spacing w:line="240" w:lineRule="auto"/>
        <w:ind w:firstLine="480"/>
      </w:pPr>
      <w:r>
        <w:separator/>
      </w:r>
    </w:p>
  </w:endnote>
  <w:endnote w:type="continuationSeparator" w:id="0">
    <w:p w14:paraId="3947433D" w14:textId="77777777" w:rsidR="005051D8" w:rsidRDefault="005051D8" w:rsidP="001A1E2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81504" w14:textId="77777777" w:rsidR="006B00ED" w:rsidRDefault="006B00E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228337"/>
      <w:docPartObj>
        <w:docPartGallery w:val="Page Numbers (Bottom of Page)"/>
        <w:docPartUnique/>
      </w:docPartObj>
    </w:sdtPr>
    <w:sdtContent>
      <w:p w14:paraId="3F911C1C" w14:textId="21E99506" w:rsidR="00F02588" w:rsidRDefault="00F02588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FBA86D1" w14:textId="77777777" w:rsidR="006B00ED" w:rsidRDefault="006B00ED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8D168" w14:textId="77777777" w:rsidR="006B00ED" w:rsidRDefault="006B00E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B2392" w14:textId="77777777" w:rsidR="005051D8" w:rsidRDefault="005051D8" w:rsidP="001A1E2D">
      <w:pPr>
        <w:spacing w:line="240" w:lineRule="auto"/>
        <w:ind w:firstLine="480"/>
      </w:pPr>
      <w:r>
        <w:separator/>
      </w:r>
    </w:p>
  </w:footnote>
  <w:footnote w:type="continuationSeparator" w:id="0">
    <w:p w14:paraId="13FA14CE" w14:textId="77777777" w:rsidR="005051D8" w:rsidRDefault="005051D8" w:rsidP="001A1E2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CD67F" w14:textId="77777777" w:rsidR="006B00ED" w:rsidRDefault="006B00ED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CAD29" w14:textId="77777777" w:rsidR="006B00ED" w:rsidRDefault="006B00ED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70E35" w14:textId="77777777" w:rsidR="006B00ED" w:rsidRDefault="006B00E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618C7"/>
    <w:multiLevelType w:val="hybridMultilevel"/>
    <w:tmpl w:val="92B48A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A13749"/>
    <w:multiLevelType w:val="hybridMultilevel"/>
    <w:tmpl w:val="248689DE"/>
    <w:lvl w:ilvl="0" w:tplc="F80811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44575425">
    <w:abstractNumId w:val="0"/>
  </w:num>
  <w:num w:numId="2" w16cid:durableId="14359073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097"/>
    <w:rsid w:val="000007DD"/>
    <w:rsid w:val="000020D5"/>
    <w:rsid w:val="00002774"/>
    <w:rsid w:val="00004672"/>
    <w:rsid w:val="00015DC2"/>
    <w:rsid w:val="000210FB"/>
    <w:rsid w:val="0002237F"/>
    <w:rsid w:val="00025A24"/>
    <w:rsid w:val="00040EE9"/>
    <w:rsid w:val="000440F9"/>
    <w:rsid w:val="00064B9C"/>
    <w:rsid w:val="000707CF"/>
    <w:rsid w:val="00073A1B"/>
    <w:rsid w:val="00081719"/>
    <w:rsid w:val="0008580E"/>
    <w:rsid w:val="00093D8D"/>
    <w:rsid w:val="00094B45"/>
    <w:rsid w:val="00095216"/>
    <w:rsid w:val="000A1D8A"/>
    <w:rsid w:val="000B40BE"/>
    <w:rsid w:val="000B5C77"/>
    <w:rsid w:val="000C6AE7"/>
    <w:rsid w:val="000C6B15"/>
    <w:rsid w:val="000C6BF0"/>
    <w:rsid w:val="000D3118"/>
    <w:rsid w:val="000D4BFB"/>
    <w:rsid w:val="000D7EEF"/>
    <w:rsid w:val="000E214C"/>
    <w:rsid w:val="000E5790"/>
    <w:rsid w:val="000F1A6C"/>
    <w:rsid w:val="000F1B32"/>
    <w:rsid w:val="000F3848"/>
    <w:rsid w:val="000F51CF"/>
    <w:rsid w:val="001027D7"/>
    <w:rsid w:val="00111656"/>
    <w:rsid w:val="001128C5"/>
    <w:rsid w:val="00114376"/>
    <w:rsid w:val="0011453E"/>
    <w:rsid w:val="00117C17"/>
    <w:rsid w:val="00121CA5"/>
    <w:rsid w:val="001342CA"/>
    <w:rsid w:val="00134A38"/>
    <w:rsid w:val="00135072"/>
    <w:rsid w:val="00136925"/>
    <w:rsid w:val="00136B99"/>
    <w:rsid w:val="00136C71"/>
    <w:rsid w:val="001415AC"/>
    <w:rsid w:val="00144573"/>
    <w:rsid w:val="00152794"/>
    <w:rsid w:val="00156153"/>
    <w:rsid w:val="001607E3"/>
    <w:rsid w:val="001712B9"/>
    <w:rsid w:val="0017132D"/>
    <w:rsid w:val="00191960"/>
    <w:rsid w:val="00195DBD"/>
    <w:rsid w:val="001A0769"/>
    <w:rsid w:val="001A1E2D"/>
    <w:rsid w:val="001B0395"/>
    <w:rsid w:val="001C1139"/>
    <w:rsid w:val="001C40A8"/>
    <w:rsid w:val="001C7500"/>
    <w:rsid w:val="001D4E1C"/>
    <w:rsid w:val="001D5EBD"/>
    <w:rsid w:val="001D5F96"/>
    <w:rsid w:val="001E1EEC"/>
    <w:rsid w:val="001E311B"/>
    <w:rsid w:val="001E3998"/>
    <w:rsid w:val="001E530B"/>
    <w:rsid w:val="001F1A43"/>
    <w:rsid w:val="001F4CE3"/>
    <w:rsid w:val="002022F0"/>
    <w:rsid w:val="002058D8"/>
    <w:rsid w:val="00205E4A"/>
    <w:rsid w:val="00212B2B"/>
    <w:rsid w:val="0021418E"/>
    <w:rsid w:val="00214643"/>
    <w:rsid w:val="00214BA8"/>
    <w:rsid w:val="00214F5B"/>
    <w:rsid w:val="0021549D"/>
    <w:rsid w:val="00222350"/>
    <w:rsid w:val="00223F05"/>
    <w:rsid w:val="002244EA"/>
    <w:rsid w:val="002251A8"/>
    <w:rsid w:val="00234FE6"/>
    <w:rsid w:val="00236880"/>
    <w:rsid w:val="00236AED"/>
    <w:rsid w:val="00243783"/>
    <w:rsid w:val="00243E99"/>
    <w:rsid w:val="00245C16"/>
    <w:rsid w:val="002477E7"/>
    <w:rsid w:val="00250B9E"/>
    <w:rsid w:val="0025546F"/>
    <w:rsid w:val="00263B69"/>
    <w:rsid w:val="0026629F"/>
    <w:rsid w:val="0026756A"/>
    <w:rsid w:val="00267F42"/>
    <w:rsid w:val="00274278"/>
    <w:rsid w:val="00274AA7"/>
    <w:rsid w:val="002763BD"/>
    <w:rsid w:val="00276C59"/>
    <w:rsid w:val="00277B45"/>
    <w:rsid w:val="002816C1"/>
    <w:rsid w:val="00281DC9"/>
    <w:rsid w:val="002846A3"/>
    <w:rsid w:val="00286599"/>
    <w:rsid w:val="00286BDB"/>
    <w:rsid w:val="00287C67"/>
    <w:rsid w:val="00290A08"/>
    <w:rsid w:val="002913CD"/>
    <w:rsid w:val="00292E2F"/>
    <w:rsid w:val="00297249"/>
    <w:rsid w:val="002B5444"/>
    <w:rsid w:val="002C166D"/>
    <w:rsid w:val="002C31D8"/>
    <w:rsid w:val="002C46CD"/>
    <w:rsid w:val="002D0A2D"/>
    <w:rsid w:val="002D389F"/>
    <w:rsid w:val="002D4740"/>
    <w:rsid w:val="002D747D"/>
    <w:rsid w:val="002D7A0B"/>
    <w:rsid w:val="002E01BC"/>
    <w:rsid w:val="002E1E30"/>
    <w:rsid w:val="002F2A54"/>
    <w:rsid w:val="002F3358"/>
    <w:rsid w:val="002F6B04"/>
    <w:rsid w:val="002F75D6"/>
    <w:rsid w:val="00300408"/>
    <w:rsid w:val="00300864"/>
    <w:rsid w:val="00303494"/>
    <w:rsid w:val="00304291"/>
    <w:rsid w:val="00307A34"/>
    <w:rsid w:val="0032081E"/>
    <w:rsid w:val="00322063"/>
    <w:rsid w:val="003234D0"/>
    <w:rsid w:val="00323FD2"/>
    <w:rsid w:val="00325F3D"/>
    <w:rsid w:val="0032616C"/>
    <w:rsid w:val="003302F0"/>
    <w:rsid w:val="00332047"/>
    <w:rsid w:val="00340B30"/>
    <w:rsid w:val="00341AAB"/>
    <w:rsid w:val="0034627C"/>
    <w:rsid w:val="00346717"/>
    <w:rsid w:val="00346C4D"/>
    <w:rsid w:val="00350AAD"/>
    <w:rsid w:val="00353D0D"/>
    <w:rsid w:val="0036034D"/>
    <w:rsid w:val="0036528F"/>
    <w:rsid w:val="00373EE8"/>
    <w:rsid w:val="003756D0"/>
    <w:rsid w:val="003758DF"/>
    <w:rsid w:val="00385165"/>
    <w:rsid w:val="003878BC"/>
    <w:rsid w:val="00387B8F"/>
    <w:rsid w:val="003A09DE"/>
    <w:rsid w:val="003B5A09"/>
    <w:rsid w:val="003B62C6"/>
    <w:rsid w:val="003C26F2"/>
    <w:rsid w:val="003C699E"/>
    <w:rsid w:val="003D060C"/>
    <w:rsid w:val="003D1506"/>
    <w:rsid w:val="003E0564"/>
    <w:rsid w:val="003E43C1"/>
    <w:rsid w:val="003E7FE4"/>
    <w:rsid w:val="003F57EC"/>
    <w:rsid w:val="003F6C29"/>
    <w:rsid w:val="00400EBE"/>
    <w:rsid w:val="004029EA"/>
    <w:rsid w:val="00402E35"/>
    <w:rsid w:val="00404CEF"/>
    <w:rsid w:val="0040586C"/>
    <w:rsid w:val="004103EE"/>
    <w:rsid w:val="004106B0"/>
    <w:rsid w:val="00415229"/>
    <w:rsid w:val="004153E5"/>
    <w:rsid w:val="0042159B"/>
    <w:rsid w:val="00425F24"/>
    <w:rsid w:val="0043193A"/>
    <w:rsid w:val="00435915"/>
    <w:rsid w:val="004405C3"/>
    <w:rsid w:val="0044466E"/>
    <w:rsid w:val="0045179A"/>
    <w:rsid w:val="00461E4D"/>
    <w:rsid w:val="00466E86"/>
    <w:rsid w:val="004714C6"/>
    <w:rsid w:val="00472A91"/>
    <w:rsid w:val="004741DF"/>
    <w:rsid w:val="00480632"/>
    <w:rsid w:val="00483D9D"/>
    <w:rsid w:val="00487412"/>
    <w:rsid w:val="00491567"/>
    <w:rsid w:val="004915D9"/>
    <w:rsid w:val="00497053"/>
    <w:rsid w:val="004A7E53"/>
    <w:rsid w:val="004B174A"/>
    <w:rsid w:val="004B2729"/>
    <w:rsid w:val="004B7A5A"/>
    <w:rsid w:val="004D096D"/>
    <w:rsid w:val="004E06A5"/>
    <w:rsid w:val="004E2A3B"/>
    <w:rsid w:val="004F08B6"/>
    <w:rsid w:val="004F0D0C"/>
    <w:rsid w:val="005005B0"/>
    <w:rsid w:val="005051D8"/>
    <w:rsid w:val="005068FD"/>
    <w:rsid w:val="00511761"/>
    <w:rsid w:val="00512601"/>
    <w:rsid w:val="005133D1"/>
    <w:rsid w:val="00514850"/>
    <w:rsid w:val="0052698E"/>
    <w:rsid w:val="005273F6"/>
    <w:rsid w:val="0053165E"/>
    <w:rsid w:val="005450CD"/>
    <w:rsid w:val="005455F8"/>
    <w:rsid w:val="00546963"/>
    <w:rsid w:val="005506C0"/>
    <w:rsid w:val="005525C5"/>
    <w:rsid w:val="00552825"/>
    <w:rsid w:val="00552E9A"/>
    <w:rsid w:val="00555BF2"/>
    <w:rsid w:val="00560B7A"/>
    <w:rsid w:val="005662C7"/>
    <w:rsid w:val="005701E5"/>
    <w:rsid w:val="005704B1"/>
    <w:rsid w:val="00574C0F"/>
    <w:rsid w:val="00576B0A"/>
    <w:rsid w:val="0058111F"/>
    <w:rsid w:val="005814FF"/>
    <w:rsid w:val="00587B07"/>
    <w:rsid w:val="00593529"/>
    <w:rsid w:val="00595DD6"/>
    <w:rsid w:val="00597678"/>
    <w:rsid w:val="005B17C7"/>
    <w:rsid w:val="005B2B24"/>
    <w:rsid w:val="005B4E89"/>
    <w:rsid w:val="005B6006"/>
    <w:rsid w:val="005B6B03"/>
    <w:rsid w:val="005D2173"/>
    <w:rsid w:val="005D3C6C"/>
    <w:rsid w:val="005D49FC"/>
    <w:rsid w:val="005D57A3"/>
    <w:rsid w:val="005E0CBE"/>
    <w:rsid w:val="005E34D3"/>
    <w:rsid w:val="005E4DF8"/>
    <w:rsid w:val="005E6D77"/>
    <w:rsid w:val="005F1C6A"/>
    <w:rsid w:val="005F37FE"/>
    <w:rsid w:val="005F6762"/>
    <w:rsid w:val="006032BE"/>
    <w:rsid w:val="00603BF2"/>
    <w:rsid w:val="00604836"/>
    <w:rsid w:val="0061453A"/>
    <w:rsid w:val="00615066"/>
    <w:rsid w:val="006173FB"/>
    <w:rsid w:val="0062100C"/>
    <w:rsid w:val="00622049"/>
    <w:rsid w:val="006254D9"/>
    <w:rsid w:val="00630894"/>
    <w:rsid w:val="00632164"/>
    <w:rsid w:val="00634519"/>
    <w:rsid w:val="0063492B"/>
    <w:rsid w:val="0063574E"/>
    <w:rsid w:val="00637B92"/>
    <w:rsid w:val="00642CE2"/>
    <w:rsid w:val="0066177A"/>
    <w:rsid w:val="006709AB"/>
    <w:rsid w:val="00671086"/>
    <w:rsid w:val="00675F10"/>
    <w:rsid w:val="0067638A"/>
    <w:rsid w:val="00681463"/>
    <w:rsid w:val="006A0DC4"/>
    <w:rsid w:val="006A124D"/>
    <w:rsid w:val="006A42FC"/>
    <w:rsid w:val="006B001A"/>
    <w:rsid w:val="006B00ED"/>
    <w:rsid w:val="006B03B4"/>
    <w:rsid w:val="006B1EA9"/>
    <w:rsid w:val="006B2C25"/>
    <w:rsid w:val="006B5871"/>
    <w:rsid w:val="006B61C6"/>
    <w:rsid w:val="006C178D"/>
    <w:rsid w:val="006D034C"/>
    <w:rsid w:val="006D1AC0"/>
    <w:rsid w:val="006D31B0"/>
    <w:rsid w:val="006E21DF"/>
    <w:rsid w:val="006E71B7"/>
    <w:rsid w:val="006F0149"/>
    <w:rsid w:val="006F3A3C"/>
    <w:rsid w:val="00700E9D"/>
    <w:rsid w:val="007038B8"/>
    <w:rsid w:val="00706655"/>
    <w:rsid w:val="00707026"/>
    <w:rsid w:val="007070DA"/>
    <w:rsid w:val="0071055C"/>
    <w:rsid w:val="0071163D"/>
    <w:rsid w:val="00717815"/>
    <w:rsid w:val="00720747"/>
    <w:rsid w:val="00723996"/>
    <w:rsid w:val="00723F9B"/>
    <w:rsid w:val="00730B67"/>
    <w:rsid w:val="00730C96"/>
    <w:rsid w:val="00731C59"/>
    <w:rsid w:val="00735FBA"/>
    <w:rsid w:val="00737262"/>
    <w:rsid w:val="0074158C"/>
    <w:rsid w:val="007457B7"/>
    <w:rsid w:val="00746C58"/>
    <w:rsid w:val="00746D19"/>
    <w:rsid w:val="00751A8F"/>
    <w:rsid w:val="00752DF7"/>
    <w:rsid w:val="007536BB"/>
    <w:rsid w:val="00761A28"/>
    <w:rsid w:val="00763F43"/>
    <w:rsid w:val="0076667E"/>
    <w:rsid w:val="007666EA"/>
    <w:rsid w:val="007715B1"/>
    <w:rsid w:val="00777DB0"/>
    <w:rsid w:val="00781212"/>
    <w:rsid w:val="00783DEA"/>
    <w:rsid w:val="0078525C"/>
    <w:rsid w:val="0078542C"/>
    <w:rsid w:val="007854A7"/>
    <w:rsid w:val="007903F7"/>
    <w:rsid w:val="00791C24"/>
    <w:rsid w:val="007966CC"/>
    <w:rsid w:val="00797207"/>
    <w:rsid w:val="007A7916"/>
    <w:rsid w:val="007B438B"/>
    <w:rsid w:val="007B7CC4"/>
    <w:rsid w:val="007C165D"/>
    <w:rsid w:val="007C19D1"/>
    <w:rsid w:val="007D505D"/>
    <w:rsid w:val="007E2827"/>
    <w:rsid w:val="007E4673"/>
    <w:rsid w:val="007E5F13"/>
    <w:rsid w:val="007E6B95"/>
    <w:rsid w:val="007F3608"/>
    <w:rsid w:val="007F3ED5"/>
    <w:rsid w:val="007F70E5"/>
    <w:rsid w:val="007F79F8"/>
    <w:rsid w:val="007F7A38"/>
    <w:rsid w:val="00800BD1"/>
    <w:rsid w:val="00801B5A"/>
    <w:rsid w:val="00802D73"/>
    <w:rsid w:val="00814EAA"/>
    <w:rsid w:val="008166D4"/>
    <w:rsid w:val="008245A1"/>
    <w:rsid w:val="00826D15"/>
    <w:rsid w:val="008312A3"/>
    <w:rsid w:val="00832316"/>
    <w:rsid w:val="008337BF"/>
    <w:rsid w:val="00844228"/>
    <w:rsid w:val="00851EA9"/>
    <w:rsid w:val="008613CF"/>
    <w:rsid w:val="008633AB"/>
    <w:rsid w:val="00864D67"/>
    <w:rsid w:val="0087285E"/>
    <w:rsid w:val="00874796"/>
    <w:rsid w:val="00877370"/>
    <w:rsid w:val="008801CF"/>
    <w:rsid w:val="00880980"/>
    <w:rsid w:val="00882E5D"/>
    <w:rsid w:val="008851BF"/>
    <w:rsid w:val="008870CF"/>
    <w:rsid w:val="00894E62"/>
    <w:rsid w:val="008A243F"/>
    <w:rsid w:val="008A2DAC"/>
    <w:rsid w:val="008A341F"/>
    <w:rsid w:val="008A4C31"/>
    <w:rsid w:val="008A7E57"/>
    <w:rsid w:val="008C03AB"/>
    <w:rsid w:val="008C1014"/>
    <w:rsid w:val="008C3B5D"/>
    <w:rsid w:val="008C5D91"/>
    <w:rsid w:val="008C768E"/>
    <w:rsid w:val="008C77DC"/>
    <w:rsid w:val="008D4A72"/>
    <w:rsid w:val="008D4E96"/>
    <w:rsid w:val="008D7F13"/>
    <w:rsid w:val="008E33DB"/>
    <w:rsid w:val="008E5E52"/>
    <w:rsid w:val="008E7521"/>
    <w:rsid w:val="008E7560"/>
    <w:rsid w:val="008F2B5F"/>
    <w:rsid w:val="008F383C"/>
    <w:rsid w:val="008F5C9D"/>
    <w:rsid w:val="0090011A"/>
    <w:rsid w:val="0090099F"/>
    <w:rsid w:val="00903746"/>
    <w:rsid w:val="00904DA7"/>
    <w:rsid w:val="009057AC"/>
    <w:rsid w:val="00907290"/>
    <w:rsid w:val="009127B8"/>
    <w:rsid w:val="00917D66"/>
    <w:rsid w:val="009205A2"/>
    <w:rsid w:val="009259F7"/>
    <w:rsid w:val="00927AA6"/>
    <w:rsid w:val="00927DA3"/>
    <w:rsid w:val="0093012D"/>
    <w:rsid w:val="00935D04"/>
    <w:rsid w:val="00940601"/>
    <w:rsid w:val="009412AF"/>
    <w:rsid w:val="00945BF9"/>
    <w:rsid w:val="00957407"/>
    <w:rsid w:val="00966C9C"/>
    <w:rsid w:val="00972369"/>
    <w:rsid w:val="00976133"/>
    <w:rsid w:val="00982767"/>
    <w:rsid w:val="00990602"/>
    <w:rsid w:val="0099099E"/>
    <w:rsid w:val="00992EB8"/>
    <w:rsid w:val="00996064"/>
    <w:rsid w:val="009A1C71"/>
    <w:rsid w:val="009A3E2D"/>
    <w:rsid w:val="009B5B09"/>
    <w:rsid w:val="009B613B"/>
    <w:rsid w:val="009C0074"/>
    <w:rsid w:val="009C0DF7"/>
    <w:rsid w:val="009C25B7"/>
    <w:rsid w:val="009C5611"/>
    <w:rsid w:val="009C66B1"/>
    <w:rsid w:val="009D4F91"/>
    <w:rsid w:val="009E0E78"/>
    <w:rsid w:val="009E3F64"/>
    <w:rsid w:val="009E72E4"/>
    <w:rsid w:val="009F4F38"/>
    <w:rsid w:val="009F6567"/>
    <w:rsid w:val="009F6629"/>
    <w:rsid w:val="00A05038"/>
    <w:rsid w:val="00A06019"/>
    <w:rsid w:val="00A1306C"/>
    <w:rsid w:val="00A15081"/>
    <w:rsid w:val="00A22EE2"/>
    <w:rsid w:val="00A233FE"/>
    <w:rsid w:val="00A243F7"/>
    <w:rsid w:val="00A25A8A"/>
    <w:rsid w:val="00A27C97"/>
    <w:rsid w:val="00A31418"/>
    <w:rsid w:val="00A37595"/>
    <w:rsid w:val="00A41FD0"/>
    <w:rsid w:val="00A44CF4"/>
    <w:rsid w:val="00A45E1E"/>
    <w:rsid w:val="00A47D34"/>
    <w:rsid w:val="00A50098"/>
    <w:rsid w:val="00A508F9"/>
    <w:rsid w:val="00A5246B"/>
    <w:rsid w:val="00A53C74"/>
    <w:rsid w:val="00A54F8E"/>
    <w:rsid w:val="00A64713"/>
    <w:rsid w:val="00A66FC6"/>
    <w:rsid w:val="00A678C7"/>
    <w:rsid w:val="00A67EBF"/>
    <w:rsid w:val="00A749D0"/>
    <w:rsid w:val="00A74D51"/>
    <w:rsid w:val="00A77B72"/>
    <w:rsid w:val="00A80583"/>
    <w:rsid w:val="00A83F9C"/>
    <w:rsid w:val="00A847AE"/>
    <w:rsid w:val="00A87C90"/>
    <w:rsid w:val="00A87E2C"/>
    <w:rsid w:val="00A96824"/>
    <w:rsid w:val="00A97309"/>
    <w:rsid w:val="00AA3251"/>
    <w:rsid w:val="00AA4306"/>
    <w:rsid w:val="00AA4E28"/>
    <w:rsid w:val="00AA69B6"/>
    <w:rsid w:val="00AA6CB9"/>
    <w:rsid w:val="00AA7E09"/>
    <w:rsid w:val="00AB063A"/>
    <w:rsid w:val="00AB3528"/>
    <w:rsid w:val="00AB665A"/>
    <w:rsid w:val="00AD1B80"/>
    <w:rsid w:val="00AD3F93"/>
    <w:rsid w:val="00AE1B38"/>
    <w:rsid w:val="00AE4678"/>
    <w:rsid w:val="00AE47BE"/>
    <w:rsid w:val="00AE5D51"/>
    <w:rsid w:val="00AF06EA"/>
    <w:rsid w:val="00AF31F4"/>
    <w:rsid w:val="00AF6C21"/>
    <w:rsid w:val="00B05E4D"/>
    <w:rsid w:val="00B11248"/>
    <w:rsid w:val="00B11306"/>
    <w:rsid w:val="00B12530"/>
    <w:rsid w:val="00B14866"/>
    <w:rsid w:val="00B15577"/>
    <w:rsid w:val="00B20831"/>
    <w:rsid w:val="00B21826"/>
    <w:rsid w:val="00B21B3A"/>
    <w:rsid w:val="00B41049"/>
    <w:rsid w:val="00B44741"/>
    <w:rsid w:val="00B5165F"/>
    <w:rsid w:val="00B55635"/>
    <w:rsid w:val="00B614AA"/>
    <w:rsid w:val="00B62443"/>
    <w:rsid w:val="00B702DD"/>
    <w:rsid w:val="00B737EA"/>
    <w:rsid w:val="00B7510E"/>
    <w:rsid w:val="00B7656A"/>
    <w:rsid w:val="00B768B8"/>
    <w:rsid w:val="00B90BDC"/>
    <w:rsid w:val="00B90C1F"/>
    <w:rsid w:val="00B9383E"/>
    <w:rsid w:val="00B961B2"/>
    <w:rsid w:val="00BA70E7"/>
    <w:rsid w:val="00BB0749"/>
    <w:rsid w:val="00BB458E"/>
    <w:rsid w:val="00BB481A"/>
    <w:rsid w:val="00BB498D"/>
    <w:rsid w:val="00BB5794"/>
    <w:rsid w:val="00BB712C"/>
    <w:rsid w:val="00BC5BD9"/>
    <w:rsid w:val="00BD20E5"/>
    <w:rsid w:val="00BD3E80"/>
    <w:rsid w:val="00BD7609"/>
    <w:rsid w:val="00BE0A82"/>
    <w:rsid w:val="00BE595F"/>
    <w:rsid w:val="00BF4AC8"/>
    <w:rsid w:val="00BF513D"/>
    <w:rsid w:val="00BF6C79"/>
    <w:rsid w:val="00C05E08"/>
    <w:rsid w:val="00C061C5"/>
    <w:rsid w:val="00C06390"/>
    <w:rsid w:val="00C06D3C"/>
    <w:rsid w:val="00C15C6C"/>
    <w:rsid w:val="00C2338A"/>
    <w:rsid w:val="00C23F96"/>
    <w:rsid w:val="00C24A21"/>
    <w:rsid w:val="00C31BAB"/>
    <w:rsid w:val="00C335BF"/>
    <w:rsid w:val="00C34F36"/>
    <w:rsid w:val="00C44AB1"/>
    <w:rsid w:val="00C52FAD"/>
    <w:rsid w:val="00C57A42"/>
    <w:rsid w:val="00C62298"/>
    <w:rsid w:val="00C76629"/>
    <w:rsid w:val="00C84561"/>
    <w:rsid w:val="00C84EDC"/>
    <w:rsid w:val="00C91560"/>
    <w:rsid w:val="00C91DD8"/>
    <w:rsid w:val="00CA2D7E"/>
    <w:rsid w:val="00CA3F37"/>
    <w:rsid w:val="00CA67B4"/>
    <w:rsid w:val="00CB41BF"/>
    <w:rsid w:val="00CC1195"/>
    <w:rsid w:val="00CD6132"/>
    <w:rsid w:val="00CE0F12"/>
    <w:rsid w:val="00CE1C83"/>
    <w:rsid w:val="00CE2F39"/>
    <w:rsid w:val="00CE5DE5"/>
    <w:rsid w:val="00CE5E37"/>
    <w:rsid w:val="00CF14E1"/>
    <w:rsid w:val="00CF288D"/>
    <w:rsid w:val="00CF4DF6"/>
    <w:rsid w:val="00CF4FEB"/>
    <w:rsid w:val="00D10CC9"/>
    <w:rsid w:val="00D13678"/>
    <w:rsid w:val="00D1518B"/>
    <w:rsid w:val="00D16186"/>
    <w:rsid w:val="00D16B1E"/>
    <w:rsid w:val="00D26FFC"/>
    <w:rsid w:val="00D33097"/>
    <w:rsid w:val="00D347DF"/>
    <w:rsid w:val="00D41B6C"/>
    <w:rsid w:val="00D448B8"/>
    <w:rsid w:val="00D541AB"/>
    <w:rsid w:val="00D56203"/>
    <w:rsid w:val="00D56C3E"/>
    <w:rsid w:val="00D57B7F"/>
    <w:rsid w:val="00D61C0B"/>
    <w:rsid w:val="00D63BB5"/>
    <w:rsid w:val="00D705D2"/>
    <w:rsid w:val="00D7088F"/>
    <w:rsid w:val="00D74904"/>
    <w:rsid w:val="00D74A94"/>
    <w:rsid w:val="00D7544A"/>
    <w:rsid w:val="00D76CBC"/>
    <w:rsid w:val="00D806B7"/>
    <w:rsid w:val="00D85DDC"/>
    <w:rsid w:val="00D94951"/>
    <w:rsid w:val="00D95A90"/>
    <w:rsid w:val="00D979C3"/>
    <w:rsid w:val="00DA28BE"/>
    <w:rsid w:val="00DA29B6"/>
    <w:rsid w:val="00DA2E44"/>
    <w:rsid w:val="00DA56EC"/>
    <w:rsid w:val="00DA7464"/>
    <w:rsid w:val="00DA79CD"/>
    <w:rsid w:val="00DC51B2"/>
    <w:rsid w:val="00DD5483"/>
    <w:rsid w:val="00DD7283"/>
    <w:rsid w:val="00DD7C4F"/>
    <w:rsid w:val="00DE0214"/>
    <w:rsid w:val="00DE1F24"/>
    <w:rsid w:val="00DE4B03"/>
    <w:rsid w:val="00DE7E01"/>
    <w:rsid w:val="00DF12C7"/>
    <w:rsid w:val="00DF315F"/>
    <w:rsid w:val="00DF7FD2"/>
    <w:rsid w:val="00E00BEF"/>
    <w:rsid w:val="00E02088"/>
    <w:rsid w:val="00E041C8"/>
    <w:rsid w:val="00E045DC"/>
    <w:rsid w:val="00E0619E"/>
    <w:rsid w:val="00E0758F"/>
    <w:rsid w:val="00E17312"/>
    <w:rsid w:val="00E21078"/>
    <w:rsid w:val="00E33DB9"/>
    <w:rsid w:val="00E40F11"/>
    <w:rsid w:val="00E43C0E"/>
    <w:rsid w:val="00E446FA"/>
    <w:rsid w:val="00E448CA"/>
    <w:rsid w:val="00E45E12"/>
    <w:rsid w:val="00E47E28"/>
    <w:rsid w:val="00E50F64"/>
    <w:rsid w:val="00E54DCA"/>
    <w:rsid w:val="00E60449"/>
    <w:rsid w:val="00E6185C"/>
    <w:rsid w:val="00E674AA"/>
    <w:rsid w:val="00E83504"/>
    <w:rsid w:val="00E851D8"/>
    <w:rsid w:val="00E85E4B"/>
    <w:rsid w:val="00E9349A"/>
    <w:rsid w:val="00EA0DC8"/>
    <w:rsid w:val="00EA12A6"/>
    <w:rsid w:val="00EA3AA7"/>
    <w:rsid w:val="00EA5F2A"/>
    <w:rsid w:val="00EB0BCE"/>
    <w:rsid w:val="00EB0F4E"/>
    <w:rsid w:val="00EC43DC"/>
    <w:rsid w:val="00EC6510"/>
    <w:rsid w:val="00ED40D9"/>
    <w:rsid w:val="00ED52B1"/>
    <w:rsid w:val="00EE2EF9"/>
    <w:rsid w:val="00EE7B36"/>
    <w:rsid w:val="00EE7C67"/>
    <w:rsid w:val="00EF064B"/>
    <w:rsid w:val="00F02588"/>
    <w:rsid w:val="00F0492B"/>
    <w:rsid w:val="00F04A9F"/>
    <w:rsid w:val="00F11993"/>
    <w:rsid w:val="00F1409B"/>
    <w:rsid w:val="00F14E55"/>
    <w:rsid w:val="00F17AE5"/>
    <w:rsid w:val="00F21B63"/>
    <w:rsid w:val="00F328C2"/>
    <w:rsid w:val="00F3636D"/>
    <w:rsid w:val="00F37D3A"/>
    <w:rsid w:val="00F42525"/>
    <w:rsid w:val="00F54EF5"/>
    <w:rsid w:val="00F57936"/>
    <w:rsid w:val="00F61077"/>
    <w:rsid w:val="00F628A3"/>
    <w:rsid w:val="00F645A2"/>
    <w:rsid w:val="00F8685A"/>
    <w:rsid w:val="00F87BEF"/>
    <w:rsid w:val="00F91CA8"/>
    <w:rsid w:val="00F93103"/>
    <w:rsid w:val="00F94978"/>
    <w:rsid w:val="00F96E42"/>
    <w:rsid w:val="00F97EA5"/>
    <w:rsid w:val="00FA0242"/>
    <w:rsid w:val="00FA1FFC"/>
    <w:rsid w:val="00FA37EF"/>
    <w:rsid w:val="00FA42DE"/>
    <w:rsid w:val="00FA51CD"/>
    <w:rsid w:val="00FB50A3"/>
    <w:rsid w:val="00FC0C2F"/>
    <w:rsid w:val="00FC3AA3"/>
    <w:rsid w:val="00FD1F44"/>
    <w:rsid w:val="00FD5DFB"/>
    <w:rsid w:val="00FD6451"/>
    <w:rsid w:val="00FE0C37"/>
    <w:rsid w:val="00FE21D4"/>
    <w:rsid w:val="00FF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C6269"/>
  <w15:chartTrackingRefBased/>
  <w15:docId w15:val="{6A287F3B-052A-4FC2-AE3A-BCCF53D41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E2D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A749D0"/>
    <w:pPr>
      <w:keepNext/>
      <w:keepLines/>
      <w:ind w:firstLineChars="0" w:firstLine="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749D0"/>
    <w:pPr>
      <w:keepNext/>
      <w:keepLines/>
      <w:ind w:firstLineChars="0" w:firstLine="0"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00408"/>
    <w:pPr>
      <w:keepNext/>
      <w:keepLines/>
      <w:ind w:firstLineChars="0" w:firstLine="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E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E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E2D"/>
    <w:rPr>
      <w:sz w:val="18"/>
      <w:szCs w:val="18"/>
    </w:rPr>
  </w:style>
  <w:style w:type="paragraph" w:styleId="a7">
    <w:name w:val="List Paragraph"/>
    <w:basedOn w:val="a"/>
    <w:uiPriority w:val="34"/>
    <w:qFormat/>
    <w:rsid w:val="00BA70E7"/>
    <w:pPr>
      <w:ind w:firstLine="420"/>
    </w:pPr>
  </w:style>
  <w:style w:type="table" w:styleId="a8">
    <w:name w:val="Table Grid"/>
    <w:basedOn w:val="a1"/>
    <w:uiPriority w:val="39"/>
    <w:rsid w:val="00A66FC6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1027D7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1027D7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1027D7"/>
    <w:rPr>
      <w:rFonts w:ascii="Times New Roman" w:eastAsia="宋体" w:hAnsi="Times New Roman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027D7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027D7"/>
    <w:rPr>
      <w:rFonts w:ascii="Times New Roman" w:eastAsia="宋体" w:hAnsi="Times New Roman"/>
      <w:b/>
      <w:bCs/>
      <w:sz w:val="24"/>
    </w:rPr>
  </w:style>
  <w:style w:type="character" w:customStyle="1" w:styleId="20">
    <w:name w:val="标题 2 字符"/>
    <w:basedOn w:val="a0"/>
    <w:link w:val="2"/>
    <w:uiPriority w:val="9"/>
    <w:rsid w:val="00A749D0"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A749D0"/>
    <w:rPr>
      <w:rFonts w:ascii="Times New Roman" w:eastAsia="宋体" w:hAnsi="Times New Roman"/>
      <w:b/>
      <w:bCs/>
      <w:kern w:val="44"/>
      <w:sz w:val="24"/>
      <w:szCs w:val="44"/>
    </w:rPr>
  </w:style>
  <w:style w:type="character" w:customStyle="1" w:styleId="30">
    <w:name w:val="标题 3 字符"/>
    <w:basedOn w:val="a0"/>
    <w:link w:val="3"/>
    <w:uiPriority w:val="9"/>
    <w:rsid w:val="00300408"/>
    <w:rPr>
      <w:rFonts w:ascii="Times New Roman" w:eastAsia="宋体" w:hAnsi="Times New Roman"/>
      <w:b/>
      <w:bCs/>
      <w:sz w:val="24"/>
      <w:szCs w:val="32"/>
    </w:rPr>
  </w:style>
  <w:style w:type="character" w:styleId="ae">
    <w:name w:val="Hyperlink"/>
    <w:basedOn w:val="a0"/>
    <w:uiPriority w:val="99"/>
    <w:unhideWhenUsed/>
    <w:rsid w:val="00156153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156153"/>
    <w:rPr>
      <w:color w:val="605E5C"/>
      <w:shd w:val="clear" w:color="auto" w:fill="E1DFDD"/>
    </w:rPr>
  </w:style>
  <w:style w:type="character" w:styleId="af0">
    <w:name w:val="Strong"/>
    <w:basedOn w:val="a0"/>
    <w:uiPriority w:val="22"/>
    <w:qFormat/>
    <w:rsid w:val="001B0395"/>
    <w:rPr>
      <w:b/>
    </w:rPr>
  </w:style>
  <w:style w:type="character" w:styleId="af1">
    <w:name w:val="line number"/>
    <w:basedOn w:val="a0"/>
    <w:uiPriority w:val="99"/>
    <w:semiHidden/>
    <w:unhideWhenUsed/>
    <w:rsid w:val="00F025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87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1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1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2.bin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587DE-CAA3-4E1F-A165-87FE59BA7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6889</TotalTime>
  <Pages>13</Pages>
  <Words>1138</Words>
  <Characters>6489</Characters>
  <Application>Microsoft Office Word</Application>
  <DocSecurity>0</DocSecurity>
  <Lines>54</Lines>
  <Paragraphs>15</Paragraphs>
  <ScaleCrop>false</ScaleCrop>
  <Company/>
  <LinksUpToDate>false</LinksUpToDate>
  <CharactersWithSpaces>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1183212706@qq.com</dc:creator>
  <cp:keywords/>
  <dc:description/>
  <cp:lastModifiedBy>Huo Lixin</cp:lastModifiedBy>
  <cp:revision>271</cp:revision>
  <dcterms:created xsi:type="dcterms:W3CDTF">2022-03-10T00:56:00Z</dcterms:created>
  <dcterms:modified xsi:type="dcterms:W3CDTF">2022-09-05T08:51:00Z</dcterms:modified>
</cp:coreProperties>
</file>