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2A377F" w14:textId="77777777" w:rsidR="005144F6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  <w:u w:val="single"/>
        </w:rPr>
      </w:pPr>
      <w:r w:rsidRPr="000C4380">
        <w:rPr>
          <w:b/>
          <w:bCs/>
          <w:u w:val="single"/>
        </w:rPr>
        <w:t>Supplementary Figure</w:t>
      </w:r>
      <w:r>
        <w:rPr>
          <w:b/>
          <w:bCs/>
          <w:u w:val="single"/>
        </w:rPr>
        <w:t>s</w:t>
      </w:r>
    </w:p>
    <w:p w14:paraId="7F9FE91C" w14:textId="77777777" w:rsidR="005144F6" w:rsidRPr="000C4380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  <w:u w:val="single"/>
        </w:rPr>
      </w:pPr>
    </w:p>
    <w:p w14:paraId="34BEDF8B" w14:textId="77777777" w:rsidR="005144F6" w:rsidRDefault="005144F6" w:rsidP="005144F6">
      <w:pPr>
        <w:jc w:val="both"/>
        <w:rPr>
          <w:rFonts w:eastAsiaTheme="minorHAnsi"/>
        </w:rPr>
      </w:pPr>
    </w:p>
    <w:p w14:paraId="1992A174" w14:textId="77777777" w:rsidR="005144F6" w:rsidRPr="00442229" w:rsidRDefault="005144F6" w:rsidP="005144F6">
      <w:pPr>
        <w:jc w:val="both"/>
        <w:rPr>
          <w:rFonts w:eastAsiaTheme="minorHAnsi"/>
        </w:rPr>
      </w:pPr>
      <w:r>
        <w:rPr>
          <w:rFonts w:eastAsiaTheme="minorHAnsi"/>
          <w:noProof/>
          <w:lang w:val="en-GB" w:eastAsia="en-GB"/>
        </w:rPr>
        <w:drawing>
          <wp:inline distT="0" distB="0" distL="0" distR="0" wp14:anchorId="4C3ACAC1" wp14:editId="0681293B">
            <wp:extent cx="6676390" cy="4852555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28"/>
                    <a:stretch/>
                  </pic:blipFill>
                  <pic:spPr bwMode="auto">
                    <a:xfrm>
                      <a:off x="0" y="0"/>
                      <a:ext cx="6693313" cy="4864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489D55" w14:textId="77777777" w:rsidR="005144F6" w:rsidRDefault="005144F6" w:rsidP="005144F6">
      <w:pPr>
        <w:jc w:val="both"/>
        <w:rPr>
          <w:bCs/>
        </w:rPr>
      </w:pPr>
      <w:r>
        <w:rPr>
          <w:b/>
          <w:bCs/>
        </w:rPr>
        <w:t>Supplementary Figure 1</w:t>
      </w:r>
      <w:r w:rsidRPr="000C4380">
        <w:rPr>
          <w:b/>
          <w:bCs/>
        </w:rPr>
        <w:t>. Gating strategy for RNA-sequencing and Ingenuity Pathway Analysis</w:t>
      </w:r>
      <w:r>
        <w:rPr>
          <w:b/>
          <w:bCs/>
        </w:rPr>
        <w:t>.</w:t>
      </w:r>
      <w:r w:rsidRPr="000C4380">
        <w:rPr>
          <w:b/>
          <w:bCs/>
        </w:rPr>
        <w:t xml:space="preserve"> </w:t>
      </w:r>
      <w:r w:rsidRPr="00D6691C">
        <w:rPr>
          <w:b/>
          <w:bCs/>
        </w:rPr>
        <w:t>A)</w:t>
      </w:r>
      <w:r w:rsidRPr="000C4380">
        <w:rPr>
          <w:b/>
          <w:bCs/>
        </w:rPr>
        <w:t xml:space="preserve"> </w:t>
      </w:r>
      <w:r w:rsidRPr="000C4380">
        <w:t>Gating strategy for cell sorting: bulk RNA</w:t>
      </w:r>
      <w:r>
        <w:t>-</w:t>
      </w:r>
      <w:r w:rsidRPr="000C4380">
        <w:t>seq (</w:t>
      </w:r>
      <w:r>
        <w:t>Smart-Seq2</w:t>
      </w:r>
      <w:r w:rsidRPr="000C4380">
        <w:t>) and 10x single cell</w:t>
      </w:r>
      <w:r>
        <w:t xml:space="preserve"> RNA-seq</w:t>
      </w:r>
      <w:r w:rsidRPr="000C4380">
        <w:rPr>
          <w:b/>
          <w:bCs/>
        </w:rPr>
        <w:t xml:space="preserve">. </w:t>
      </w:r>
      <w:r w:rsidRPr="000C4380">
        <w:t>PBMC</w:t>
      </w:r>
      <w:r>
        <w:t>s</w:t>
      </w:r>
      <w:r w:rsidRPr="000C4380">
        <w:t xml:space="preserve"> were stained with viability dye, CD3, CD19, CD66b and CD14 and FACS-sorted. Cells were gated on singlet+ Live+ cells. P1 (CD3</w:t>
      </w:r>
      <w:r w:rsidRPr="00D6691C">
        <w:rPr>
          <w:vertAlign w:val="superscript"/>
        </w:rPr>
        <w:t>+</w:t>
      </w:r>
      <w:r w:rsidRPr="000C4380">
        <w:t>), P3 (CD19</w:t>
      </w:r>
      <w:r w:rsidRPr="00D6691C">
        <w:rPr>
          <w:vertAlign w:val="superscript"/>
        </w:rPr>
        <w:t>+</w:t>
      </w:r>
      <w:r w:rsidRPr="000C4380">
        <w:t>) and P5 (CD14</w:t>
      </w:r>
      <w:r w:rsidRPr="00D6691C">
        <w:rPr>
          <w:vertAlign w:val="superscript"/>
        </w:rPr>
        <w:t>+</w:t>
      </w:r>
      <w:r w:rsidRPr="000C4380">
        <w:t>) were gated on P2, CD3</w:t>
      </w:r>
      <w:r w:rsidRPr="00D6691C">
        <w:rPr>
          <w:rFonts w:ascii="Symbol" w:hAnsi="Symbol"/>
          <w:vertAlign w:val="superscript"/>
        </w:rPr>
        <w:t></w:t>
      </w:r>
      <w:r w:rsidRPr="000C4380">
        <w:t xml:space="preserve">. </w:t>
      </w:r>
      <w:r w:rsidRPr="00D6691C">
        <w:rPr>
          <w:b/>
          <w:bCs/>
        </w:rPr>
        <w:t>B-D)</w:t>
      </w:r>
      <w:r w:rsidRPr="000C4380">
        <w:rPr>
          <w:b/>
          <w:bCs/>
        </w:rPr>
        <w:t xml:space="preserve"> </w:t>
      </w:r>
      <w:r w:rsidRPr="000C4380">
        <w:rPr>
          <w:bCs/>
        </w:rPr>
        <w:t xml:space="preserve">Ingenuity Pathways Analysis on DEG genes (p&lt;0.05) of comparisons between healthy volunteers and COVID-19 </w:t>
      </w:r>
      <w:r>
        <w:rPr>
          <w:bCs/>
        </w:rPr>
        <w:t>subjects</w:t>
      </w:r>
      <w:r>
        <w:rPr>
          <w:b/>
        </w:rPr>
        <w:t xml:space="preserve"> </w:t>
      </w:r>
      <w:r w:rsidRPr="0031787D">
        <w:rPr>
          <w:bCs/>
        </w:rPr>
        <w:t>in</w:t>
      </w:r>
      <w:r w:rsidRPr="000C4380">
        <w:rPr>
          <w:bCs/>
        </w:rPr>
        <w:t xml:space="preserve"> CD3</w:t>
      </w:r>
      <w:r w:rsidRPr="0031787D">
        <w:rPr>
          <w:bCs/>
          <w:vertAlign w:val="superscript"/>
        </w:rPr>
        <w:t>+</w:t>
      </w:r>
      <w:r>
        <w:rPr>
          <w:bCs/>
        </w:rPr>
        <w:t xml:space="preserve"> T cells </w:t>
      </w:r>
      <w:r w:rsidRPr="0031787D">
        <w:rPr>
          <w:b/>
        </w:rPr>
        <w:t>(B)</w:t>
      </w:r>
      <w:r w:rsidRPr="0031787D">
        <w:rPr>
          <w:bCs/>
        </w:rPr>
        <w:t>,</w:t>
      </w:r>
      <w:r w:rsidRPr="000C4380">
        <w:rPr>
          <w:bCs/>
        </w:rPr>
        <w:t xml:space="preserve"> CD19</w:t>
      </w:r>
      <w:r w:rsidRPr="0031787D">
        <w:rPr>
          <w:bCs/>
          <w:vertAlign w:val="superscript"/>
        </w:rPr>
        <w:t>+</w:t>
      </w:r>
      <w:r w:rsidRPr="000C4380">
        <w:rPr>
          <w:bCs/>
        </w:rPr>
        <w:t xml:space="preserve"> </w:t>
      </w:r>
      <w:r>
        <w:rPr>
          <w:bCs/>
        </w:rPr>
        <w:t xml:space="preserve">B cells </w:t>
      </w:r>
      <w:r w:rsidRPr="0031787D">
        <w:rPr>
          <w:b/>
        </w:rPr>
        <w:t xml:space="preserve">(C) </w:t>
      </w:r>
      <w:r w:rsidRPr="000C4380">
        <w:rPr>
          <w:bCs/>
        </w:rPr>
        <w:t xml:space="preserve">and </w:t>
      </w:r>
      <w:r>
        <w:rPr>
          <w:bCs/>
        </w:rPr>
        <w:t>m</w:t>
      </w:r>
      <w:r w:rsidRPr="000C4380">
        <w:rPr>
          <w:bCs/>
        </w:rPr>
        <w:t>onocytes</w:t>
      </w:r>
      <w:r>
        <w:rPr>
          <w:bCs/>
        </w:rPr>
        <w:t xml:space="preserve"> </w:t>
      </w:r>
      <w:r w:rsidRPr="0031787D">
        <w:rPr>
          <w:b/>
        </w:rPr>
        <w:t>(D)</w:t>
      </w:r>
      <w:r w:rsidRPr="000C4380">
        <w:rPr>
          <w:bCs/>
        </w:rPr>
        <w:t xml:space="preserve">. N=7 </w:t>
      </w:r>
      <w:r>
        <w:rPr>
          <w:bCs/>
        </w:rPr>
        <w:t>h</w:t>
      </w:r>
      <w:r w:rsidRPr="000C4380">
        <w:rPr>
          <w:bCs/>
        </w:rPr>
        <w:t xml:space="preserve">ealthy volunteers (HV), N=8 untreated controls and N=8 Foralumab treated. </w:t>
      </w:r>
    </w:p>
    <w:p w14:paraId="61C89693" w14:textId="77777777" w:rsidR="005144F6" w:rsidRDefault="005144F6" w:rsidP="005144F6">
      <w:pPr>
        <w:spacing w:line="360" w:lineRule="auto"/>
        <w:jc w:val="both"/>
        <w:rPr>
          <w:bCs/>
        </w:rPr>
      </w:pPr>
    </w:p>
    <w:p w14:paraId="6745774B" w14:textId="77777777" w:rsidR="005144F6" w:rsidRDefault="005144F6" w:rsidP="005144F6">
      <w:pPr>
        <w:spacing w:line="360" w:lineRule="auto"/>
        <w:jc w:val="both"/>
        <w:rPr>
          <w:bCs/>
        </w:rPr>
      </w:pPr>
    </w:p>
    <w:p w14:paraId="6EFE55AE" w14:textId="77777777" w:rsidR="005144F6" w:rsidRDefault="005144F6" w:rsidP="005144F6">
      <w:pPr>
        <w:spacing w:line="360" w:lineRule="auto"/>
        <w:jc w:val="both"/>
        <w:rPr>
          <w:bCs/>
        </w:rPr>
      </w:pPr>
      <w:r>
        <w:rPr>
          <w:bCs/>
          <w:noProof/>
          <w:lang w:val="en-GB" w:eastAsia="en-GB"/>
        </w:rPr>
        <w:lastRenderedPageBreak/>
        <w:drawing>
          <wp:inline distT="0" distB="0" distL="0" distR="0" wp14:anchorId="24176B1E" wp14:editId="31751798">
            <wp:extent cx="5943600" cy="46239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884"/>
                    <a:stretch/>
                  </pic:blipFill>
                  <pic:spPr bwMode="auto">
                    <a:xfrm>
                      <a:off x="0" y="0"/>
                      <a:ext cx="5943600" cy="4623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29E175" w14:textId="77777777" w:rsidR="005144F6" w:rsidRDefault="005144F6" w:rsidP="005144F6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Supplementary Figure 2</w:t>
      </w:r>
      <w:r w:rsidRPr="000C4380">
        <w:rPr>
          <w:b/>
          <w:bCs/>
        </w:rPr>
        <w:t>.</w:t>
      </w:r>
      <w:r w:rsidRPr="000C4380">
        <w:t xml:space="preserve"> </w:t>
      </w:r>
      <w:r w:rsidRPr="000C4380">
        <w:rPr>
          <w:b/>
          <w:bCs/>
        </w:rPr>
        <w:t xml:space="preserve">T cell subtyping. </w:t>
      </w:r>
      <w:r w:rsidRPr="0031787D">
        <w:rPr>
          <w:b/>
          <w:bCs/>
        </w:rPr>
        <w:t>A)</w:t>
      </w:r>
      <w:r w:rsidRPr="000C4380">
        <w:t xml:space="preserve"> Canonical cell markers for T cell subsets. </w:t>
      </w:r>
      <w:r w:rsidRPr="0031787D">
        <w:rPr>
          <w:b/>
          <w:bCs/>
        </w:rPr>
        <w:t>B)</w:t>
      </w:r>
      <w:r w:rsidRPr="000C4380">
        <w:t xml:space="preserve"> </w:t>
      </w:r>
      <w:r w:rsidRPr="000C4380">
        <w:rPr>
          <w:color w:val="242424"/>
          <w:shd w:val="clear" w:color="auto" w:fill="FFFFFF"/>
        </w:rPr>
        <w:t>UMAP plots of T cells showing localization of CD3</w:t>
      </w:r>
      <w:r w:rsidRPr="0031787D">
        <w:rPr>
          <w:color w:val="242424"/>
          <w:shd w:val="clear" w:color="auto" w:fill="FFFFFF"/>
          <w:vertAlign w:val="superscript"/>
        </w:rPr>
        <w:t>+</w:t>
      </w:r>
      <w:r w:rsidRPr="000C4380">
        <w:rPr>
          <w:color w:val="242424"/>
          <w:shd w:val="clear" w:color="auto" w:fill="FFFFFF"/>
        </w:rPr>
        <w:t xml:space="preserve"> </w:t>
      </w:r>
      <w:r>
        <w:rPr>
          <w:color w:val="242424"/>
          <w:shd w:val="clear" w:color="auto" w:fill="FFFFFF"/>
        </w:rPr>
        <w:t xml:space="preserve">cell </w:t>
      </w:r>
      <w:r w:rsidRPr="000C4380">
        <w:rPr>
          <w:color w:val="242424"/>
          <w:shd w:val="clear" w:color="auto" w:fill="FFFFFF"/>
        </w:rPr>
        <w:t xml:space="preserve">subset markers. </w:t>
      </w:r>
      <w:r w:rsidRPr="0031787D">
        <w:rPr>
          <w:b/>
          <w:bCs/>
        </w:rPr>
        <w:t>C)</w:t>
      </w:r>
      <w:r w:rsidRPr="000C4380">
        <w:t xml:space="preserve"> </w:t>
      </w:r>
      <w:r>
        <w:t xml:space="preserve">CD3+ subsets including </w:t>
      </w:r>
      <w:r w:rsidRPr="000C4380">
        <w:t xml:space="preserve">T helper stratification </w:t>
      </w:r>
      <w:r>
        <w:t xml:space="preserve">into </w:t>
      </w:r>
      <w:r w:rsidRPr="000C4380">
        <w:t>Th1, Th2 and Th17 subsets.</w:t>
      </w:r>
      <w:r w:rsidRPr="000C4380">
        <w:rPr>
          <w:b/>
          <w:bCs/>
        </w:rPr>
        <w:t xml:space="preserve"> </w:t>
      </w:r>
    </w:p>
    <w:p w14:paraId="17BB190D" w14:textId="77777777" w:rsidR="005144F6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7FBCCF80" w14:textId="77777777" w:rsidR="005144F6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09716228" w14:textId="77777777" w:rsidR="005144F6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5DCF475C" w14:textId="77777777" w:rsidR="005144F6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73F1826A" w14:textId="77777777" w:rsidR="005144F6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13250F3A" w14:textId="77777777" w:rsidR="005144F6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0FC5DB25" w14:textId="77777777" w:rsidR="005144F6" w:rsidRDefault="005144F6" w:rsidP="005144F6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3474E153" w14:textId="77777777" w:rsidR="005144F6" w:rsidRPr="000C4380" w:rsidRDefault="005144F6" w:rsidP="005144F6">
      <w:pPr>
        <w:autoSpaceDE w:val="0"/>
        <w:autoSpaceDN w:val="0"/>
        <w:adjustRightInd w:val="0"/>
        <w:spacing w:line="360" w:lineRule="auto"/>
        <w:jc w:val="both"/>
      </w:pPr>
    </w:p>
    <w:p w14:paraId="02F5008D" w14:textId="77777777" w:rsidR="005144F6" w:rsidRDefault="005144F6" w:rsidP="005144F6">
      <w:pPr>
        <w:spacing w:line="360" w:lineRule="auto"/>
        <w:jc w:val="both"/>
        <w:rPr>
          <w:b/>
          <w:bCs/>
        </w:rPr>
      </w:pPr>
    </w:p>
    <w:p w14:paraId="0C22DB12" w14:textId="77777777" w:rsidR="005144F6" w:rsidRDefault="005144F6" w:rsidP="005144F6">
      <w:pPr>
        <w:spacing w:line="360" w:lineRule="auto"/>
        <w:jc w:val="both"/>
        <w:rPr>
          <w:b/>
          <w:bCs/>
        </w:rPr>
      </w:pPr>
      <w:r>
        <w:rPr>
          <w:b/>
          <w:bCs/>
          <w:noProof/>
          <w:lang w:val="en-GB" w:eastAsia="en-GB"/>
        </w:rPr>
        <w:lastRenderedPageBreak/>
        <w:drawing>
          <wp:inline distT="0" distB="0" distL="0" distR="0" wp14:anchorId="7416F6CF" wp14:editId="3007662D">
            <wp:extent cx="5943600" cy="67246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AFDB6" w14:textId="77777777" w:rsidR="005144F6" w:rsidRPr="000C4380" w:rsidRDefault="005144F6" w:rsidP="005144F6">
      <w:pPr>
        <w:jc w:val="both"/>
        <w:rPr>
          <w:b/>
          <w:bCs/>
        </w:rPr>
      </w:pPr>
      <w:r>
        <w:rPr>
          <w:b/>
          <w:bCs/>
        </w:rPr>
        <w:t xml:space="preserve">Supplementary Figure 3. </w:t>
      </w:r>
      <w:r w:rsidRPr="000C4380">
        <w:rPr>
          <w:b/>
          <w:bCs/>
        </w:rPr>
        <w:t xml:space="preserve"> </w:t>
      </w:r>
      <w:r>
        <w:rPr>
          <w:b/>
          <w:bCs/>
        </w:rPr>
        <w:t>TCR sequencing in Foralumab treated subjects</w:t>
      </w:r>
      <w:r w:rsidRPr="000C4380">
        <w:rPr>
          <w:b/>
          <w:bCs/>
        </w:rPr>
        <w:t>.</w:t>
      </w:r>
      <w:r w:rsidRPr="000C4380">
        <w:t xml:space="preserve"> </w:t>
      </w:r>
      <w:r w:rsidRPr="0006298D">
        <w:rPr>
          <w:b/>
          <w:bCs/>
        </w:rPr>
        <w:t>A</w:t>
      </w:r>
      <w:r>
        <w:rPr>
          <w:b/>
          <w:bCs/>
        </w:rPr>
        <w:t>, B</w:t>
      </w:r>
      <w:r w:rsidRPr="0006298D">
        <w:rPr>
          <w:b/>
          <w:bCs/>
        </w:rPr>
        <w:t>)</w:t>
      </w:r>
      <w:r>
        <w:t xml:space="preserve"> </w:t>
      </w:r>
      <w:r w:rsidRPr="000C4380">
        <w:t>TCR sharing patterns of specific T cell subsets by comparing usage of V(D)J genes on healthy controls</w:t>
      </w:r>
      <w:r>
        <w:t xml:space="preserve"> </w:t>
      </w:r>
      <w:r w:rsidRPr="0006298D">
        <w:rPr>
          <w:b/>
          <w:bCs/>
        </w:rPr>
        <w:t>(A)</w:t>
      </w:r>
      <w:r>
        <w:t>,</w:t>
      </w:r>
      <w:r w:rsidRPr="000C4380">
        <w:t xml:space="preserve"> untreated control</w:t>
      </w:r>
      <w:r>
        <w:t xml:space="preserve">s </w:t>
      </w:r>
      <w:r w:rsidRPr="00422055">
        <w:t>vs.</w:t>
      </w:r>
      <w:r w:rsidRPr="000C4380">
        <w:t xml:space="preserve"> Foralumab treated </w:t>
      </w:r>
      <w:r>
        <w:t>subjects</w:t>
      </w:r>
      <w:r w:rsidRPr="000C4380">
        <w:t xml:space="preserve"> </w:t>
      </w:r>
      <w:r w:rsidRPr="0006298D">
        <w:rPr>
          <w:b/>
          <w:bCs/>
        </w:rPr>
        <w:t>(</w:t>
      </w:r>
      <w:r>
        <w:rPr>
          <w:b/>
          <w:bCs/>
          <w:color w:val="242424"/>
          <w:shd w:val="clear" w:color="auto" w:fill="FFFFFF"/>
        </w:rPr>
        <w:t>B</w:t>
      </w:r>
      <w:r w:rsidRPr="0006298D">
        <w:rPr>
          <w:b/>
          <w:bCs/>
          <w:color w:val="242424"/>
          <w:shd w:val="clear" w:color="auto" w:fill="FFFFFF"/>
        </w:rPr>
        <w:t>)</w:t>
      </w:r>
      <w:r w:rsidRPr="000C4380">
        <w:t xml:space="preserve">. </w:t>
      </w:r>
      <w:r w:rsidRPr="00422055">
        <w:rPr>
          <w:b/>
          <w:bCs/>
        </w:rPr>
        <w:t>C)</w:t>
      </w:r>
      <w:r>
        <w:t xml:space="preserve"> </w:t>
      </w:r>
      <w:r w:rsidRPr="000C4380">
        <w:t>D</w:t>
      </w:r>
      <w:r w:rsidRPr="000C4380">
        <w:rPr>
          <w:color w:val="242424"/>
          <w:shd w:val="clear" w:color="auto" w:fill="FFFFFF"/>
        </w:rPr>
        <w:t xml:space="preserve">istribution within UMAP plots of T cells subsets. </w:t>
      </w:r>
      <w:r w:rsidRPr="0006298D">
        <w:rPr>
          <w:b/>
          <w:bCs/>
          <w:color w:val="242424"/>
          <w:shd w:val="clear" w:color="auto" w:fill="FFFFFF"/>
        </w:rPr>
        <w:t>D)</w:t>
      </w:r>
      <w:r w:rsidRPr="000C4380">
        <w:rPr>
          <w:color w:val="242424"/>
          <w:shd w:val="clear" w:color="auto" w:fill="FFFFFF"/>
        </w:rPr>
        <w:t xml:space="preserve"> </w:t>
      </w:r>
      <w:r w:rsidRPr="000C4380">
        <w:rPr>
          <w:color w:val="222222"/>
          <w:shd w:val="clear" w:color="auto" w:fill="FFFFFF"/>
        </w:rPr>
        <w:t>Violin plots showing the frequency of clonal T cells in CD8</w:t>
      </w:r>
      <w:r w:rsidRPr="0006298D">
        <w:rPr>
          <w:color w:val="222222"/>
          <w:shd w:val="clear" w:color="auto" w:fill="FFFFFF"/>
          <w:vertAlign w:val="superscript"/>
        </w:rPr>
        <w:t>+</w:t>
      </w:r>
      <w:r w:rsidRPr="000C4380">
        <w:rPr>
          <w:color w:val="222222"/>
          <w:shd w:val="clear" w:color="auto" w:fill="FFFFFF"/>
        </w:rPr>
        <w:t xml:space="preserve"> TEMRA and CD8</w:t>
      </w:r>
      <w:r w:rsidRPr="0006298D">
        <w:rPr>
          <w:color w:val="222222"/>
          <w:shd w:val="clear" w:color="auto" w:fill="FFFFFF"/>
          <w:vertAlign w:val="superscript"/>
        </w:rPr>
        <w:t>+</w:t>
      </w:r>
      <w:r w:rsidRPr="000C4380">
        <w:rPr>
          <w:color w:val="222222"/>
          <w:shd w:val="clear" w:color="auto" w:fill="FFFFFF"/>
        </w:rPr>
        <w:t xml:space="preserve"> CM cells </w:t>
      </w:r>
      <w:r w:rsidRPr="00B63687">
        <w:t>(Median</w:t>
      </w:r>
      <w:r w:rsidRPr="00B63687">
        <w:rPr>
          <w:color w:val="000000"/>
          <w:u w:val="single"/>
        </w:rPr>
        <w:t>+</w:t>
      </w:r>
      <w:r w:rsidRPr="00B63687">
        <w:t>IQR).</w:t>
      </w:r>
      <w:r w:rsidRPr="000C4380">
        <w:rPr>
          <w:color w:val="000000"/>
        </w:rPr>
        <w:t xml:space="preserve"> Graphs show percentage of each clonal type and </w:t>
      </w:r>
      <w:r>
        <w:rPr>
          <w:color w:val="000000"/>
        </w:rPr>
        <w:t>i</w:t>
      </w:r>
      <w:r w:rsidRPr="000C4380">
        <w:rPr>
          <w:color w:val="000000"/>
        </w:rPr>
        <w:t xml:space="preserve">ndividual status. </w:t>
      </w:r>
      <w:r w:rsidRPr="000C4380">
        <w:rPr>
          <w:bCs/>
        </w:rPr>
        <w:t>4 healthy volunteers, 4 untreated controls (before and after) and 4 Foralumab treated subjects (before and after) were studied.</w:t>
      </w:r>
    </w:p>
    <w:p w14:paraId="6223F41D" w14:textId="77777777" w:rsidR="005144F6" w:rsidRPr="000C4380" w:rsidRDefault="005144F6" w:rsidP="005144F6">
      <w:pPr>
        <w:spacing w:line="360" w:lineRule="auto"/>
        <w:jc w:val="both"/>
        <w:rPr>
          <w:b/>
          <w:bCs/>
        </w:rPr>
      </w:pPr>
    </w:p>
    <w:p w14:paraId="1858F8A8" w14:textId="77777777" w:rsidR="005144F6" w:rsidRPr="00442229" w:rsidRDefault="005144F6" w:rsidP="005144F6">
      <w:pPr>
        <w:jc w:val="both"/>
        <w:rPr>
          <w:b/>
          <w:bCs/>
        </w:rPr>
      </w:pPr>
      <w:r>
        <w:rPr>
          <w:b/>
          <w:bCs/>
          <w:noProof/>
          <w:lang w:val="en-GB" w:eastAsia="en-GB"/>
        </w:rPr>
        <w:lastRenderedPageBreak/>
        <w:drawing>
          <wp:inline distT="0" distB="0" distL="0" distR="0" wp14:anchorId="26E7934E" wp14:editId="1D0AF1B4">
            <wp:extent cx="5943600" cy="745028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1"/>
                    <a:stretch/>
                  </pic:blipFill>
                  <pic:spPr bwMode="auto">
                    <a:xfrm>
                      <a:off x="0" y="0"/>
                      <a:ext cx="5943600" cy="7450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4</w:t>
      </w:r>
      <w:r w:rsidRPr="000C4380">
        <w:t xml:space="preserve">. </w:t>
      </w:r>
      <w:r>
        <w:rPr>
          <w:b/>
          <w:bCs/>
          <w:color w:val="242424"/>
          <w:shd w:val="clear" w:color="auto" w:fill="FFFFFF"/>
        </w:rPr>
        <w:t>E</w:t>
      </w:r>
      <w:r w:rsidRPr="000C4380">
        <w:rPr>
          <w:b/>
          <w:bCs/>
          <w:color w:val="242424"/>
          <w:shd w:val="clear" w:color="auto" w:fill="FFFFFF"/>
        </w:rPr>
        <w:t>ffector gene cluster</w:t>
      </w:r>
      <w:r>
        <w:rPr>
          <w:b/>
          <w:bCs/>
          <w:color w:val="242424"/>
          <w:shd w:val="clear" w:color="auto" w:fill="FFFFFF"/>
        </w:rPr>
        <w:t xml:space="preserve"> and exhaustion modules in </w:t>
      </w:r>
      <w:r w:rsidRPr="0006298D">
        <w:rPr>
          <w:b/>
          <w:bCs/>
        </w:rPr>
        <w:t>CD3+ T cells.</w:t>
      </w:r>
      <w:r>
        <w:t xml:space="preserve"> </w:t>
      </w:r>
      <w:r w:rsidRPr="00066FA7">
        <w:rPr>
          <w:b/>
          <w:bCs/>
        </w:rPr>
        <w:t>A)</w:t>
      </w:r>
      <w:r>
        <w:rPr>
          <w:b/>
          <w:bCs/>
        </w:rPr>
        <w:t xml:space="preserve"> </w:t>
      </w:r>
      <w:r w:rsidRPr="00B0202A">
        <w:rPr>
          <w:color w:val="242424"/>
          <w:shd w:val="clear" w:color="auto" w:fill="FFFFFF"/>
        </w:rPr>
        <w:t>UMAP plots of T cells showing localization of effector genes in CD3+ cells across treatment.</w:t>
      </w:r>
      <w:r w:rsidRPr="00B0202A">
        <w:rPr>
          <w:b/>
          <w:bCs/>
        </w:rPr>
        <w:t xml:space="preserve">  B) </w:t>
      </w:r>
      <w:r w:rsidRPr="00B0202A">
        <w:t xml:space="preserve">Exhausted score of &gt;0.01 was used to determinate highly exhausted cells and compared to low/not exhausted cells (&lt;0.01). </w:t>
      </w:r>
      <w:r w:rsidRPr="00B0202A">
        <w:rPr>
          <w:i/>
          <w:iCs/>
        </w:rPr>
        <w:t>MAF, TGFB1, IL2, TNFa</w:t>
      </w:r>
      <w:r w:rsidRPr="00B0202A">
        <w:t xml:space="preserve"> and </w:t>
      </w:r>
      <w:r w:rsidRPr="00B0202A">
        <w:rPr>
          <w:i/>
          <w:iCs/>
        </w:rPr>
        <w:t xml:space="preserve">IFNg </w:t>
      </w:r>
      <w:r w:rsidRPr="00B0202A">
        <w:t xml:space="preserve">gene expression in exhausted and not </w:t>
      </w:r>
      <w:r w:rsidRPr="00B0202A">
        <w:lastRenderedPageBreak/>
        <w:t>exhausted cells is compared and shown in Violin-plots (Median</w:t>
      </w:r>
      <w:r w:rsidRPr="00B0202A">
        <w:rPr>
          <w:color w:val="000000"/>
          <w:u w:val="single"/>
        </w:rPr>
        <w:t>+</w:t>
      </w:r>
      <w:r w:rsidRPr="00B0202A">
        <w:t xml:space="preserve">IQR). </w:t>
      </w:r>
      <w:r w:rsidRPr="00B0202A">
        <w:rPr>
          <w:b/>
          <w:bCs/>
        </w:rPr>
        <w:t>C)</w:t>
      </w:r>
      <w:r w:rsidRPr="00B0202A">
        <w:rPr>
          <w:color w:val="242424"/>
          <w:shd w:val="clear" w:color="auto" w:fill="FFFFFF"/>
        </w:rPr>
        <w:t xml:space="preserve"> Distribution of exhaustion score within UMAP plots of CD3+ T cells subsets in </w:t>
      </w:r>
      <w:r w:rsidRPr="00B0202A">
        <w:t>in healthy controls, untreated COVID19 subjects and Foralumab treated subjects at baseline (day-2) and at day 10. Violin plots (Median</w:t>
      </w:r>
      <w:r w:rsidRPr="00B0202A">
        <w:rPr>
          <w:color w:val="000000"/>
          <w:u w:val="single"/>
        </w:rPr>
        <w:t>+</w:t>
      </w:r>
      <w:r w:rsidRPr="00B0202A">
        <w:t xml:space="preserve">IQR) with individual points is shown. </w:t>
      </w:r>
      <w:r w:rsidRPr="00B0202A">
        <w:rPr>
          <w:bCs/>
        </w:rPr>
        <w:t>HC= healthy controls.</w:t>
      </w:r>
      <w:r w:rsidRPr="00B0202A">
        <w:rPr>
          <w:color w:val="242424"/>
          <w:shd w:val="clear" w:color="auto" w:fill="FFFFFF"/>
        </w:rPr>
        <w:t xml:space="preserve">  </w:t>
      </w:r>
      <w:r w:rsidRPr="00B0202A">
        <w:rPr>
          <w:color w:val="000000" w:themeColor="text1"/>
          <w:shd w:val="clear" w:color="auto" w:fill="FFFFFF"/>
        </w:rPr>
        <w:t>One-way ANOVA, followed by Tukey</w:t>
      </w:r>
      <w:r w:rsidRPr="00B0202A">
        <w:rPr>
          <w:rStyle w:val="apple-converted-space"/>
          <w:color w:val="000000" w:themeColor="text1"/>
          <w:shd w:val="clear" w:color="auto" w:fill="FFFFFF"/>
        </w:rPr>
        <w:t> </w:t>
      </w:r>
      <w:r w:rsidRPr="00B0202A">
        <w:rPr>
          <w:rStyle w:val="Emphasis"/>
          <w:color w:val="000000" w:themeColor="text1"/>
        </w:rPr>
        <w:t>post hoc</w:t>
      </w:r>
      <w:r w:rsidRPr="00B0202A">
        <w:rPr>
          <w:rStyle w:val="apple-converted-space"/>
          <w:color w:val="000000" w:themeColor="text1"/>
          <w:shd w:val="clear" w:color="auto" w:fill="FFFFFF"/>
        </w:rPr>
        <w:t> </w:t>
      </w:r>
      <w:r w:rsidRPr="00B0202A">
        <w:rPr>
          <w:color w:val="000000" w:themeColor="text1"/>
          <w:shd w:val="clear" w:color="auto" w:fill="FFFFFF"/>
        </w:rPr>
        <w:t>analysis</w:t>
      </w:r>
      <w:r w:rsidRPr="00B0202A">
        <w:t xml:space="preserve"> was performed and comparison between healthy vs. day-2 and untreated vs Foralumab is shown. </w:t>
      </w:r>
      <w:r w:rsidRPr="00B0202A">
        <w:rPr>
          <w:rFonts w:eastAsiaTheme="minorHAnsi"/>
          <w:color w:val="262626"/>
        </w:rPr>
        <w:t xml:space="preserve"> * P &lt; 0.05, ** P &lt; 0.01, *** p&lt;0.001, **** P &lt; 0.001.</w:t>
      </w:r>
    </w:p>
    <w:p w14:paraId="2848076B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6E516B29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4488F530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5532FE7D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2059E943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34567FBD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756F4BAD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49B719C4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10646007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75C4AEA0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156C3846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73B78A8D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634B3B1B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58276CA0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7B7F0C97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5412EE39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7549D3CD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2C4F4A2C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78DD46A2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5BEBAE16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7B8257EE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527452C6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539865F2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188BE3F6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49B50F30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42146E78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24DEB6C1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0F15D6B1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53DA1034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6FAC74CD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4609DB7A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0335ACAB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3D2DCB54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20DE19A1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038A043E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60D16E53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5D826202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6DF6CA3B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2FB91BAA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6B6727B1" w14:textId="77777777" w:rsidR="005144F6" w:rsidRDefault="005144F6" w:rsidP="005144F6">
      <w:pPr>
        <w:jc w:val="both"/>
        <w:rPr>
          <w:rFonts w:eastAsiaTheme="minorHAnsi"/>
          <w:color w:val="262626"/>
        </w:rPr>
      </w:pPr>
      <w:r>
        <w:rPr>
          <w:rFonts w:eastAsiaTheme="minorHAnsi"/>
          <w:noProof/>
          <w:color w:val="262626"/>
          <w:lang w:val="en-GB" w:eastAsia="en-GB"/>
        </w:rPr>
        <w:lastRenderedPageBreak/>
        <w:drawing>
          <wp:inline distT="0" distB="0" distL="0" distR="0" wp14:anchorId="47E73C1D" wp14:editId="0CFA0772">
            <wp:extent cx="5943600" cy="47053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A9075" w14:textId="77777777" w:rsidR="005144F6" w:rsidRDefault="005144F6" w:rsidP="005144F6">
      <w:pPr>
        <w:jc w:val="both"/>
        <w:rPr>
          <w:rFonts w:eastAsiaTheme="minorHAnsi"/>
          <w:color w:val="262626"/>
        </w:rPr>
      </w:pPr>
    </w:p>
    <w:p w14:paraId="6634CCB7" w14:textId="77777777" w:rsidR="005144F6" w:rsidRDefault="005144F6" w:rsidP="005144F6">
      <w:pPr>
        <w:jc w:val="both"/>
        <w:rPr>
          <w:bCs/>
        </w:rPr>
      </w:pPr>
      <w:r>
        <w:rPr>
          <w:b/>
          <w:bCs/>
          <w:color w:val="242424"/>
          <w:shd w:val="clear" w:color="auto" w:fill="FFFFFF"/>
        </w:rPr>
        <w:t>Supplementary Figure 5</w:t>
      </w:r>
      <w:r w:rsidRPr="000C4380">
        <w:rPr>
          <w:color w:val="242424"/>
          <w:shd w:val="clear" w:color="auto" w:fill="FFFFFF"/>
        </w:rPr>
        <w:t xml:space="preserve">. </w:t>
      </w:r>
      <w:r w:rsidRPr="00422055">
        <w:rPr>
          <w:b/>
          <w:bCs/>
          <w:color w:val="242424"/>
          <w:shd w:val="clear" w:color="auto" w:fill="FFFFFF"/>
        </w:rPr>
        <w:t>Exploratory analysis of sc-RNAseq dataset.</w:t>
      </w:r>
      <w:r w:rsidRPr="000C4380">
        <w:rPr>
          <w:color w:val="242424"/>
          <w:shd w:val="clear" w:color="auto" w:fill="FFFFFF"/>
        </w:rPr>
        <w:t xml:space="preserve"> </w:t>
      </w:r>
      <w:r w:rsidRPr="00422055">
        <w:rPr>
          <w:b/>
          <w:bCs/>
          <w:color w:val="242424"/>
          <w:shd w:val="clear" w:color="auto" w:fill="FFFFFF"/>
        </w:rPr>
        <w:t>A)</w:t>
      </w:r>
      <w:r w:rsidRPr="000C4380">
        <w:rPr>
          <w:color w:val="242424"/>
          <w:shd w:val="clear" w:color="auto" w:fill="FFFFFF"/>
        </w:rPr>
        <w:t xml:space="preserve"> </w:t>
      </w:r>
      <w:r>
        <w:rPr>
          <w:color w:val="242424"/>
          <w:shd w:val="clear" w:color="auto" w:fill="FFFFFF"/>
        </w:rPr>
        <w:t>E</w:t>
      </w:r>
      <w:r w:rsidRPr="000C4380">
        <w:rPr>
          <w:color w:val="242424"/>
          <w:shd w:val="clear" w:color="auto" w:fill="FFFFFF"/>
        </w:rPr>
        <w:t xml:space="preserve">xpression of selected genes within coronavirus pathogenesis found in </w:t>
      </w:r>
      <w:r>
        <w:rPr>
          <w:color w:val="242424"/>
          <w:shd w:val="clear" w:color="auto" w:fill="FFFFFF"/>
        </w:rPr>
        <w:t>b</w:t>
      </w:r>
      <w:r w:rsidRPr="000C4380">
        <w:rPr>
          <w:color w:val="242424"/>
          <w:shd w:val="clear" w:color="auto" w:fill="FFFFFF"/>
        </w:rPr>
        <w:t>ulk</w:t>
      </w:r>
      <w:r>
        <w:rPr>
          <w:color w:val="242424"/>
          <w:shd w:val="clear" w:color="auto" w:fill="FFFFFF"/>
        </w:rPr>
        <w:t xml:space="preserve"> </w:t>
      </w:r>
      <w:r w:rsidRPr="000C4380">
        <w:rPr>
          <w:color w:val="242424"/>
          <w:shd w:val="clear" w:color="auto" w:fill="FFFFFF"/>
        </w:rPr>
        <w:t>RNA-seq analysis in CD3</w:t>
      </w:r>
      <w:r w:rsidRPr="00F24406">
        <w:rPr>
          <w:color w:val="242424"/>
          <w:shd w:val="clear" w:color="auto" w:fill="FFFFFF"/>
          <w:vertAlign w:val="superscript"/>
        </w:rPr>
        <w:t>+</w:t>
      </w:r>
      <w:r w:rsidRPr="000C4380">
        <w:rPr>
          <w:color w:val="242424"/>
          <w:shd w:val="clear" w:color="auto" w:fill="FFFFFF"/>
        </w:rPr>
        <w:t xml:space="preserve"> subsets identified in</w:t>
      </w:r>
      <w:r>
        <w:rPr>
          <w:color w:val="242424"/>
          <w:shd w:val="clear" w:color="auto" w:fill="FFFFFF"/>
        </w:rPr>
        <w:t xml:space="preserve"> the</w:t>
      </w:r>
      <w:r w:rsidRPr="000C4380">
        <w:rPr>
          <w:color w:val="242424"/>
          <w:shd w:val="clear" w:color="auto" w:fill="FFFFFF"/>
        </w:rPr>
        <w:t xml:space="preserve"> sc</w:t>
      </w:r>
      <w:r>
        <w:rPr>
          <w:color w:val="242424"/>
          <w:shd w:val="clear" w:color="auto" w:fill="FFFFFF"/>
        </w:rPr>
        <w:t>-</w:t>
      </w:r>
      <w:r w:rsidRPr="000C4380">
        <w:rPr>
          <w:color w:val="242424"/>
          <w:shd w:val="clear" w:color="auto" w:fill="FFFFFF"/>
        </w:rPr>
        <w:t xml:space="preserve">RNA-seq in </w:t>
      </w:r>
      <w:r>
        <w:rPr>
          <w:color w:val="242424"/>
          <w:shd w:val="clear" w:color="auto" w:fill="FFFFFF"/>
        </w:rPr>
        <w:t>h</w:t>
      </w:r>
      <w:r w:rsidRPr="000C4380">
        <w:rPr>
          <w:color w:val="242424"/>
          <w:shd w:val="clear" w:color="auto" w:fill="FFFFFF"/>
        </w:rPr>
        <w:t xml:space="preserve">ealthy controls, </w:t>
      </w:r>
      <w:r>
        <w:rPr>
          <w:color w:val="242424"/>
          <w:shd w:val="clear" w:color="auto" w:fill="FFFFFF"/>
        </w:rPr>
        <w:t>b</w:t>
      </w:r>
      <w:r w:rsidRPr="000C4380">
        <w:rPr>
          <w:color w:val="242424"/>
          <w:shd w:val="clear" w:color="auto" w:fill="FFFFFF"/>
        </w:rPr>
        <w:t>aseline (day</w:t>
      </w:r>
      <w:r>
        <w:rPr>
          <w:color w:val="242424"/>
          <w:shd w:val="clear" w:color="auto" w:fill="FFFFFF"/>
        </w:rPr>
        <w:t>-</w:t>
      </w:r>
      <w:r w:rsidRPr="000C4380">
        <w:rPr>
          <w:color w:val="242424"/>
          <w:shd w:val="clear" w:color="auto" w:fill="FFFFFF"/>
        </w:rPr>
        <w:t>2) and follow up untreated and Foralumab</w:t>
      </w:r>
      <w:r>
        <w:rPr>
          <w:color w:val="242424"/>
          <w:shd w:val="clear" w:color="auto" w:fill="FFFFFF"/>
        </w:rPr>
        <w:t xml:space="preserve"> treated subjects</w:t>
      </w:r>
      <w:r w:rsidRPr="000C4380">
        <w:rPr>
          <w:color w:val="242424"/>
          <w:shd w:val="clear" w:color="auto" w:fill="FFFFFF"/>
        </w:rPr>
        <w:t xml:space="preserve">. </w:t>
      </w:r>
      <w:r w:rsidRPr="00F24406">
        <w:rPr>
          <w:b/>
          <w:bCs/>
          <w:color w:val="242424"/>
          <w:shd w:val="clear" w:color="auto" w:fill="FFFFFF"/>
        </w:rPr>
        <w:t>B)</w:t>
      </w:r>
      <w:r w:rsidRPr="000C4380">
        <w:rPr>
          <w:color w:val="242424"/>
          <w:shd w:val="clear" w:color="auto" w:fill="FFFFFF"/>
        </w:rPr>
        <w:t xml:space="preserve"> </w:t>
      </w:r>
      <w:r>
        <w:rPr>
          <w:color w:val="242424"/>
          <w:shd w:val="clear" w:color="auto" w:fill="FFFFFF"/>
        </w:rPr>
        <w:t>C</w:t>
      </w:r>
      <w:r w:rsidRPr="000C4380">
        <w:rPr>
          <w:color w:val="242424"/>
          <w:shd w:val="clear" w:color="auto" w:fill="FFFFFF"/>
        </w:rPr>
        <w:t>orresponding genes of serum proteins found to be modulated by Fora</w:t>
      </w:r>
      <w:r>
        <w:rPr>
          <w:color w:val="242424"/>
          <w:shd w:val="clear" w:color="auto" w:fill="FFFFFF"/>
        </w:rPr>
        <w:t>l</w:t>
      </w:r>
      <w:r w:rsidRPr="000C4380">
        <w:rPr>
          <w:color w:val="242424"/>
          <w:shd w:val="clear" w:color="auto" w:fill="FFFFFF"/>
        </w:rPr>
        <w:t xml:space="preserve">umab. </w:t>
      </w:r>
      <w:r w:rsidRPr="00F24406">
        <w:rPr>
          <w:b/>
          <w:bCs/>
          <w:color w:val="242424"/>
          <w:shd w:val="clear" w:color="auto" w:fill="FFFFFF"/>
        </w:rPr>
        <w:t>C)</w:t>
      </w:r>
      <w:r w:rsidRPr="000C4380">
        <w:rPr>
          <w:color w:val="242424"/>
          <w:shd w:val="clear" w:color="auto" w:fill="FFFFFF"/>
        </w:rPr>
        <w:t xml:space="preserve"> </w:t>
      </w:r>
      <w:r w:rsidRPr="00D86771">
        <w:rPr>
          <w:i/>
          <w:iCs/>
          <w:color w:val="242424"/>
          <w:shd w:val="clear" w:color="auto" w:fill="FFFFFF"/>
        </w:rPr>
        <w:t>GIMAP7/5/4.</w:t>
      </w:r>
      <w:r w:rsidRPr="000C4380">
        <w:rPr>
          <w:color w:val="242424"/>
          <w:shd w:val="clear" w:color="auto" w:fill="FFFFFF"/>
        </w:rPr>
        <w:t xml:space="preserve"> Bars </w:t>
      </w:r>
      <w:r w:rsidRPr="000C4380">
        <w:rPr>
          <w:color w:val="000000"/>
        </w:rPr>
        <w:t>(</w:t>
      </w:r>
      <w:r>
        <w:rPr>
          <w:color w:val="000000"/>
        </w:rPr>
        <w:t>mean</w:t>
      </w:r>
      <w:r w:rsidRPr="000C4380">
        <w:rPr>
          <w:color w:val="000000"/>
          <w:u w:val="single"/>
        </w:rPr>
        <w:t>+</w:t>
      </w:r>
      <w:r>
        <w:rPr>
          <w:color w:val="000000"/>
        </w:rPr>
        <w:t>SEM</w:t>
      </w:r>
      <w:r w:rsidRPr="000C4380">
        <w:rPr>
          <w:color w:val="000000"/>
        </w:rPr>
        <w:t xml:space="preserve">). </w:t>
      </w:r>
      <w:r w:rsidRPr="000C4380">
        <w:rPr>
          <w:color w:val="000000" w:themeColor="text1"/>
          <w:shd w:val="clear" w:color="auto" w:fill="FFFFFF"/>
        </w:rPr>
        <w:t>One-way ANOVA, followed by Tukey</w:t>
      </w:r>
      <w:r w:rsidRPr="000C4380">
        <w:rPr>
          <w:rStyle w:val="apple-converted-space"/>
          <w:color w:val="000000" w:themeColor="text1"/>
          <w:shd w:val="clear" w:color="auto" w:fill="FFFFFF"/>
        </w:rPr>
        <w:t> </w:t>
      </w:r>
      <w:r w:rsidRPr="000C4380">
        <w:rPr>
          <w:rStyle w:val="Emphasis"/>
          <w:color w:val="000000" w:themeColor="text1"/>
        </w:rPr>
        <w:t>post hoc</w:t>
      </w:r>
      <w:r w:rsidRPr="000C4380">
        <w:rPr>
          <w:rStyle w:val="apple-converted-space"/>
          <w:color w:val="000000" w:themeColor="text1"/>
          <w:shd w:val="clear" w:color="auto" w:fill="FFFFFF"/>
        </w:rPr>
        <w:t> </w:t>
      </w:r>
      <w:r w:rsidRPr="000C4380">
        <w:rPr>
          <w:color w:val="000000" w:themeColor="text1"/>
          <w:shd w:val="clear" w:color="auto" w:fill="FFFFFF"/>
        </w:rPr>
        <w:t>analysis</w:t>
      </w:r>
      <w:r w:rsidRPr="000C4380">
        <w:t xml:space="preserve"> was performed.</w:t>
      </w:r>
      <w:r w:rsidRPr="000C4380">
        <w:rPr>
          <w:rFonts w:eastAsiaTheme="minorHAnsi"/>
          <w:color w:val="262626"/>
        </w:rPr>
        <w:t xml:space="preserve"> * P &lt; 0.05, *** P &lt; 0.001. </w:t>
      </w:r>
      <w:r w:rsidRPr="000C4380">
        <w:rPr>
          <w:bCs/>
        </w:rPr>
        <w:t xml:space="preserve">4 healthy volunteers, 4 untreated controls (before and after) and 4 Foralumab treated subjects (before and after) were studied. HC= healthy controls. </w:t>
      </w:r>
    </w:p>
    <w:p w14:paraId="129E7E32" w14:textId="77777777" w:rsidR="005144F6" w:rsidRDefault="005144F6" w:rsidP="005144F6">
      <w:pPr>
        <w:spacing w:line="360" w:lineRule="auto"/>
        <w:jc w:val="both"/>
        <w:rPr>
          <w:bCs/>
        </w:rPr>
      </w:pPr>
    </w:p>
    <w:p w14:paraId="655C055A" w14:textId="77777777" w:rsidR="005144F6" w:rsidRDefault="005144F6" w:rsidP="005144F6">
      <w:pPr>
        <w:spacing w:line="360" w:lineRule="auto"/>
        <w:jc w:val="both"/>
        <w:rPr>
          <w:bCs/>
        </w:rPr>
      </w:pPr>
    </w:p>
    <w:p w14:paraId="16462896" w14:textId="77777777" w:rsidR="005144F6" w:rsidRDefault="005144F6" w:rsidP="005144F6">
      <w:pPr>
        <w:spacing w:line="360" w:lineRule="auto"/>
        <w:jc w:val="both"/>
        <w:rPr>
          <w:bCs/>
        </w:rPr>
      </w:pPr>
    </w:p>
    <w:p w14:paraId="1C8FC2A2" w14:textId="77777777" w:rsidR="005144F6" w:rsidRPr="000C4380" w:rsidRDefault="005144F6" w:rsidP="005144F6">
      <w:pPr>
        <w:spacing w:line="360" w:lineRule="auto"/>
        <w:jc w:val="both"/>
        <w:rPr>
          <w:color w:val="222222"/>
          <w:shd w:val="clear" w:color="auto" w:fill="FFFFFF"/>
        </w:rPr>
      </w:pPr>
    </w:p>
    <w:p w14:paraId="522A86E9" w14:textId="77777777" w:rsidR="005144F6" w:rsidRDefault="005144F6" w:rsidP="005144F6">
      <w:pPr>
        <w:spacing w:line="360" w:lineRule="auto"/>
        <w:jc w:val="both"/>
        <w:rPr>
          <w:b/>
          <w:bCs/>
          <w:color w:val="242424"/>
          <w:shd w:val="clear" w:color="auto" w:fill="FFFFFF"/>
        </w:rPr>
      </w:pPr>
    </w:p>
    <w:p w14:paraId="44866C1D" w14:textId="77777777" w:rsidR="005144F6" w:rsidRDefault="005144F6" w:rsidP="005144F6">
      <w:pPr>
        <w:spacing w:line="360" w:lineRule="auto"/>
        <w:jc w:val="both"/>
        <w:rPr>
          <w:b/>
          <w:bCs/>
          <w:color w:val="242424"/>
          <w:shd w:val="clear" w:color="auto" w:fill="FFFFFF"/>
        </w:rPr>
      </w:pPr>
    </w:p>
    <w:p w14:paraId="73EE7BB5" w14:textId="77777777" w:rsidR="005144F6" w:rsidRDefault="005144F6" w:rsidP="005144F6">
      <w:pPr>
        <w:jc w:val="both"/>
        <w:rPr>
          <w:color w:val="242424"/>
          <w:shd w:val="clear" w:color="auto" w:fill="FFFFFF"/>
        </w:rPr>
      </w:pPr>
      <w:r>
        <w:rPr>
          <w:b/>
          <w:bCs/>
          <w:noProof/>
          <w:color w:val="242424"/>
          <w:shd w:val="clear" w:color="auto" w:fill="FFFFFF"/>
          <w:lang w:val="en-GB" w:eastAsia="en-GB"/>
        </w:rPr>
        <w:lastRenderedPageBreak/>
        <w:drawing>
          <wp:inline distT="0" distB="0" distL="0" distR="0" wp14:anchorId="6EFC4AE5" wp14:editId="5FD23304">
            <wp:extent cx="5943600" cy="466551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44"/>
                    <a:stretch/>
                  </pic:blipFill>
                  <pic:spPr bwMode="auto">
                    <a:xfrm>
                      <a:off x="0" y="0"/>
                      <a:ext cx="5943600" cy="4665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color w:val="242424"/>
          <w:shd w:val="clear" w:color="auto" w:fill="FFFFFF"/>
        </w:rPr>
        <w:t>Supplementary Figure 6</w:t>
      </w:r>
      <w:r w:rsidRPr="000C4380">
        <w:rPr>
          <w:b/>
          <w:bCs/>
          <w:color w:val="242424"/>
          <w:shd w:val="clear" w:color="auto" w:fill="FFFFFF"/>
        </w:rPr>
        <w:t>. Serum markers altered by COVID-19 detected by proteomics</w:t>
      </w:r>
      <w:r w:rsidRPr="000C4380">
        <w:rPr>
          <w:color w:val="242424"/>
          <w:shd w:val="clear" w:color="auto" w:fill="FFFFFF"/>
        </w:rPr>
        <w:t xml:space="preserve">. </w:t>
      </w:r>
      <w:r w:rsidRPr="00F24406">
        <w:rPr>
          <w:b/>
          <w:bCs/>
          <w:color w:val="242424"/>
          <w:shd w:val="clear" w:color="auto" w:fill="FFFFFF"/>
        </w:rPr>
        <w:t>A)</w:t>
      </w:r>
      <w:r w:rsidRPr="000C4380">
        <w:rPr>
          <w:color w:val="242424"/>
          <w:shd w:val="clear" w:color="auto" w:fill="FFFFFF"/>
        </w:rPr>
        <w:t xml:space="preserve"> </w:t>
      </w:r>
      <w:r>
        <w:rPr>
          <w:color w:val="242424"/>
          <w:shd w:val="clear" w:color="auto" w:fill="FFFFFF"/>
        </w:rPr>
        <w:t>C</w:t>
      </w:r>
      <w:r w:rsidRPr="000C4380">
        <w:rPr>
          <w:color w:val="242424"/>
          <w:shd w:val="clear" w:color="auto" w:fill="FFFFFF"/>
        </w:rPr>
        <w:t>omparison</w:t>
      </w:r>
      <w:r>
        <w:rPr>
          <w:color w:val="242424"/>
          <w:shd w:val="clear" w:color="auto" w:fill="FFFFFF"/>
        </w:rPr>
        <w:t xml:space="preserve"> between</w:t>
      </w:r>
      <w:r w:rsidRPr="000C4380">
        <w:rPr>
          <w:color w:val="242424"/>
          <w:shd w:val="clear" w:color="auto" w:fill="FFFFFF"/>
        </w:rPr>
        <w:t xml:space="preserve"> </w:t>
      </w:r>
      <w:r>
        <w:rPr>
          <w:color w:val="242424"/>
          <w:shd w:val="clear" w:color="auto" w:fill="FFFFFF"/>
        </w:rPr>
        <w:t>h</w:t>
      </w:r>
      <w:r w:rsidRPr="000C4380">
        <w:rPr>
          <w:color w:val="242424"/>
          <w:shd w:val="clear" w:color="auto" w:fill="FFFFFF"/>
        </w:rPr>
        <w:t xml:space="preserve">ealthy volunteers </w:t>
      </w:r>
      <w:r>
        <w:rPr>
          <w:color w:val="242424"/>
          <w:shd w:val="clear" w:color="auto" w:fill="FFFFFF"/>
        </w:rPr>
        <w:t>and</w:t>
      </w:r>
      <w:r w:rsidRPr="000C4380">
        <w:rPr>
          <w:color w:val="242424"/>
          <w:shd w:val="clear" w:color="auto" w:fill="FFFFFF"/>
        </w:rPr>
        <w:t xml:space="preserve"> COVID-19 subjects.</w:t>
      </w:r>
      <w:r w:rsidRPr="000C4380">
        <w:rPr>
          <w:color w:val="000000"/>
        </w:rPr>
        <w:t xml:space="preserve"> Dots are individual values, bars represent </w:t>
      </w:r>
      <w:r>
        <w:rPr>
          <w:color w:val="000000"/>
        </w:rPr>
        <w:t>m</w:t>
      </w:r>
      <w:r w:rsidRPr="000C4380">
        <w:rPr>
          <w:color w:val="000000"/>
        </w:rPr>
        <w:t>ean</w:t>
      </w:r>
      <w:r w:rsidRPr="000C4380">
        <w:rPr>
          <w:color w:val="000000"/>
          <w:u w:val="single"/>
        </w:rPr>
        <w:t>+</w:t>
      </w:r>
      <w:r w:rsidRPr="000C4380">
        <w:rPr>
          <w:color w:val="000000"/>
        </w:rPr>
        <w:t>SEM. Student’s t test.</w:t>
      </w:r>
      <w:r w:rsidRPr="000C4380">
        <w:rPr>
          <w:color w:val="242424"/>
          <w:shd w:val="clear" w:color="auto" w:fill="FFFFFF"/>
        </w:rPr>
        <w:t xml:space="preserve"> Healthy = healthy controls. COVID-19 refers to all COVID-19 subjects at baseline (day</w:t>
      </w:r>
      <w:r>
        <w:rPr>
          <w:color w:val="242424"/>
          <w:shd w:val="clear" w:color="auto" w:fill="FFFFFF"/>
        </w:rPr>
        <w:t>-</w:t>
      </w:r>
      <w:r w:rsidRPr="000C4380">
        <w:rPr>
          <w:color w:val="242424"/>
          <w:shd w:val="clear" w:color="auto" w:fill="FFFFFF"/>
        </w:rPr>
        <w:t xml:space="preserve">2). </w:t>
      </w:r>
      <w:r w:rsidRPr="000C4380">
        <w:rPr>
          <w:rFonts w:eastAsiaTheme="minorHAnsi"/>
          <w:color w:val="262626"/>
        </w:rPr>
        <w:t xml:space="preserve">**p &lt; 0.01, **** P &lt; 0.001. </w:t>
      </w:r>
      <w:r w:rsidRPr="000C4380">
        <w:rPr>
          <w:color w:val="242424"/>
          <w:shd w:val="clear" w:color="auto" w:fill="FFFFFF"/>
        </w:rPr>
        <w:t>B) Resume of up and downregulated serum markers obtained by Olink.</w:t>
      </w:r>
    </w:p>
    <w:p w14:paraId="1F0CD387" w14:textId="77777777" w:rsidR="005144F6" w:rsidRDefault="005144F6" w:rsidP="005144F6">
      <w:pPr>
        <w:spacing w:line="360" w:lineRule="auto"/>
        <w:jc w:val="both"/>
        <w:rPr>
          <w:color w:val="242424"/>
          <w:shd w:val="clear" w:color="auto" w:fill="FFFFFF"/>
        </w:rPr>
      </w:pPr>
    </w:p>
    <w:p w14:paraId="4A1BB6C9" w14:textId="77777777" w:rsidR="005144F6" w:rsidRDefault="005144F6" w:rsidP="005144F6">
      <w:pPr>
        <w:spacing w:line="360" w:lineRule="auto"/>
        <w:jc w:val="both"/>
        <w:rPr>
          <w:color w:val="242424"/>
          <w:shd w:val="clear" w:color="auto" w:fill="FFFFFF"/>
        </w:rPr>
      </w:pPr>
    </w:p>
    <w:p w14:paraId="24402792" w14:textId="77777777" w:rsidR="005144F6" w:rsidRDefault="005144F6" w:rsidP="005144F6">
      <w:pPr>
        <w:spacing w:line="360" w:lineRule="auto"/>
        <w:jc w:val="both"/>
        <w:rPr>
          <w:color w:val="242424"/>
          <w:shd w:val="clear" w:color="auto" w:fill="FFFFFF"/>
        </w:rPr>
      </w:pPr>
    </w:p>
    <w:p w14:paraId="4C0AC4D4" w14:textId="6669BA35" w:rsidR="001760E5" w:rsidRDefault="005144F6">
      <w:r>
        <w:rPr>
          <w:b/>
          <w:bCs/>
          <w:noProof/>
          <w:color w:val="242424"/>
          <w:shd w:val="clear" w:color="auto" w:fill="FFFFFF"/>
          <w:lang w:val="en-GB" w:eastAsia="en-GB"/>
        </w:rPr>
        <w:lastRenderedPageBreak/>
        <w:drawing>
          <wp:inline distT="0" distB="0" distL="0" distR="0" wp14:anchorId="279EF596" wp14:editId="4A317531">
            <wp:extent cx="5943600" cy="202012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902"/>
                    <a:stretch/>
                  </pic:blipFill>
                  <pic:spPr bwMode="auto">
                    <a:xfrm>
                      <a:off x="0" y="0"/>
                      <a:ext cx="5943600" cy="20201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EEF898" w14:textId="77777777" w:rsidR="005144F6" w:rsidRPr="00E024B8" w:rsidRDefault="005144F6" w:rsidP="005144F6">
      <w:pPr>
        <w:jc w:val="both"/>
        <w:rPr>
          <w:b/>
          <w:bCs/>
          <w:color w:val="242424"/>
          <w:shd w:val="clear" w:color="auto" w:fill="FFFFFF"/>
        </w:rPr>
      </w:pPr>
      <w:r>
        <w:rPr>
          <w:b/>
          <w:bCs/>
          <w:color w:val="242424"/>
          <w:shd w:val="clear" w:color="auto" w:fill="FFFFFF"/>
        </w:rPr>
        <w:t>Supplementary Figure 7</w:t>
      </w:r>
      <w:r w:rsidRPr="000C4380">
        <w:rPr>
          <w:b/>
          <w:bCs/>
          <w:color w:val="242424"/>
          <w:shd w:val="clear" w:color="auto" w:fill="FFFFFF"/>
        </w:rPr>
        <w:t>.</w:t>
      </w:r>
      <w:r>
        <w:rPr>
          <w:b/>
          <w:bCs/>
          <w:color w:val="242424"/>
          <w:shd w:val="clear" w:color="auto" w:fill="FFFFFF"/>
        </w:rPr>
        <w:t xml:space="preserve"> </w:t>
      </w:r>
      <w:r w:rsidRPr="002F3F5D">
        <w:rPr>
          <w:b/>
          <w:bCs/>
          <w:i/>
          <w:iCs/>
          <w:color w:val="242424"/>
          <w:shd w:val="clear" w:color="auto" w:fill="FFFFFF"/>
        </w:rPr>
        <w:t>NKG7</w:t>
      </w:r>
      <w:r w:rsidRPr="002F3F5D">
        <w:rPr>
          <w:b/>
          <w:bCs/>
          <w:color w:val="242424"/>
          <w:shd w:val="clear" w:color="auto" w:fill="FFFFFF"/>
        </w:rPr>
        <w:t xml:space="preserve"> and </w:t>
      </w:r>
      <w:r w:rsidRPr="002F3F5D">
        <w:rPr>
          <w:b/>
          <w:bCs/>
          <w:i/>
          <w:iCs/>
          <w:color w:val="242424"/>
          <w:shd w:val="clear" w:color="auto" w:fill="FFFFFF"/>
        </w:rPr>
        <w:t>TGFB1</w:t>
      </w:r>
      <w:r w:rsidRPr="002F3F5D">
        <w:rPr>
          <w:b/>
          <w:bCs/>
          <w:color w:val="242424"/>
          <w:shd w:val="clear" w:color="auto" w:fill="FFFFFF"/>
        </w:rPr>
        <w:t xml:space="preserve"> counts in CD3+ subsets</w:t>
      </w:r>
      <w:r>
        <w:rPr>
          <w:b/>
          <w:bCs/>
          <w:color w:val="242424"/>
          <w:shd w:val="clear" w:color="auto" w:fill="FFFFFF"/>
        </w:rPr>
        <w:t xml:space="preserve"> A, B)</w:t>
      </w:r>
      <w:r w:rsidRPr="000C4380">
        <w:rPr>
          <w:b/>
          <w:bCs/>
          <w:color w:val="242424"/>
          <w:shd w:val="clear" w:color="auto" w:fill="FFFFFF"/>
        </w:rPr>
        <w:t xml:space="preserve"> </w:t>
      </w:r>
      <w:r w:rsidRPr="00F24406">
        <w:rPr>
          <w:i/>
          <w:iCs/>
          <w:color w:val="242424"/>
          <w:shd w:val="clear" w:color="auto" w:fill="FFFFFF"/>
        </w:rPr>
        <w:t>NKG7</w:t>
      </w:r>
      <w:r w:rsidRPr="000C4380">
        <w:rPr>
          <w:color w:val="242424"/>
          <w:shd w:val="clear" w:color="auto" w:fill="FFFFFF"/>
        </w:rPr>
        <w:t xml:space="preserve"> and </w:t>
      </w:r>
      <w:r w:rsidRPr="00F24406">
        <w:rPr>
          <w:i/>
          <w:iCs/>
          <w:color w:val="242424"/>
          <w:shd w:val="clear" w:color="auto" w:fill="FFFFFF"/>
        </w:rPr>
        <w:t>TGFB1</w:t>
      </w:r>
      <w:r w:rsidRPr="000C4380">
        <w:rPr>
          <w:color w:val="242424"/>
          <w:shd w:val="clear" w:color="auto" w:fill="FFFFFF"/>
        </w:rPr>
        <w:t xml:space="preserve"> counts in CD3+ subsets </w:t>
      </w:r>
      <w:r w:rsidRPr="000C4380">
        <w:t xml:space="preserve">in healthy controls, untreated </w:t>
      </w:r>
      <w:r>
        <w:t xml:space="preserve">and Foralumab treated </w:t>
      </w:r>
      <w:r w:rsidRPr="000C4380">
        <w:t>COVID</w:t>
      </w:r>
      <w:r>
        <w:t>-</w:t>
      </w:r>
      <w:r w:rsidRPr="000C4380">
        <w:t>19 subjects at baseline (day</w:t>
      </w:r>
      <w:r>
        <w:t>-</w:t>
      </w:r>
      <w:r w:rsidRPr="000C4380">
        <w:t xml:space="preserve">2) and at day 10. </w:t>
      </w:r>
      <w:r w:rsidRPr="00F24406">
        <w:rPr>
          <w:i/>
          <w:iCs/>
        </w:rPr>
        <w:t>NKG7</w:t>
      </w:r>
      <w:r>
        <w:t xml:space="preserve"> </w:t>
      </w:r>
      <w:r w:rsidRPr="00F24406">
        <w:rPr>
          <w:b/>
          <w:bCs/>
        </w:rPr>
        <w:t>(A)</w:t>
      </w:r>
      <w:r w:rsidRPr="000C4380">
        <w:t xml:space="preserve"> and </w:t>
      </w:r>
      <w:r w:rsidRPr="00F24406">
        <w:rPr>
          <w:i/>
          <w:iCs/>
        </w:rPr>
        <w:t>TGFB1</w:t>
      </w:r>
      <w:r>
        <w:t xml:space="preserve"> </w:t>
      </w:r>
      <w:r w:rsidRPr="00F24406">
        <w:rPr>
          <w:b/>
          <w:bCs/>
        </w:rPr>
        <w:t>(B)</w:t>
      </w:r>
      <w:r w:rsidRPr="000C4380">
        <w:t xml:space="preserve">. </w:t>
      </w:r>
      <w:r w:rsidRPr="000C4380">
        <w:rPr>
          <w:color w:val="000000"/>
        </w:rPr>
        <w:t>Bars represent mean</w:t>
      </w:r>
      <w:r w:rsidRPr="000C4380">
        <w:rPr>
          <w:color w:val="000000"/>
          <w:u w:val="single"/>
        </w:rPr>
        <w:t>+</w:t>
      </w:r>
      <w:r w:rsidRPr="000C4380">
        <w:rPr>
          <w:color w:val="000000"/>
        </w:rPr>
        <w:t xml:space="preserve">SEM. </w:t>
      </w:r>
      <w:r w:rsidRPr="000C4380">
        <w:rPr>
          <w:bCs/>
        </w:rPr>
        <w:t xml:space="preserve">One-way ANOVA </w:t>
      </w:r>
      <w:r w:rsidRPr="000C4380">
        <w:rPr>
          <w:color w:val="000000" w:themeColor="text1"/>
          <w:shd w:val="clear" w:color="auto" w:fill="FFFFFF"/>
        </w:rPr>
        <w:t>followed by Tukey</w:t>
      </w:r>
      <w:r w:rsidRPr="000C4380">
        <w:rPr>
          <w:rStyle w:val="apple-converted-space"/>
          <w:color w:val="000000" w:themeColor="text1"/>
          <w:shd w:val="clear" w:color="auto" w:fill="FFFFFF"/>
        </w:rPr>
        <w:t> </w:t>
      </w:r>
      <w:r w:rsidRPr="000C4380">
        <w:rPr>
          <w:rStyle w:val="Emphasis"/>
          <w:color w:val="000000" w:themeColor="text1"/>
        </w:rPr>
        <w:t>post hoc</w:t>
      </w:r>
      <w:r w:rsidRPr="000C4380">
        <w:rPr>
          <w:rStyle w:val="apple-converted-space"/>
          <w:color w:val="000000" w:themeColor="text1"/>
          <w:shd w:val="clear" w:color="auto" w:fill="FFFFFF"/>
        </w:rPr>
        <w:t> </w:t>
      </w:r>
      <w:r w:rsidRPr="000C4380">
        <w:rPr>
          <w:color w:val="000000" w:themeColor="text1"/>
          <w:shd w:val="clear" w:color="auto" w:fill="FFFFFF"/>
        </w:rPr>
        <w:t>analysis</w:t>
      </w:r>
      <w:r w:rsidRPr="000C4380">
        <w:rPr>
          <w:bCs/>
        </w:rPr>
        <w:t xml:space="preserve"> </w:t>
      </w:r>
      <w:r w:rsidRPr="000C4380">
        <w:rPr>
          <w:color w:val="000000"/>
        </w:rPr>
        <w:t xml:space="preserve">** p&lt;0.01. </w:t>
      </w:r>
      <w:r w:rsidRPr="000C4380">
        <w:rPr>
          <w:rFonts w:eastAsiaTheme="minorHAnsi"/>
          <w:color w:val="262626"/>
        </w:rPr>
        <w:t>* P &lt; 0.05, ** P &lt; 0.01, **** P &lt; 0.001.</w:t>
      </w:r>
    </w:p>
    <w:p w14:paraId="03C3D323" w14:textId="77777777" w:rsidR="005144F6" w:rsidRDefault="005144F6" w:rsidP="005144F6">
      <w:pPr>
        <w:jc w:val="both"/>
        <w:rPr>
          <w:rFonts w:eastAsiaTheme="minorHAnsi"/>
        </w:rPr>
      </w:pPr>
    </w:p>
    <w:p w14:paraId="01196231" w14:textId="77777777" w:rsidR="005144F6" w:rsidRDefault="005144F6"/>
    <w:sectPr w:rsidR="005144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4F6"/>
    <w:rsid w:val="005144F6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6FFE8"/>
  <w15:chartTrackingRefBased/>
  <w15:docId w15:val="{92306B62-5F6B-4E22-83B3-73192A08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4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5144F6"/>
    <w:rPr>
      <w:i/>
      <w:iCs/>
    </w:rPr>
  </w:style>
  <w:style w:type="character" w:customStyle="1" w:styleId="apple-converted-space">
    <w:name w:val="apple-converted-space"/>
    <w:basedOn w:val="DefaultParagraphFont"/>
    <w:rsid w:val="005144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581</Words>
  <Characters>3315</Characters>
  <Application>Microsoft Office Word</Application>
  <DocSecurity>0</DocSecurity>
  <Lines>27</Lines>
  <Paragraphs>7</Paragraphs>
  <ScaleCrop>false</ScaleCrop>
  <Company>Springer Nature</Company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2022-10-13T06:07:00Z</dcterms:created>
  <dcterms:modified xsi:type="dcterms:W3CDTF">2022-10-13T06:08:00Z</dcterms:modified>
</cp:coreProperties>
</file>