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both"/>
        <w:rPr>
          <w:rFonts w:hint="default" w:ascii="Arial" w:hAnsi="Arial" w:cs="Arial"/>
          <w:b/>
          <w:bCs/>
          <w:sz w:val="28"/>
          <w:lang w:val="en-GB"/>
        </w:rPr>
      </w:pPr>
      <w:r>
        <w:rPr>
          <w:rFonts w:hint="default" w:ascii="Arial" w:hAnsi="Arial" w:cs="Arial"/>
          <w:b/>
          <w:bCs/>
          <w:sz w:val="28"/>
          <w:lang w:val="en-GB"/>
        </w:rPr>
        <w:t>Supplementary methods</w:t>
      </w:r>
    </w:p>
    <w:p>
      <w:pPr>
        <w:spacing w:line="360" w:lineRule="auto"/>
        <w:jc w:val="both"/>
        <w:outlineLvl w:val="0"/>
        <w:rPr>
          <w:rFonts w:hint="default" w:ascii="Arial" w:hAnsi="Arial" w:cs="Arial"/>
          <w:b/>
          <w:bCs/>
          <w:sz w:val="21"/>
          <w:szCs w:val="21"/>
        </w:rPr>
      </w:pPr>
      <w:bookmarkStart w:id="1" w:name="_GoBack"/>
      <w:r>
        <w:rPr>
          <w:rFonts w:hint="default" w:ascii="Arial" w:hAnsi="Arial" w:cs="Arial"/>
          <w:b/>
          <w:bCs/>
          <w:sz w:val="21"/>
          <w:szCs w:val="21"/>
        </w:rPr>
        <w:t>3D co-culture model of DRGs and pancreatic cancer cells</w:t>
      </w:r>
    </w:p>
    <w:p>
      <w:pPr>
        <w:spacing w:line="360" w:lineRule="auto"/>
        <w:jc w:val="both"/>
        <w:outlineLvl w:val="0"/>
        <w:rPr>
          <w:rFonts w:hint="default" w:ascii="Arial" w:hAnsi="Arial" w:cs="Arial"/>
          <w:bCs/>
          <w:color w:val="000000"/>
          <w:sz w:val="21"/>
          <w:szCs w:val="21"/>
        </w:rPr>
      </w:pPr>
      <w:r>
        <w:rPr>
          <w:rFonts w:hint="default" w:ascii="Arial" w:hAnsi="Arial" w:cs="Arial"/>
          <w:bCs/>
          <w:color w:val="000000"/>
          <w:sz w:val="21"/>
          <w:szCs w:val="21"/>
        </w:rPr>
        <w:t>We constructed a Matrigel/DRG model to observe the interaction between tumor cells and nerves in vitro</w:t>
      </w:r>
      <w:r>
        <w:rPr>
          <w:rFonts w:hint="default" w:ascii="Arial" w:hAnsi="Arial" w:cs="Arial"/>
          <w:bCs/>
          <w:color w:val="000000"/>
          <w:sz w:val="21"/>
          <w:szCs w:val="21"/>
          <w:highlight w:val="yellow"/>
        </w:rPr>
        <w:fldChar w:fldCharType="begin"/>
      </w:r>
      <w:r>
        <w:rPr>
          <w:rFonts w:hint="default" w:ascii="Arial" w:hAnsi="Arial" w:cs="Arial"/>
          <w:bCs/>
          <w:color w:val="000000"/>
          <w:sz w:val="21"/>
          <w:szCs w:val="21"/>
          <w:highlight w:val="yellow"/>
        </w:rPr>
        <w:instrText xml:space="preserve"> ADDIN NE.Ref.{59422B6D-ADC8-4502-9BA9-63FBF1768E04}</w:instrText>
      </w:r>
      <w:r>
        <w:rPr>
          <w:rFonts w:hint="default" w:ascii="Arial" w:hAnsi="Arial" w:cs="Arial"/>
          <w:bCs/>
          <w:color w:val="000000"/>
          <w:sz w:val="21"/>
          <w:szCs w:val="21"/>
          <w:highlight w:val="yellow"/>
        </w:rPr>
        <w:fldChar w:fldCharType="separate"/>
      </w:r>
      <w:r>
        <w:rPr>
          <w:rFonts w:hint="default" w:ascii="Arial" w:hAnsi="Arial" w:cs="Arial"/>
          <w:color w:val="000000"/>
          <w:sz w:val="21"/>
          <w:szCs w:val="21"/>
        </w:rPr>
        <w:t>[</w:t>
      </w:r>
      <w:r>
        <w:rPr>
          <w:rFonts w:hint="default" w:ascii="Arial" w:hAnsi="Arial" w:cs="Arial"/>
          <w:color w:val="000000"/>
          <w:sz w:val="21"/>
          <w:szCs w:val="21"/>
          <w:lang w:val="en-US" w:eastAsia="zh-CN"/>
        </w:rPr>
        <w:t>1</w:t>
      </w:r>
      <w:r>
        <w:rPr>
          <w:rFonts w:hint="default" w:ascii="Arial" w:hAnsi="Arial" w:cs="Arial"/>
          <w:color w:val="000000"/>
          <w:sz w:val="21"/>
          <w:szCs w:val="21"/>
        </w:rPr>
        <w:t>]</w:t>
      </w:r>
      <w:r>
        <w:rPr>
          <w:rFonts w:hint="default" w:ascii="Arial" w:hAnsi="Arial" w:cs="Arial"/>
          <w:bCs/>
          <w:color w:val="000000"/>
          <w:sz w:val="21"/>
          <w:szCs w:val="21"/>
          <w:highlight w:val="yellow"/>
        </w:rPr>
        <w:fldChar w:fldCharType="end"/>
      </w:r>
      <w:r>
        <w:rPr>
          <w:rFonts w:hint="default" w:ascii="Arial" w:hAnsi="Arial" w:cs="Arial"/>
          <w:bCs/>
          <w:color w:val="000000"/>
          <w:sz w:val="21"/>
          <w:szCs w:val="21"/>
        </w:rPr>
        <w:t>. Firstly, the dorsal root ganglions (DRGs) were isolated from the mouse. Briefly, excised DRG were implanted in Matrigel matrix adjacent to a colony of pancreatic cancer cells transfected with GFP protein approximately 1 mm. The cocultures were grown at 37</w:t>
      </w:r>
      <w:r>
        <w:rPr>
          <w:rFonts w:hint="default" w:ascii="Arial" w:hAnsi="Arial" w:eastAsia="微软雅黑" w:cs="Arial"/>
          <w:bCs/>
          <w:color w:val="000000"/>
          <w:sz w:val="21"/>
          <w:szCs w:val="21"/>
        </w:rPr>
        <w:t>℃</w:t>
      </w:r>
      <w:r>
        <w:rPr>
          <w:rFonts w:hint="default" w:ascii="Arial" w:hAnsi="Arial" w:cs="Arial"/>
          <w:bCs/>
          <w:color w:val="000000"/>
          <w:sz w:val="21"/>
          <w:szCs w:val="21"/>
        </w:rPr>
        <w:t xml:space="preserve"> and 5% CO</w:t>
      </w:r>
      <w:r>
        <w:rPr>
          <w:rFonts w:hint="default" w:ascii="Arial" w:hAnsi="Arial" w:cs="Arial"/>
          <w:bCs/>
          <w:color w:val="000000"/>
          <w:sz w:val="21"/>
          <w:szCs w:val="21"/>
          <w:vertAlign w:val="subscript"/>
        </w:rPr>
        <w:t>2</w:t>
      </w:r>
      <w:r>
        <w:rPr>
          <w:rFonts w:hint="default" w:ascii="Arial" w:hAnsi="Arial" w:cs="Arial"/>
          <w:bCs/>
          <w:color w:val="000000"/>
          <w:sz w:val="21"/>
          <w:szCs w:val="21"/>
        </w:rPr>
        <w:t xml:space="preserve"> incubation conditions for 142 h. On day six after implantation, few axons from the DRGs cultured in Matrigel displayed radial outgrowth toward the adjacent tumor cell colonies, Fluorescence microscopy confirmed that tumor cells were invading the nerves. The degree of invasion was expressed as a neural invasion index, specifically the closest distance of the cancer cluster to the DRG at d1 divided by the distance at d6. </w:t>
      </w:r>
    </w:p>
    <w:p>
      <w:pPr>
        <w:spacing w:before="156" w:beforeLines="50" w:line="360" w:lineRule="auto"/>
        <w:jc w:val="both"/>
        <w:outlineLvl w:val="0"/>
        <w:rPr>
          <w:rFonts w:hint="default" w:ascii="Arial" w:hAnsi="Arial" w:cs="Arial"/>
          <w:b/>
          <w:bCs/>
          <w:color w:val="FF0000"/>
          <w:sz w:val="21"/>
          <w:szCs w:val="21"/>
        </w:rPr>
      </w:pPr>
      <w:r>
        <w:rPr>
          <w:rFonts w:hint="default" w:ascii="Arial" w:hAnsi="Arial" w:cs="Arial"/>
          <w:b/>
          <w:bCs/>
          <w:sz w:val="21"/>
          <w:szCs w:val="21"/>
        </w:rPr>
        <w:t>Murine sciatic nerve invasion</w:t>
      </w:r>
      <w:r>
        <w:rPr>
          <w:rFonts w:hint="default" w:ascii="Arial" w:hAnsi="Arial" w:cs="Arial"/>
          <w:b/>
          <w:bCs/>
          <w:color w:val="FF0000"/>
          <w:sz w:val="21"/>
          <w:szCs w:val="21"/>
        </w:rPr>
        <w:t xml:space="preserve"> </w:t>
      </w:r>
      <w:r>
        <w:rPr>
          <w:rFonts w:hint="default" w:ascii="Arial" w:hAnsi="Arial" w:cs="Arial"/>
          <w:b/>
          <w:bCs/>
          <w:color w:val="000000" w:themeColor="text1"/>
          <w:sz w:val="21"/>
          <w:szCs w:val="21"/>
          <w14:textFill>
            <w14:solidFill>
              <w14:schemeClr w14:val="tx1"/>
            </w14:solidFill>
          </w14:textFill>
        </w:rPr>
        <w:t>model</w:t>
      </w:r>
    </w:p>
    <w:p>
      <w:pPr>
        <w:autoSpaceDE w:val="0"/>
        <w:autoSpaceDN w:val="0"/>
        <w:adjustRightInd w:val="0"/>
        <w:spacing w:line="360" w:lineRule="auto"/>
        <w:jc w:val="both"/>
        <w:rPr>
          <w:rFonts w:hint="default" w:ascii="Arial" w:hAnsi="Arial" w:eastAsia="等线" w:cs="Arial"/>
          <w:color w:val="000000"/>
          <w:sz w:val="21"/>
          <w:szCs w:val="21"/>
        </w:rPr>
      </w:pPr>
      <w:r>
        <w:rPr>
          <w:rFonts w:hint="default" w:ascii="Arial" w:hAnsi="Arial" w:eastAsia="等线" w:cs="Arial"/>
          <w:color w:val="000000"/>
          <w:sz w:val="21"/>
          <w:szCs w:val="21"/>
        </w:rPr>
        <w:t>This mouse model of sciatic nerve invasion was widely used to observe the effect of perineural invasion</w:t>
      </w:r>
      <w:r>
        <w:rPr>
          <w:rFonts w:hint="default" w:ascii="Arial" w:hAnsi="Arial" w:eastAsia="等线" w:cs="Arial"/>
          <w:color w:val="000000"/>
          <w:sz w:val="21"/>
          <w:szCs w:val="21"/>
          <w:highlight w:val="yellow"/>
        </w:rPr>
        <w:fldChar w:fldCharType="begin"/>
      </w:r>
      <w:r>
        <w:rPr>
          <w:rFonts w:hint="default" w:ascii="Arial" w:hAnsi="Arial" w:eastAsia="等线" w:cs="Arial"/>
          <w:color w:val="000000"/>
          <w:sz w:val="21"/>
          <w:szCs w:val="21"/>
          <w:highlight w:val="yellow"/>
        </w:rPr>
        <w:instrText xml:space="preserve"> ADDIN NE.Ref.{453F2A20-4ADA-4A76-B346-9BE258675B31}</w:instrText>
      </w:r>
      <w:r>
        <w:rPr>
          <w:rFonts w:hint="default" w:ascii="Arial" w:hAnsi="Arial" w:eastAsia="等线" w:cs="Arial"/>
          <w:color w:val="000000"/>
          <w:sz w:val="21"/>
          <w:szCs w:val="21"/>
          <w:highlight w:val="yellow"/>
        </w:rPr>
        <w:fldChar w:fldCharType="separate"/>
      </w:r>
      <w:r>
        <w:rPr>
          <w:rFonts w:hint="default" w:ascii="Arial" w:hAnsi="Arial" w:cs="Arial"/>
          <w:color w:val="000000"/>
          <w:sz w:val="21"/>
          <w:szCs w:val="21"/>
        </w:rPr>
        <w:t>[</w:t>
      </w:r>
      <w:r>
        <w:rPr>
          <w:rFonts w:hint="default" w:ascii="Arial" w:hAnsi="Arial" w:cs="Arial"/>
          <w:color w:val="000000"/>
          <w:sz w:val="21"/>
          <w:szCs w:val="21"/>
          <w:lang w:val="en-US" w:eastAsia="zh-CN"/>
        </w:rPr>
        <w:t>2,3</w:t>
      </w:r>
      <w:r>
        <w:rPr>
          <w:rFonts w:hint="default" w:ascii="Arial" w:hAnsi="Arial" w:cs="Arial"/>
          <w:color w:val="000000"/>
          <w:sz w:val="21"/>
          <w:szCs w:val="21"/>
        </w:rPr>
        <w:t>]</w:t>
      </w:r>
      <w:r>
        <w:rPr>
          <w:rFonts w:hint="default" w:ascii="Arial" w:hAnsi="Arial" w:eastAsia="等线" w:cs="Arial"/>
          <w:color w:val="000000"/>
          <w:sz w:val="21"/>
          <w:szCs w:val="21"/>
          <w:highlight w:val="yellow"/>
        </w:rPr>
        <w:fldChar w:fldCharType="end"/>
      </w:r>
      <w:r>
        <w:rPr>
          <w:rFonts w:hint="default" w:ascii="Arial" w:hAnsi="Arial" w:eastAsia="等线" w:cs="Arial"/>
          <w:color w:val="000000"/>
          <w:sz w:val="21"/>
          <w:szCs w:val="21"/>
        </w:rPr>
        <w:t>. Six-week-old female Balb/c mice were randomly divided into four groups (n = 5) as follows: (i) MiaPaCa-2+PBS, (ii) MiaPaCa-2+TAMs, (iii) MiaPaCa-2+</w:t>
      </w:r>
      <w:r>
        <w:rPr>
          <w:rFonts w:hint="eastAsia" w:ascii="Arial" w:hAnsi="Arial" w:eastAsia="等线" w:cs="Arial"/>
          <w:color w:val="000000"/>
          <w:sz w:val="21"/>
          <w:szCs w:val="21"/>
          <w:lang w:eastAsia="zh-CN"/>
        </w:rPr>
        <w:t>bFGF</w:t>
      </w:r>
      <w:r>
        <w:rPr>
          <w:rFonts w:hint="default" w:ascii="Arial" w:hAnsi="Arial" w:eastAsia="等线" w:cs="Arial"/>
          <w:color w:val="000000"/>
          <w:sz w:val="21"/>
          <w:szCs w:val="21"/>
        </w:rPr>
        <w:t>, (iv) MiaPaCa-2+TAMs+anti-</w:t>
      </w:r>
      <w:r>
        <w:rPr>
          <w:rFonts w:hint="eastAsia" w:ascii="Arial" w:hAnsi="Arial" w:eastAsia="等线" w:cs="Arial"/>
          <w:color w:val="000000"/>
          <w:sz w:val="21"/>
          <w:szCs w:val="21"/>
          <w:lang w:eastAsia="zh-CN"/>
        </w:rPr>
        <w:t>bFGF</w:t>
      </w:r>
      <w:r>
        <w:rPr>
          <w:rFonts w:hint="default" w:ascii="Arial" w:hAnsi="Arial" w:eastAsia="等线" w:cs="Arial"/>
          <w:color w:val="000000"/>
          <w:sz w:val="21"/>
          <w:szCs w:val="21"/>
        </w:rPr>
        <w:t xml:space="preserve">. Mice were anesthetized with 4% chloral hydrate (85μl/10g, intraperitoneal injection) and diethyl ether inhalation. Then their left sciatic nerve was surgically exposed. The cell mixtured with 3 μL PBS and was injected into the sciatic nerve. The wounds of the mice were then closed with sutures. Recovery of mice was recorded daily for 72 hours. The signs of nerve invasion appeared approximately two weeks after injection. </w:t>
      </w:r>
    </w:p>
    <w:p>
      <w:pPr>
        <w:autoSpaceDE w:val="0"/>
        <w:autoSpaceDN w:val="0"/>
        <w:adjustRightInd w:val="0"/>
        <w:spacing w:line="360" w:lineRule="auto"/>
        <w:jc w:val="both"/>
        <w:rPr>
          <w:rFonts w:hint="default" w:ascii="Arial" w:hAnsi="Arial" w:eastAsia="等线" w:cs="Arial"/>
          <w:color w:val="000000"/>
          <w:sz w:val="21"/>
          <w:szCs w:val="21"/>
        </w:rPr>
      </w:pPr>
      <w:r>
        <w:rPr>
          <w:rFonts w:hint="default" w:ascii="Arial" w:hAnsi="Arial" w:eastAsia="等线" w:cs="Arial"/>
          <w:color w:val="000000"/>
          <w:sz w:val="21"/>
          <w:szCs w:val="21"/>
        </w:rPr>
        <w:t>Sciatic nerve function was measured weekly using the nerve function score</w:t>
      </w:r>
      <w:r>
        <w:rPr>
          <w:rFonts w:hint="default" w:ascii="Arial" w:hAnsi="Arial" w:eastAsia="等线" w:cs="Arial"/>
          <w:color w:val="000000"/>
          <w:sz w:val="21"/>
          <w:szCs w:val="21"/>
          <w:highlight w:val="yellow"/>
        </w:rPr>
        <w:fldChar w:fldCharType="begin"/>
      </w:r>
      <w:r>
        <w:rPr>
          <w:rFonts w:hint="default" w:ascii="Arial" w:hAnsi="Arial" w:eastAsia="等线" w:cs="Arial"/>
          <w:color w:val="000000"/>
          <w:sz w:val="21"/>
          <w:szCs w:val="21"/>
          <w:highlight w:val="yellow"/>
        </w:rPr>
        <w:instrText xml:space="preserve"> ADDIN NE.Ref.{34D2A2B5-BE4F-4066-9861-5E85EE02E5B2}</w:instrText>
      </w:r>
      <w:r>
        <w:rPr>
          <w:rFonts w:hint="default" w:ascii="Arial" w:hAnsi="Arial" w:eastAsia="等线" w:cs="Arial"/>
          <w:color w:val="000000"/>
          <w:sz w:val="21"/>
          <w:szCs w:val="21"/>
          <w:highlight w:val="yellow"/>
        </w:rPr>
        <w:fldChar w:fldCharType="separate"/>
      </w:r>
      <w:r>
        <w:rPr>
          <w:rFonts w:hint="default" w:ascii="Arial" w:hAnsi="Arial" w:cs="Arial"/>
          <w:color w:val="000000"/>
          <w:sz w:val="21"/>
          <w:szCs w:val="21"/>
        </w:rPr>
        <w:t>[</w:t>
      </w:r>
      <w:r>
        <w:rPr>
          <w:rFonts w:hint="default" w:ascii="Arial" w:hAnsi="Arial" w:cs="Arial"/>
          <w:color w:val="000000"/>
          <w:sz w:val="21"/>
          <w:szCs w:val="21"/>
          <w:lang w:val="en-US" w:eastAsia="zh-CN"/>
        </w:rPr>
        <w:t>4</w:t>
      </w:r>
      <w:r>
        <w:rPr>
          <w:rFonts w:hint="default" w:ascii="Arial" w:hAnsi="Arial" w:cs="Arial"/>
          <w:color w:val="000000"/>
          <w:sz w:val="21"/>
          <w:szCs w:val="21"/>
        </w:rPr>
        <w:t>]</w:t>
      </w:r>
      <w:r>
        <w:rPr>
          <w:rFonts w:hint="default" w:ascii="Arial" w:hAnsi="Arial" w:eastAsia="等线" w:cs="Arial"/>
          <w:color w:val="000000"/>
          <w:sz w:val="21"/>
          <w:szCs w:val="21"/>
          <w:highlight w:val="yellow"/>
        </w:rPr>
        <w:fldChar w:fldCharType="end"/>
      </w:r>
      <w:r>
        <w:rPr>
          <w:rFonts w:hint="default" w:ascii="Arial" w:hAnsi="Arial" w:eastAsia="等线" w:cs="Arial"/>
          <w:color w:val="000000"/>
          <w:sz w:val="21"/>
          <w:szCs w:val="21"/>
        </w:rPr>
        <w:t>. Tumor size and neuronal dysfunction in mice were assessed weekly after injection. Functional evaluation is performed according to the following methods: 4, regular exercise, the response of symmetrical hind limbs to manual body extension; 3, transient abnormal response of the left hind limb to the manual extension of the body; 2, a persistent abnormal response of the left hind limb to the human intervention of movement; 1, total paralysis of left hindlimb. At the designated time, mice are sacrificed, and the sciatic nerve and spinal cord are removed. The sciatic nerve was separated from the tumor tissue, and the length of the tumor invading the nerve was measured with calipers. The sciatic nerve was then fixed with formalin and subjected to histological analysis.</w:t>
      </w:r>
    </w:p>
    <w:p>
      <w:pPr>
        <w:spacing w:before="156" w:beforeLines="50" w:line="360" w:lineRule="auto"/>
        <w:jc w:val="both"/>
        <w:outlineLvl w:val="0"/>
        <w:rPr>
          <w:rFonts w:hint="default" w:ascii="Arial" w:hAnsi="Arial" w:cs="Arial"/>
          <w:b/>
          <w:bCs/>
          <w:sz w:val="21"/>
          <w:szCs w:val="21"/>
        </w:rPr>
      </w:pPr>
      <w:r>
        <w:rPr>
          <w:rFonts w:hint="default" w:ascii="Arial" w:hAnsi="Arial" w:cs="Arial"/>
          <w:b/>
          <w:bCs/>
          <w:sz w:val="21"/>
          <w:szCs w:val="21"/>
        </w:rPr>
        <w:t>Orthotopic implantation</w:t>
      </w:r>
    </w:p>
    <w:p>
      <w:pPr>
        <w:spacing w:before="156" w:beforeLines="50" w:line="360" w:lineRule="auto"/>
        <w:jc w:val="both"/>
        <w:outlineLvl w:val="0"/>
        <w:rPr>
          <w:rFonts w:hint="default" w:ascii="Arial" w:hAnsi="Arial" w:eastAsia="等线" w:cs="Arial"/>
          <w:color w:val="000000"/>
          <w:sz w:val="21"/>
          <w:szCs w:val="21"/>
        </w:rPr>
      </w:pPr>
      <w:r>
        <w:rPr>
          <w:rFonts w:hint="default" w:ascii="Arial" w:hAnsi="Arial" w:eastAsia="等线" w:cs="Arial"/>
          <w:color w:val="000000"/>
          <w:sz w:val="21"/>
          <w:szCs w:val="21"/>
        </w:rPr>
        <w:t xml:space="preserve">The needle and syringe are pre-cooled and the tumor cells are aspirated and slowly injected into the head of the pancreas. After injection, the cotton wool tip was pressed against the injection site for 30 seconds to prevent leakage. In order to ensure all experiments use the same injection technique, injections are always performed by the same person. After the injection is completed, the pancreas is placed back into the abdominal cavity. Then buprenorphine hydrochloride was injected subcutaneously for local analgesia and the abdomen was closed with surgical sutures. To date, we have not found any surgery-related deaths.  </w:t>
      </w:r>
    </w:p>
    <w:p>
      <w:pPr>
        <w:spacing w:line="360" w:lineRule="auto"/>
        <w:jc w:val="both"/>
        <w:outlineLvl w:val="0"/>
        <w:rPr>
          <w:rFonts w:hint="default" w:ascii="Arial" w:hAnsi="Arial" w:cs="Arial"/>
          <w:b/>
          <w:bCs/>
          <w:sz w:val="21"/>
          <w:szCs w:val="21"/>
        </w:rPr>
      </w:pPr>
      <w:r>
        <w:rPr>
          <w:rFonts w:hint="default" w:ascii="Arial" w:hAnsi="Arial" w:cs="Arial"/>
          <w:b/>
          <w:bCs/>
          <w:sz w:val="21"/>
          <w:szCs w:val="21"/>
        </w:rPr>
        <w:t>Immunohistochemistry</w:t>
      </w:r>
    </w:p>
    <w:p>
      <w:pPr>
        <w:spacing w:line="360" w:lineRule="auto"/>
        <w:jc w:val="both"/>
        <w:rPr>
          <w:rFonts w:hint="default" w:ascii="Arial" w:hAnsi="Arial" w:cs="Arial"/>
          <w:bCs/>
          <w:color w:val="000000"/>
          <w:sz w:val="21"/>
          <w:szCs w:val="21"/>
        </w:rPr>
      </w:pPr>
      <w:r>
        <w:rPr>
          <w:rFonts w:hint="default" w:ascii="Arial" w:hAnsi="Arial" w:cs="Arial"/>
          <w:bCs/>
          <w:color w:val="000000"/>
          <w:sz w:val="21"/>
          <w:szCs w:val="21"/>
        </w:rPr>
        <w:t>For immunohistochemistry, the tissue sections were processed as previously described</w:t>
      </w:r>
      <w:r>
        <w:rPr>
          <w:rFonts w:hint="default" w:ascii="Arial" w:hAnsi="Arial" w:eastAsia="等线" w:cs="Arial"/>
          <w:color w:val="000000"/>
          <w:sz w:val="21"/>
          <w:szCs w:val="21"/>
          <w:highlight w:val="yellow"/>
        </w:rPr>
        <w:fldChar w:fldCharType="begin"/>
      </w:r>
      <w:r>
        <w:rPr>
          <w:rFonts w:hint="default" w:ascii="Arial" w:hAnsi="Arial" w:eastAsia="等线" w:cs="Arial"/>
          <w:color w:val="000000"/>
          <w:sz w:val="21"/>
          <w:szCs w:val="21"/>
          <w:highlight w:val="yellow"/>
        </w:rPr>
        <w:instrText xml:space="preserve"> ADDIN NE.Ref.{34D2A2B5-BE4F-4066-9861-5E85EE02E5B2}</w:instrText>
      </w:r>
      <w:r>
        <w:rPr>
          <w:rFonts w:hint="default" w:ascii="Arial" w:hAnsi="Arial" w:eastAsia="等线" w:cs="Arial"/>
          <w:color w:val="000000"/>
          <w:sz w:val="21"/>
          <w:szCs w:val="21"/>
          <w:highlight w:val="yellow"/>
        </w:rPr>
        <w:fldChar w:fldCharType="separate"/>
      </w:r>
      <w:r>
        <w:rPr>
          <w:rFonts w:hint="default" w:ascii="Arial" w:hAnsi="Arial" w:cs="Arial"/>
          <w:color w:val="000000"/>
          <w:sz w:val="21"/>
          <w:szCs w:val="21"/>
        </w:rPr>
        <w:t>[</w:t>
      </w:r>
      <w:r>
        <w:rPr>
          <w:rFonts w:hint="default" w:ascii="Arial" w:hAnsi="Arial" w:cs="Arial"/>
          <w:color w:val="000000"/>
          <w:sz w:val="21"/>
          <w:szCs w:val="21"/>
          <w:lang w:val="en-US" w:eastAsia="zh-CN"/>
        </w:rPr>
        <w:t>5</w:t>
      </w:r>
      <w:r>
        <w:rPr>
          <w:rFonts w:hint="default" w:ascii="Arial" w:hAnsi="Arial" w:cs="Arial"/>
          <w:color w:val="000000"/>
          <w:sz w:val="21"/>
          <w:szCs w:val="21"/>
        </w:rPr>
        <w:t>]</w:t>
      </w:r>
      <w:r>
        <w:rPr>
          <w:rFonts w:hint="default" w:ascii="Arial" w:hAnsi="Arial" w:eastAsia="等线" w:cs="Arial"/>
          <w:color w:val="000000"/>
          <w:sz w:val="21"/>
          <w:szCs w:val="21"/>
          <w:highlight w:val="yellow"/>
        </w:rPr>
        <w:fldChar w:fldCharType="end"/>
      </w:r>
      <w:r>
        <w:rPr>
          <w:rFonts w:hint="default" w:ascii="Arial" w:hAnsi="Arial" w:cs="Arial"/>
          <w:bCs/>
          <w:color w:val="000000"/>
          <w:sz w:val="21"/>
          <w:szCs w:val="21"/>
        </w:rPr>
        <w:t>. Paraffin-embedded samples were sectioned at 4 mm thickness. After dewaxing in xylene and rehydration in graded alcohols. Antigen retrieval was performed by a pressure cooker for 15-20min in 0.01M citrate buffer (pH 6.0) and subsequent pre-incubated with H</w:t>
      </w:r>
      <w:r>
        <w:rPr>
          <w:rFonts w:hint="default" w:ascii="Arial" w:hAnsi="Arial" w:cs="Arial"/>
          <w:bCs/>
          <w:color w:val="000000"/>
          <w:sz w:val="21"/>
          <w:szCs w:val="21"/>
          <w:vertAlign w:val="subscript"/>
        </w:rPr>
        <w:t>2</w:t>
      </w:r>
      <w:r>
        <w:rPr>
          <w:rFonts w:hint="default" w:ascii="Arial" w:hAnsi="Arial" w:cs="Arial"/>
          <w:bCs/>
          <w:color w:val="000000"/>
          <w:sz w:val="21"/>
          <w:szCs w:val="21"/>
        </w:rPr>
        <w:t>O</w:t>
      </w:r>
      <w:r>
        <w:rPr>
          <w:rFonts w:hint="default" w:ascii="Arial" w:hAnsi="Arial" w:cs="Arial"/>
          <w:bCs/>
          <w:color w:val="000000"/>
          <w:sz w:val="21"/>
          <w:szCs w:val="21"/>
          <w:vertAlign w:val="subscript"/>
        </w:rPr>
        <w:t>2</w:t>
      </w:r>
      <w:r>
        <w:rPr>
          <w:rFonts w:hint="default" w:ascii="Arial" w:hAnsi="Arial" w:cs="Arial"/>
          <w:bCs/>
          <w:color w:val="000000"/>
          <w:sz w:val="21"/>
          <w:szCs w:val="21"/>
        </w:rPr>
        <w:t xml:space="preserve"> for</w:t>
      </w:r>
      <w:r>
        <w:rPr>
          <w:rFonts w:hint="default" w:ascii="Arial" w:hAnsi="Arial" w:eastAsia="MS Mincho" w:cs="Arial"/>
          <w:bCs/>
          <w:color w:val="000000"/>
          <w:sz w:val="21"/>
          <w:szCs w:val="21"/>
        </w:rPr>
        <w:t xml:space="preserve"> </w:t>
      </w:r>
      <w:r>
        <w:rPr>
          <w:rFonts w:hint="default" w:ascii="Arial" w:hAnsi="Arial" w:cs="Arial"/>
          <w:bCs/>
          <w:color w:val="000000"/>
          <w:sz w:val="21"/>
          <w:szCs w:val="21"/>
        </w:rPr>
        <w:t xml:space="preserve">5 min. Sections were then incubated overnight at 4 °C with primary antibodies to the following: CD68 (1:500, Abcam), S100 (1:500, Abcam), p-ERK (1:200, CST), p-AKT (1:300, CST). Immunodetection was performed on the following day according to the manufacturer’s instructions. </w:t>
      </w:r>
    </w:p>
    <w:p>
      <w:pPr>
        <w:spacing w:before="156" w:beforeLines="50" w:line="360" w:lineRule="auto"/>
        <w:jc w:val="both"/>
        <w:outlineLvl w:val="0"/>
        <w:rPr>
          <w:rFonts w:hint="default" w:ascii="Arial" w:hAnsi="Arial" w:cs="Arial"/>
          <w:b/>
          <w:bCs/>
          <w:sz w:val="21"/>
          <w:szCs w:val="21"/>
        </w:rPr>
      </w:pPr>
      <w:r>
        <w:rPr>
          <w:rFonts w:hint="default" w:ascii="Arial" w:hAnsi="Arial" w:cs="Arial"/>
          <w:b/>
          <w:bCs/>
          <w:sz w:val="21"/>
          <w:szCs w:val="21"/>
        </w:rPr>
        <w:t>Time-lapse cell motility assay</w:t>
      </w:r>
    </w:p>
    <w:p>
      <w:pPr>
        <w:spacing w:before="156" w:beforeLines="50" w:line="360" w:lineRule="auto"/>
        <w:jc w:val="both"/>
        <w:outlineLvl w:val="0"/>
        <w:rPr>
          <w:rFonts w:hint="default" w:ascii="Arial" w:hAnsi="Arial" w:cs="Arial"/>
          <w:bCs/>
          <w:sz w:val="21"/>
          <w:szCs w:val="21"/>
        </w:rPr>
      </w:pPr>
      <w:r>
        <w:rPr>
          <w:rFonts w:hint="default" w:ascii="Arial" w:hAnsi="Arial" w:cs="Arial"/>
          <w:bCs/>
          <w:sz w:val="21"/>
          <w:szCs w:val="21"/>
        </w:rPr>
        <w:t>Time-lapse cell motility assay was performed as described previously</w:t>
      </w:r>
      <w:r>
        <w:rPr>
          <w:rFonts w:hint="default" w:ascii="Arial" w:hAnsi="Arial" w:cs="Arial"/>
          <w:bCs/>
          <w:sz w:val="21"/>
          <w:szCs w:val="21"/>
        </w:rPr>
        <w:fldChar w:fldCharType="begin"/>
      </w:r>
      <w:r>
        <w:rPr>
          <w:rFonts w:hint="default" w:ascii="Arial" w:hAnsi="Arial" w:cs="Arial"/>
          <w:bCs/>
          <w:sz w:val="21"/>
          <w:szCs w:val="21"/>
        </w:rPr>
        <w:instrText xml:space="preserve"> ADDIN NE.Ref.{34D2A2B5-BE4F-4066-9861-5E85EE02E5B2}</w:instrText>
      </w:r>
      <w:r>
        <w:rPr>
          <w:rFonts w:hint="default" w:ascii="Arial" w:hAnsi="Arial" w:cs="Arial"/>
          <w:bCs/>
          <w:sz w:val="21"/>
          <w:szCs w:val="21"/>
        </w:rPr>
        <w:fldChar w:fldCharType="separate"/>
      </w:r>
      <w:r>
        <w:rPr>
          <w:rFonts w:hint="default" w:ascii="Arial" w:hAnsi="Arial" w:cs="Arial"/>
          <w:bCs/>
          <w:sz w:val="21"/>
          <w:szCs w:val="21"/>
        </w:rPr>
        <w:t>[</w:t>
      </w:r>
      <w:r>
        <w:rPr>
          <w:rFonts w:hint="default" w:ascii="Arial" w:hAnsi="Arial" w:cs="Arial"/>
          <w:bCs/>
          <w:sz w:val="21"/>
          <w:szCs w:val="21"/>
          <w:lang w:val="en-US" w:eastAsia="zh-CN"/>
        </w:rPr>
        <w:t>5</w:t>
      </w:r>
      <w:r>
        <w:rPr>
          <w:rFonts w:hint="default" w:ascii="Arial" w:hAnsi="Arial" w:cs="Arial"/>
          <w:bCs/>
          <w:sz w:val="21"/>
          <w:szCs w:val="21"/>
        </w:rPr>
        <w:t>]</w:t>
      </w:r>
      <w:r>
        <w:rPr>
          <w:rFonts w:hint="default" w:ascii="Arial" w:hAnsi="Arial" w:cs="Arial"/>
          <w:bCs/>
          <w:sz w:val="21"/>
          <w:szCs w:val="21"/>
        </w:rPr>
        <w:fldChar w:fldCharType="end"/>
      </w:r>
      <w:r>
        <w:rPr>
          <w:rFonts w:hint="default" w:ascii="Arial" w:hAnsi="Arial" w:cs="Arial"/>
          <w:bCs/>
          <w:sz w:val="21"/>
          <w:szCs w:val="21"/>
          <w:lang w:val="en-US" w:eastAsia="zh-CN"/>
        </w:rPr>
        <w:t>,</w:t>
      </w:r>
      <w:r>
        <w:rPr>
          <w:rFonts w:hint="default" w:ascii="Arial" w:hAnsi="Arial" w:cs="Arial"/>
          <w:bCs/>
          <w:sz w:val="21"/>
          <w:szCs w:val="21"/>
        </w:rPr>
        <w:t xml:space="preserve"> Schwann cells were cultured in an enclosed chamber at 37°C in humidified air with 5% CO2. The migration of Schwann cell was monitored using a Zeiss Axio Observer Z1 microscope (Zeiss, Pleasanton, CA, USA) and quantified every 20 min for 6 h using computer-assisted tracking system. The migration distances of individual cells were determined and analyzed.</w:t>
      </w:r>
    </w:p>
    <w:p>
      <w:pPr>
        <w:spacing w:before="156" w:beforeLines="50" w:line="360" w:lineRule="auto"/>
        <w:jc w:val="both"/>
        <w:outlineLvl w:val="0"/>
        <w:rPr>
          <w:rFonts w:hint="default" w:ascii="Arial" w:hAnsi="Arial" w:cs="Arial"/>
          <w:b/>
          <w:bCs/>
          <w:sz w:val="21"/>
          <w:szCs w:val="21"/>
        </w:rPr>
      </w:pPr>
      <w:r>
        <w:rPr>
          <w:rFonts w:hint="default" w:ascii="Arial" w:hAnsi="Arial" w:cs="Arial"/>
          <w:b/>
          <w:sz w:val="21"/>
          <w:szCs w:val="21"/>
        </w:rPr>
        <w:t>5-Ethynyl-20-deoxyuridine (EdU) incorporation assay</w:t>
      </w:r>
      <w:r>
        <w:rPr>
          <w:rFonts w:hint="default" w:ascii="Arial" w:hAnsi="Arial" w:eastAsia="等线" w:cs="Arial"/>
          <w:b/>
          <w:sz w:val="21"/>
          <w:szCs w:val="21"/>
        </w:rPr>
        <w:t xml:space="preserve"> </w:t>
      </w:r>
    </w:p>
    <w:p>
      <w:pPr>
        <w:spacing w:before="156" w:beforeLines="50" w:line="360" w:lineRule="auto"/>
        <w:jc w:val="both"/>
        <w:outlineLvl w:val="0"/>
        <w:rPr>
          <w:rFonts w:hint="default" w:ascii="Arial" w:hAnsi="Arial" w:cs="Arial"/>
          <w:b/>
          <w:bCs/>
          <w:sz w:val="21"/>
          <w:szCs w:val="21"/>
        </w:rPr>
      </w:pPr>
      <w:r>
        <w:rPr>
          <w:rFonts w:hint="default" w:ascii="Arial" w:hAnsi="Arial" w:eastAsia="等线" w:cs="Arial"/>
          <w:color w:val="000000"/>
          <w:sz w:val="21"/>
          <w:szCs w:val="21"/>
        </w:rPr>
        <w:t>Cell proliferation viability</w:t>
      </w:r>
      <w:r>
        <w:rPr>
          <w:rFonts w:hint="default" w:ascii="Arial" w:hAnsi="Arial" w:eastAsia="等线" w:cs="Arial"/>
          <w:sz w:val="21"/>
          <w:szCs w:val="21"/>
        </w:rPr>
        <w:t xml:space="preserve"> </w:t>
      </w:r>
      <w:r>
        <w:rPr>
          <w:rFonts w:hint="default" w:ascii="Arial" w:hAnsi="Arial" w:eastAsia="等线" w:cs="Arial"/>
          <w:color w:val="000000"/>
          <w:sz w:val="21"/>
          <w:szCs w:val="21"/>
        </w:rPr>
        <w:t>was performed as previously described</w:t>
      </w:r>
      <w:r>
        <w:rPr>
          <w:rFonts w:hint="default" w:ascii="Arial" w:hAnsi="Arial" w:eastAsia="等线" w:cs="Arial"/>
          <w:color w:val="000000"/>
          <w:sz w:val="21"/>
          <w:szCs w:val="21"/>
          <w:highlight w:val="yellow"/>
        </w:rPr>
        <w:fldChar w:fldCharType="begin"/>
      </w:r>
      <w:r>
        <w:rPr>
          <w:rFonts w:hint="default" w:ascii="Arial" w:hAnsi="Arial" w:eastAsia="等线" w:cs="Arial"/>
          <w:color w:val="000000"/>
          <w:sz w:val="21"/>
          <w:szCs w:val="21"/>
          <w:highlight w:val="yellow"/>
        </w:rPr>
        <w:instrText xml:space="preserve"> ADDIN NE.Ref.{34D2A2B5-BE4F-4066-9861-5E85EE02E5B2}</w:instrText>
      </w:r>
      <w:r>
        <w:rPr>
          <w:rFonts w:hint="default" w:ascii="Arial" w:hAnsi="Arial" w:eastAsia="等线" w:cs="Arial"/>
          <w:color w:val="000000"/>
          <w:sz w:val="21"/>
          <w:szCs w:val="21"/>
          <w:highlight w:val="yellow"/>
        </w:rPr>
        <w:fldChar w:fldCharType="separate"/>
      </w:r>
      <w:r>
        <w:rPr>
          <w:rFonts w:hint="default" w:ascii="Arial" w:hAnsi="Arial" w:cs="Arial"/>
          <w:color w:val="000000"/>
          <w:sz w:val="21"/>
          <w:szCs w:val="21"/>
        </w:rPr>
        <w:t>[</w:t>
      </w:r>
      <w:r>
        <w:rPr>
          <w:rFonts w:hint="default" w:ascii="Arial" w:hAnsi="Arial" w:cs="Arial"/>
          <w:color w:val="000000"/>
          <w:sz w:val="21"/>
          <w:szCs w:val="21"/>
          <w:lang w:val="en-US" w:eastAsia="zh-CN"/>
        </w:rPr>
        <w:t>6</w:t>
      </w:r>
      <w:r>
        <w:rPr>
          <w:rFonts w:hint="default" w:ascii="Arial" w:hAnsi="Arial" w:cs="Arial"/>
          <w:color w:val="000000"/>
          <w:sz w:val="21"/>
          <w:szCs w:val="21"/>
        </w:rPr>
        <w:t>]</w:t>
      </w:r>
      <w:r>
        <w:rPr>
          <w:rFonts w:hint="default" w:ascii="Arial" w:hAnsi="Arial" w:eastAsia="等线" w:cs="Arial"/>
          <w:color w:val="000000"/>
          <w:sz w:val="21"/>
          <w:szCs w:val="21"/>
          <w:highlight w:val="yellow"/>
        </w:rPr>
        <w:fldChar w:fldCharType="end"/>
      </w:r>
      <w:r>
        <w:rPr>
          <w:rFonts w:hint="default" w:ascii="Arial" w:hAnsi="Arial" w:eastAsia="等线" w:cs="Arial"/>
          <w:color w:val="000000"/>
          <w:sz w:val="21"/>
          <w:szCs w:val="21"/>
        </w:rPr>
        <w:t>, the EdU assay was carried out with a Cell-Light EdU DNA Cell Proliferation Kit (RiboBio, Shanghai, PR, China). Primary Schwann cells were cultured in plates. After incubation with 50 mM EdU for 2 h, the cells were fixed in 4% paraformaldehyde for 20 minutes and stained with Apollo Dye Solution for 30 minutes. All images were captured with a fluorescent microscope.</w:t>
      </w:r>
    </w:p>
    <w:p>
      <w:pPr>
        <w:spacing w:before="156" w:beforeLines="50"/>
        <w:jc w:val="both"/>
        <w:outlineLvl w:val="0"/>
        <w:rPr>
          <w:rFonts w:hint="default" w:ascii="Arial" w:hAnsi="Arial" w:cs="Arial"/>
          <w:b/>
          <w:bCs/>
          <w:sz w:val="21"/>
          <w:szCs w:val="21"/>
        </w:rPr>
      </w:pPr>
      <w:r>
        <w:rPr>
          <w:rFonts w:hint="default" w:ascii="Arial" w:hAnsi="Arial" w:cs="Arial"/>
          <w:b/>
          <w:sz w:val="21"/>
          <w:szCs w:val="21"/>
        </w:rPr>
        <w:t>Immunofluorescence</w:t>
      </w:r>
    </w:p>
    <w:p>
      <w:pPr>
        <w:spacing w:before="156" w:beforeLines="50" w:line="360" w:lineRule="auto"/>
        <w:jc w:val="both"/>
        <w:outlineLvl w:val="0"/>
        <w:rPr>
          <w:rFonts w:hint="default" w:ascii="Arial" w:hAnsi="Arial" w:cs="Arial"/>
          <w:b/>
          <w:bCs/>
          <w:sz w:val="21"/>
          <w:szCs w:val="21"/>
        </w:rPr>
      </w:pPr>
      <w:r>
        <w:rPr>
          <w:rFonts w:hint="default" w:ascii="Arial" w:hAnsi="Arial" w:cs="Arial"/>
          <w:bCs/>
          <w:color w:val="000000"/>
          <w:sz w:val="21"/>
          <w:szCs w:val="21"/>
        </w:rPr>
        <w:t>For tissue immunofluorescence, the sections were permeabilized in 0.5% Triton X-100 at room temperature for 20 min, and blocked with 1% BSA/PBS at room temperature for 1 h. After blocking, samples were incubated with primary antibodies specific for CD68 (1:300, Abcam)，rabbit S100 (1:100, Abcam), mouse S100 (1:50, Abcam), rabbit GFAP (1:400, Dako)，goat GFAP (1:100, Abcam), CK19 (1:100, Abcam), Alexa Fluor secondary antibodies: donkey anti-mouse Alexa Fluor 488 (1:300, Abcam), donkey anti-rabbit Alexa Fluor 555 (1:300, Abcam), and donkey anti-mouse Alexa Fluor 647 (1:300, Abcam), were used for secondary staining. For negative control, isotype-matched antibodies were applied. The accuracy of automated measurements was confirmed through independent evaluation by two pathologists. Cells stained with the indicated antibodies were calculated per field of view with at least ten fields and per section were evaluated at 400×magnification.</w:t>
      </w:r>
    </w:p>
    <w:p>
      <w:pPr>
        <w:autoSpaceDE w:val="0"/>
        <w:autoSpaceDN w:val="0"/>
        <w:adjustRightInd w:val="0"/>
        <w:spacing w:after="240" w:line="360" w:lineRule="auto"/>
        <w:jc w:val="both"/>
        <w:rPr>
          <w:rFonts w:hint="default" w:ascii="Arial" w:hAnsi="Arial" w:eastAsia="等线" w:cs="Arial"/>
          <w:color w:val="000000"/>
          <w:sz w:val="21"/>
          <w:szCs w:val="21"/>
        </w:rPr>
      </w:pPr>
      <w:r>
        <w:rPr>
          <w:rFonts w:hint="default" w:ascii="Arial" w:hAnsi="Arial" w:eastAsia="等线" w:cs="Arial"/>
          <w:color w:val="000000"/>
          <w:sz w:val="21"/>
          <w:szCs w:val="21"/>
        </w:rPr>
        <w:t>Cells immunofluorescence analysis was performed as previously described</w:t>
      </w:r>
      <w:r>
        <w:rPr>
          <w:rFonts w:hint="default" w:ascii="Arial" w:hAnsi="Arial" w:eastAsia="等线" w:cs="Arial"/>
          <w:color w:val="000000"/>
          <w:sz w:val="21"/>
          <w:szCs w:val="21"/>
          <w:highlight w:val="yellow"/>
        </w:rPr>
        <w:fldChar w:fldCharType="begin"/>
      </w:r>
      <w:r>
        <w:rPr>
          <w:rFonts w:hint="default" w:ascii="Arial" w:hAnsi="Arial" w:eastAsia="等线" w:cs="Arial"/>
          <w:color w:val="000000"/>
          <w:sz w:val="21"/>
          <w:szCs w:val="21"/>
          <w:highlight w:val="yellow"/>
        </w:rPr>
        <w:instrText xml:space="preserve"> ADDIN NE.Ref.{34D2A2B5-BE4F-4066-9861-5E85EE02E5B2}</w:instrText>
      </w:r>
      <w:r>
        <w:rPr>
          <w:rFonts w:hint="default" w:ascii="Arial" w:hAnsi="Arial" w:eastAsia="等线" w:cs="Arial"/>
          <w:color w:val="000000"/>
          <w:sz w:val="21"/>
          <w:szCs w:val="21"/>
          <w:highlight w:val="yellow"/>
        </w:rPr>
        <w:fldChar w:fldCharType="separate"/>
      </w:r>
      <w:r>
        <w:rPr>
          <w:rFonts w:hint="default" w:ascii="Arial" w:hAnsi="Arial" w:cs="Arial"/>
          <w:color w:val="000000"/>
          <w:sz w:val="21"/>
          <w:szCs w:val="21"/>
        </w:rPr>
        <w:t>[</w:t>
      </w:r>
      <w:r>
        <w:rPr>
          <w:rFonts w:hint="default" w:ascii="Arial" w:hAnsi="Arial" w:cs="Arial"/>
          <w:color w:val="000000"/>
          <w:sz w:val="21"/>
          <w:szCs w:val="21"/>
          <w:lang w:val="en-US" w:eastAsia="zh-CN"/>
        </w:rPr>
        <w:t>5</w:t>
      </w:r>
      <w:r>
        <w:rPr>
          <w:rFonts w:hint="default" w:ascii="Arial" w:hAnsi="Arial" w:cs="Arial"/>
          <w:color w:val="000000"/>
          <w:sz w:val="21"/>
          <w:szCs w:val="21"/>
        </w:rPr>
        <w:t>]</w:t>
      </w:r>
      <w:r>
        <w:rPr>
          <w:rFonts w:hint="default" w:ascii="Arial" w:hAnsi="Arial" w:eastAsia="等线" w:cs="Arial"/>
          <w:color w:val="000000"/>
          <w:sz w:val="21"/>
          <w:szCs w:val="21"/>
          <w:highlight w:val="yellow"/>
        </w:rPr>
        <w:fldChar w:fldCharType="end"/>
      </w:r>
      <w:r>
        <w:rPr>
          <w:rFonts w:hint="default" w:ascii="Arial" w:hAnsi="Arial" w:eastAsia="等线" w:cs="Arial"/>
          <w:color w:val="000000"/>
          <w:sz w:val="21"/>
          <w:szCs w:val="21"/>
        </w:rPr>
        <w:t>, with slight modifications. Briefly, dishes containing DRG and cancer cells grown in matrigel were washed once with PBS and fixed with -20</w:t>
      </w:r>
      <w:r>
        <w:rPr>
          <w:rFonts w:hint="default" w:ascii="Arial" w:hAnsi="Arial" w:eastAsia="微软雅黑" w:cs="Arial"/>
          <w:color w:val="000000"/>
          <w:sz w:val="21"/>
          <w:szCs w:val="21"/>
        </w:rPr>
        <w:t>℃</w:t>
      </w:r>
      <w:r>
        <w:rPr>
          <w:rFonts w:hint="default" w:ascii="Arial" w:hAnsi="Arial" w:eastAsia="等线" w:cs="Arial"/>
          <w:color w:val="000000"/>
          <w:sz w:val="21"/>
          <w:szCs w:val="21"/>
        </w:rPr>
        <w:t xml:space="preserve"> methanol for 10 minutes, then permeabilized in 0.5% Triton X-100 at room temperature for 20 min, and blocked with 1% BSA/PBS at room temperature for 1 h. After blocking, S100 (1:100, Abcam), </w:t>
      </w:r>
      <w:r>
        <w:rPr>
          <w:rFonts w:hint="default" w:ascii="Arial" w:hAnsi="Arial" w:cs="Arial"/>
          <w:bCs/>
          <w:color w:val="000000"/>
          <w:sz w:val="21"/>
          <w:szCs w:val="21"/>
        </w:rPr>
        <w:t>GFAP (1:400, Dako)</w:t>
      </w:r>
      <w:r>
        <w:rPr>
          <w:rFonts w:hint="default" w:ascii="Arial" w:hAnsi="Arial" w:eastAsia="等线" w:cs="Arial"/>
          <w:color w:val="000000"/>
          <w:sz w:val="21"/>
          <w:szCs w:val="21"/>
        </w:rPr>
        <w:t xml:space="preserve"> primary antibodies were used for staining of cancer cells and DRG. Incubation of Alexa Fluor-conjugated secondary antibodies (1:300, Abcam) was carried out for 1 hr at room temperature. DAPI was then used for counterstaining the nuclei and images were obtained by laser scanning confocal microscopy (LSM780, Zeiss).</w:t>
      </w:r>
    </w:p>
    <w:p>
      <w:pPr>
        <w:autoSpaceDE w:val="0"/>
        <w:autoSpaceDN w:val="0"/>
        <w:adjustRightInd w:val="0"/>
        <w:spacing w:before="156" w:beforeLines="50" w:line="360" w:lineRule="auto"/>
        <w:jc w:val="both"/>
        <w:rPr>
          <w:rFonts w:hint="default" w:ascii="Arial" w:hAnsi="Arial" w:eastAsia="等线" w:cs="Arial"/>
          <w:b/>
          <w:sz w:val="21"/>
          <w:szCs w:val="21"/>
        </w:rPr>
      </w:pPr>
      <w:r>
        <w:rPr>
          <w:rFonts w:hint="default" w:ascii="Arial" w:hAnsi="Arial" w:cs="Arial"/>
          <w:b/>
          <w:sz w:val="21"/>
          <w:szCs w:val="21"/>
        </w:rPr>
        <w:t xml:space="preserve">Cell co-culture and conditioned medium preparation </w:t>
      </w:r>
    </w:p>
    <w:p>
      <w:pPr>
        <w:autoSpaceDE w:val="0"/>
        <w:autoSpaceDN w:val="0"/>
        <w:adjustRightInd w:val="0"/>
        <w:spacing w:line="360" w:lineRule="auto"/>
        <w:jc w:val="both"/>
        <w:rPr>
          <w:rFonts w:hint="default" w:ascii="Arial" w:hAnsi="Arial" w:eastAsia="等线" w:cs="Arial"/>
          <w:color w:val="000000"/>
          <w:sz w:val="21"/>
          <w:szCs w:val="21"/>
        </w:rPr>
      </w:pPr>
      <w:r>
        <w:rPr>
          <w:rFonts w:hint="default" w:ascii="Arial" w:hAnsi="Arial" w:eastAsia="等线" w:cs="Arial"/>
          <w:color w:val="000000"/>
          <w:sz w:val="21"/>
          <w:szCs w:val="21"/>
        </w:rPr>
        <w:t>In vitro co-culture experiments between macrophage and pancreatic cancer cells or schwann cells were performed as previously described</w:t>
      </w:r>
      <w:r>
        <w:rPr>
          <w:rFonts w:hint="default" w:ascii="Arial" w:hAnsi="Arial" w:eastAsia="等线" w:cs="Arial"/>
          <w:color w:val="000000"/>
          <w:sz w:val="21"/>
          <w:szCs w:val="21"/>
          <w:highlight w:val="yellow"/>
        </w:rPr>
        <w:fldChar w:fldCharType="begin"/>
      </w:r>
      <w:r>
        <w:rPr>
          <w:rFonts w:hint="default" w:ascii="Arial" w:hAnsi="Arial" w:eastAsia="等线" w:cs="Arial"/>
          <w:color w:val="000000"/>
          <w:sz w:val="21"/>
          <w:szCs w:val="21"/>
          <w:highlight w:val="yellow"/>
        </w:rPr>
        <w:instrText xml:space="preserve"> ADDIN NE.Ref.{34D2A2B5-BE4F-4066-9861-5E85EE02E5B2}</w:instrText>
      </w:r>
      <w:r>
        <w:rPr>
          <w:rFonts w:hint="default" w:ascii="Arial" w:hAnsi="Arial" w:eastAsia="等线" w:cs="Arial"/>
          <w:color w:val="000000"/>
          <w:sz w:val="21"/>
          <w:szCs w:val="21"/>
          <w:highlight w:val="yellow"/>
        </w:rPr>
        <w:fldChar w:fldCharType="separate"/>
      </w:r>
      <w:r>
        <w:rPr>
          <w:rFonts w:hint="default" w:ascii="Arial" w:hAnsi="Arial" w:cs="Arial"/>
          <w:color w:val="000000"/>
          <w:sz w:val="21"/>
          <w:szCs w:val="21"/>
        </w:rPr>
        <w:t>[</w:t>
      </w:r>
      <w:r>
        <w:rPr>
          <w:rFonts w:hint="default" w:ascii="Arial" w:hAnsi="Arial" w:cs="Arial"/>
          <w:color w:val="000000"/>
          <w:sz w:val="21"/>
          <w:szCs w:val="21"/>
          <w:lang w:val="en-US" w:eastAsia="zh-CN"/>
        </w:rPr>
        <w:t>6</w:t>
      </w:r>
      <w:r>
        <w:rPr>
          <w:rFonts w:hint="default" w:ascii="Arial" w:hAnsi="Arial" w:cs="Arial"/>
          <w:color w:val="000000"/>
          <w:sz w:val="21"/>
          <w:szCs w:val="21"/>
        </w:rPr>
        <w:t>]</w:t>
      </w:r>
      <w:r>
        <w:rPr>
          <w:rFonts w:hint="default" w:ascii="Arial" w:hAnsi="Arial" w:eastAsia="等线" w:cs="Arial"/>
          <w:color w:val="000000"/>
          <w:sz w:val="21"/>
          <w:szCs w:val="21"/>
          <w:highlight w:val="yellow"/>
        </w:rPr>
        <w:fldChar w:fldCharType="end"/>
      </w:r>
      <w:r>
        <w:rPr>
          <w:rFonts w:hint="default" w:ascii="Arial" w:hAnsi="Arial" w:eastAsia="等线" w:cs="Arial"/>
          <w:color w:val="000000"/>
          <w:sz w:val="21"/>
          <w:szCs w:val="21"/>
        </w:rPr>
        <w:t>, with slight modifications. In briefly, pancreatic cancer cells (2x10</w:t>
      </w:r>
      <w:r>
        <w:rPr>
          <w:rFonts w:hint="default" w:ascii="Arial" w:hAnsi="Arial" w:eastAsia="等线" w:cs="Arial"/>
          <w:color w:val="000000"/>
          <w:sz w:val="21"/>
          <w:szCs w:val="21"/>
          <w:vertAlign w:val="superscript"/>
        </w:rPr>
        <w:t>5</w:t>
      </w:r>
      <w:r>
        <w:rPr>
          <w:rFonts w:hint="default" w:ascii="Arial" w:hAnsi="Arial" w:eastAsia="等线" w:cs="Arial"/>
          <w:color w:val="000000"/>
          <w:sz w:val="21"/>
          <w:szCs w:val="21"/>
        </w:rPr>
        <w:t>) or schwann cells (2x10</w:t>
      </w:r>
      <w:r>
        <w:rPr>
          <w:rFonts w:hint="default" w:ascii="Arial" w:hAnsi="Arial" w:eastAsia="等线" w:cs="Arial"/>
          <w:color w:val="000000"/>
          <w:sz w:val="21"/>
          <w:szCs w:val="21"/>
          <w:vertAlign w:val="superscript"/>
        </w:rPr>
        <w:t>5</w:t>
      </w:r>
      <w:r>
        <w:rPr>
          <w:rFonts w:hint="default" w:ascii="Arial" w:hAnsi="Arial" w:eastAsia="等线" w:cs="Arial"/>
          <w:color w:val="000000"/>
          <w:sz w:val="21"/>
          <w:szCs w:val="21"/>
        </w:rPr>
        <w:t>) were seeded at the bottom and macrophages (2 × 10</w:t>
      </w:r>
      <w:r>
        <w:rPr>
          <w:rFonts w:hint="default" w:ascii="Arial" w:hAnsi="Arial" w:eastAsia="等线" w:cs="Arial"/>
          <w:color w:val="000000"/>
          <w:sz w:val="21"/>
          <w:szCs w:val="21"/>
          <w:vertAlign w:val="superscript"/>
        </w:rPr>
        <w:t>5</w:t>
      </w:r>
      <w:r>
        <w:rPr>
          <w:rFonts w:hint="default" w:ascii="Arial" w:hAnsi="Arial" w:eastAsia="等线" w:cs="Arial"/>
          <w:color w:val="000000"/>
          <w:sz w:val="21"/>
          <w:szCs w:val="21"/>
        </w:rPr>
        <w:t>) in the upper chamber of a 6-well transwell apparatus with 0.4um pore size (Corning Incorporated, NY, USA). For the collection of conditioned medium, when grown to 80% of confluence, cells were washed with PBS, and fresh serum-free medium were added. The co-culture system was maintained with fresh serum-free medium for 24h. Then, co-cultured conditioned medium (co-CM) was harvested and filtered through a 0.22 mm filter. All the conditioned media were centrifuged at 2000 × g for 10 min to remove cells and cell debris, and then used immediately or frozen at −80 °C after allocation.</w:t>
      </w:r>
    </w:p>
    <w:p>
      <w:pPr>
        <w:spacing w:before="156" w:beforeLines="50"/>
        <w:outlineLvl w:val="0"/>
        <w:rPr>
          <w:rFonts w:hint="default" w:ascii="Arial" w:hAnsi="Arial" w:cs="Arial"/>
          <w:b/>
          <w:sz w:val="21"/>
          <w:szCs w:val="21"/>
        </w:rPr>
      </w:pPr>
    </w:p>
    <w:p>
      <w:pPr>
        <w:spacing w:before="156" w:beforeLines="50"/>
        <w:outlineLvl w:val="0"/>
        <w:rPr>
          <w:rFonts w:hint="default" w:ascii="Arial" w:hAnsi="Arial" w:cs="Arial"/>
          <w:b/>
          <w:sz w:val="21"/>
          <w:szCs w:val="21"/>
        </w:rPr>
      </w:pPr>
      <w:r>
        <w:rPr>
          <w:rFonts w:hint="default" w:ascii="Arial" w:hAnsi="Arial" w:cs="Arial"/>
          <w:b/>
          <w:sz w:val="21"/>
          <w:szCs w:val="21"/>
        </w:rPr>
        <w:t>Prepare and coculture DRGs</w:t>
      </w:r>
    </w:p>
    <w:p>
      <w:pPr>
        <w:autoSpaceDE w:val="0"/>
        <w:autoSpaceDN w:val="0"/>
        <w:adjustRightInd w:val="0"/>
        <w:spacing w:after="240" w:line="360" w:lineRule="auto"/>
        <w:jc w:val="both"/>
        <w:rPr>
          <w:rFonts w:hint="default" w:ascii="Arial" w:hAnsi="Arial" w:eastAsia="等线" w:cs="Arial"/>
          <w:color w:val="000000"/>
          <w:sz w:val="21"/>
          <w:szCs w:val="21"/>
        </w:rPr>
      </w:pPr>
      <w:r>
        <w:rPr>
          <w:rFonts w:hint="default" w:ascii="Arial" w:hAnsi="Arial" w:eastAsia="等线" w:cs="Arial"/>
          <w:color w:val="000000"/>
          <w:sz w:val="21"/>
          <w:szCs w:val="21"/>
        </w:rPr>
        <w:t>A DRG /sciatic nerve model was used to observe the paracrine interaction and the effect among neuronal, macrophages and cancer cells in vitro. Dorsal root ganglia (DRGs) or sciatic nerves were isolated from newborn male Balb/c mice and placed in phosphate-buffered saline wash twice. DRGs or sciatic nerves were implanted on 12-well culture plates with 20μl Matrigel matrix and grown in DMEM or other condition cultured medium containing 10% FBS at 37°C and 5%CO</w:t>
      </w:r>
      <w:r>
        <w:rPr>
          <w:rFonts w:hint="default" w:ascii="Arial" w:hAnsi="Arial" w:eastAsia="等线" w:cs="Arial"/>
          <w:color w:val="000000"/>
          <w:sz w:val="21"/>
          <w:szCs w:val="21"/>
          <w:vertAlign w:val="subscript"/>
        </w:rPr>
        <w:t>2</w:t>
      </w:r>
      <w:r>
        <w:rPr>
          <w:rFonts w:hint="default" w:ascii="Arial" w:hAnsi="Arial" w:eastAsia="等线" w:cs="Arial"/>
          <w:color w:val="000000"/>
          <w:sz w:val="21"/>
          <w:szCs w:val="21"/>
        </w:rPr>
        <w:t>. We detected the morphological changes and calculated the area when DRGs or sciatic nerves were incubated from 0 days to 5 days.</w:t>
      </w:r>
    </w:p>
    <w:p>
      <w:pPr>
        <w:spacing w:before="156" w:beforeLines="50" w:line="360" w:lineRule="auto"/>
        <w:jc w:val="both"/>
        <w:outlineLvl w:val="0"/>
        <w:rPr>
          <w:rFonts w:hint="default" w:ascii="Arial" w:hAnsi="Arial" w:cs="Arial"/>
          <w:b/>
          <w:sz w:val="21"/>
          <w:szCs w:val="21"/>
        </w:rPr>
      </w:pPr>
      <w:r>
        <w:rPr>
          <w:rFonts w:hint="default" w:ascii="Arial" w:hAnsi="Arial" w:cs="Arial"/>
          <w:b/>
          <w:sz w:val="21"/>
          <w:szCs w:val="21"/>
        </w:rPr>
        <w:t>Migration assay</w:t>
      </w:r>
    </w:p>
    <w:p>
      <w:pPr>
        <w:spacing w:line="360" w:lineRule="auto"/>
        <w:jc w:val="both"/>
        <w:rPr>
          <w:rFonts w:hint="default" w:ascii="Arial" w:hAnsi="Arial" w:cs="Arial"/>
          <w:color w:val="000000"/>
          <w:sz w:val="21"/>
          <w:szCs w:val="21"/>
        </w:rPr>
      </w:pPr>
      <w:r>
        <w:rPr>
          <w:rFonts w:hint="default" w:ascii="Arial" w:hAnsi="Arial" w:cs="Arial"/>
          <w:bCs/>
          <w:color w:val="000000"/>
          <w:sz w:val="21"/>
          <w:szCs w:val="21"/>
        </w:rPr>
        <w:t>As we previously described</w:t>
      </w:r>
      <w:r>
        <w:rPr>
          <w:rFonts w:hint="default" w:ascii="Arial" w:hAnsi="Arial" w:eastAsia="等线" w:cs="Arial"/>
          <w:color w:val="000000"/>
          <w:sz w:val="21"/>
          <w:szCs w:val="21"/>
          <w:highlight w:val="yellow"/>
        </w:rPr>
        <w:fldChar w:fldCharType="begin"/>
      </w:r>
      <w:r>
        <w:rPr>
          <w:rFonts w:hint="default" w:ascii="Arial" w:hAnsi="Arial" w:eastAsia="等线" w:cs="Arial"/>
          <w:color w:val="000000"/>
          <w:sz w:val="21"/>
          <w:szCs w:val="21"/>
          <w:highlight w:val="yellow"/>
        </w:rPr>
        <w:instrText xml:space="preserve"> ADDIN NE.Ref.{34D2A2B5-BE4F-4066-9861-5E85EE02E5B2}</w:instrText>
      </w:r>
      <w:r>
        <w:rPr>
          <w:rFonts w:hint="default" w:ascii="Arial" w:hAnsi="Arial" w:eastAsia="等线" w:cs="Arial"/>
          <w:color w:val="000000"/>
          <w:sz w:val="21"/>
          <w:szCs w:val="21"/>
          <w:highlight w:val="yellow"/>
        </w:rPr>
        <w:fldChar w:fldCharType="separate"/>
      </w:r>
      <w:r>
        <w:rPr>
          <w:rFonts w:hint="default" w:ascii="Arial" w:hAnsi="Arial" w:cs="Arial"/>
          <w:color w:val="000000"/>
          <w:sz w:val="21"/>
          <w:szCs w:val="21"/>
        </w:rPr>
        <w:t>[</w:t>
      </w:r>
      <w:r>
        <w:rPr>
          <w:rFonts w:hint="default" w:ascii="Arial" w:hAnsi="Arial" w:cs="Arial"/>
          <w:color w:val="000000"/>
          <w:sz w:val="21"/>
          <w:szCs w:val="21"/>
          <w:lang w:val="en-US" w:eastAsia="zh-CN"/>
        </w:rPr>
        <w:t>6</w:t>
      </w:r>
      <w:r>
        <w:rPr>
          <w:rFonts w:hint="default" w:ascii="Arial" w:hAnsi="Arial" w:cs="Arial"/>
          <w:color w:val="000000"/>
          <w:sz w:val="21"/>
          <w:szCs w:val="21"/>
        </w:rPr>
        <w:t>]</w:t>
      </w:r>
      <w:r>
        <w:rPr>
          <w:rFonts w:hint="default" w:ascii="Arial" w:hAnsi="Arial" w:eastAsia="等线" w:cs="Arial"/>
          <w:color w:val="000000"/>
          <w:sz w:val="21"/>
          <w:szCs w:val="21"/>
          <w:highlight w:val="yellow"/>
        </w:rPr>
        <w:fldChar w:fldCharType="end"/>
      </w:r>
      <w:r>
        <w:rPr>
          <w:rFonts w:hint="default" w:ascii="Arial" w:hAnsi="Arial" w:eastAsia="等线" w:cs="Arial"/>
          <w:color w:val="000000"/>
          <w:sz w:val="21"/>
          <w:szCs w:val="21"/>
        </w:rPr>
        <w:t>, the migration and invasion assays of schwann cells were performed in 8-μm 24-well Boyden chambers (Falcon, BD Biosciences, San Jose, CA, USA). Schwann cells (1 × 10</w:t>
      </w:r>
      <w:r>
        <w:rPr>
          <w:rFonts w:hint="default" w:ascii="Arial" w:hAnsi="Arial" w:eastAsia="等线" w:cs="Arial"/>
          <w:color w:val="000000"/>
          <w:position w:val="8"/>
          <w:sz w:val="21"/>
          <w:szCs w:val="21"/>
        </w:rPr>
        <w:t>5</w:t>
      </w:r>
      <w:r>
        <w:rPr>
          <w:rFonts w:hint="default" w:ascii="Arial" w:hAnsi="Arial" w:eastAsia="等线" w:cs="Arial"/>
          <w:color w:val="000000"/>
          <w:sz w:val="21"/>
          <w:szCs w:val="21"/>
        </w:rPr>
        <w:t xml:space="preserve">) suspended in 200 μL of </w:t>
      </w:r>
      <w:r>
        <w:rPr>
          <w:rFonts w:hint="default" w:ascii="Arial" w:hAnsi="Arial" w:cs="Arial"/>
          <w:color w:val="000000"/>
          <w:sz w:val="21"/>
          <w:szCs w:val="21"/>
        </w:rPr>
        <w:t>serum-free medium</w:t>
      </w:r>
      <w:r>
        <w:rPr>
          <w:rFonts w:hint="default" w:ascii="Arial" w:hAnsi="Arial" w:eastAsia="等线" w:cs="Arial"/>
          <w:color w:val="000000"/>
          <w:sz w:val="21"/>
          <w:szCs w:val="21"/>
        </w:rPr>
        <w:t xml:space="preserve"> were placed into the upper chamber, while 500 μL of DMEM containing 1% FBS (control group), 450 μL co-CM plus 50 μL DMEM containing 10% FBS (co-CM group), were added to the bottom chamber.</w:t>
      </w:r>
      <w:r>
        <w:rPr>
          <w:rFonts w:hint="default" w:ascii="Arial" w:hAnsi="Arial" w:cs="Arial"/>
          <w:color w:val="000000"/>
          <w:sz w:val="21"/>
          <w:szCs w:val="21"/>
        </w:rPr>
        <w:t xml:space="preserve"> After 24 h of incubation, cells remaining inside the upper chambers were removed while cells attached to the lower surface of the membrane were fixed </w:t>
      </w:r>
      <w:r>
        <w:rPr>
          <w:rFonts w:hint="default" w:ascii="Arial" w:hAnsi="Arial" w:eastAsia="等线" w:cs="Arial"/>
          <w:color w:val="000000"/>
          <w:sz w:val="21"/>
          <w:szCs w:val="21"/>
        </w:rPr>
        <w:t>in 4% formaldehyde and then stained with 0.1% crystal violet at room temperature for 20 min. Images were captured using a Nikon NI-U digital camera (Japan)</w:t>
      </w:r>
      <w:r>
        <w:rPr>
          <w:rFonts w:hint="default" w:ascii="Arial" w:hAnsi="Arial" w:cs="Arial"/>
          <w:color w:val="000000"/>
          <w:sz w:val="21"/>
          <w:szCs w:val="21"/>
        </w:rPr>
        <w:t xml:space="preserve">. </w:t>
      </w:r>
      <w:r>
        <w:rPr>
          <w:rFonts w:hint="default" w:ascii="Arial" w:hAnsi="Arial" w:eastAsia="等线" w:cs="Arial"/>
          <w:color w:val="000000"/>
          <w:sz w:val="21"/>
          <w:szCs w:val="21"/>
        </w:rPr>
        <w:t xml:space="preserve">Quantification was performed by counting the mean number of cells in five microscopy fields per chamber. </w:t>
      </w:r>
    </w:p>
    <w:p>
      <w:pPr>
        <w:spacing w:before="156" w:beforeLines="50" w:line="360" w:lineRule="auto"/>
        <w:jc w:val="both"/>
        <w:outlineLvl w:val="0"/>
        <w:rPr>
          <w:rFonts w:hint="default" w:ascii="Arial" w:hAnsi="Arial" w:cs="Arial"/>
          <w:b/>
          <w:bCs/>
          <w:sz w:val="21"/>
          <w:szCs w:val="21"/>
        </w:rPr>
      </w:pPr>
      <w:r>
        <w:rPr>
          <w:rFonts w:hint="default" w:ascii="Arial" w:hAnsi="Arial" w:cs="Arial"/>
          <w:b/>
          <w:bCs/>
          <w:sz w:val="21"/>
          <w:szCs w:val="21"/>
        </w:rPr>
        <w:t>Immunoblotting</w:t>
      </w:r>
    </w:p>
    <w:p>
      <w:pPr>
        <w:spacing w:line="360" w:lineRule="auto"/>
        <w:jc w:val="both"/>
        <w:rPr>
          <w:rFonts w:hint="default" w:ascii="Arial" w:hAnsi="Arial" w:eastAsia="等线" w:cs="Arial"/>
          <w:color w:val="000000"/>
          <w:sz w:val="21"/>
          <w:szCs w:val="21"/>
        </w:rPr>
      </w:pPr>
      <w:r>
        <w:rPr>
          <w:rFonts w:hint="default" w:ascii="Arial" w:hAnsi="Arial" w:cs="Arial"/>
          <w:color w:val="000000"/>
          <w:sz w:val="21"/>
          <w:szCs w:val="21"/>
        </w:rPr>
        <w:t xml:space="preserve">Cells were collected and total proteins were extracted using RIPA buffer (Beyotime) supplemented with protease- and phosphatase-inhibitors (1:100, 1:100 respectively) for 30 min on ice. Protein concentration was measured using a BCA Protein Assay Kit. 30–50 μg protein were separated by electrophoresis on 10% sodium dodecyl sulfate-polyacrylamide gel electrophoresis (SDS-PAGE), and then transferred to poly vinyldene fluoride (PVDF) membrane. The following antibodies were used GFAP, </w:t>
      </w:r>
      <w:r>
        <w:rPr>
          <w:rFonts w:hint="default" w:ascii="Arial" w:hAnsi="Arial" w:cs="Arial"/>
          <w:bCs/>
          <w:color w:val="000000"/>
          <w:sz w:val="21"/>
          <w:szCs w:val="21"/>
        </w:rPr>
        <w:t xml:space="preserve">(1:1000, Abcam), </w:t>
      </w:r>
      <w:r>
        <w:rPr>
          <w:rFonts w:hint="default" w:ascii="Arial" w:hAnsi="Arial" w:cs="Arial"/>
          <w:color w:val="000000"/>
          <w:sz w:val="21"/>
          <w:szCs w:val="21"/>
        </w:rPr>
        <w:t xml:space="preserve">NGFR </w:t>
      </w:r>
      <w:r>
        <w:rPr>
          <w:rFonts w:hint="default" w:ascii="Arial" w:hAnsi="Arial" w:cs="Arial"/>
          <w:bCs/>
          <w:color w:val="000000"/>
          <w:sz w:val="21"/>
          <w:szCs w:val="21"/>
        </w:rPr>
        <w:t>(1:2000, Abcam)</w:t>
      </w:r>
      <w:r>
        <w:rPr>
          <w:rFonts w:hint="default" w:ascii="Arial" w:hAnsi="Arial" w:cs="Arial"/>
          <w:color w:val="000000"/>
          <w:sz w:val="21"/>
          <w:szCs w:val="21"/>
        </w:rPr>
        <w:t xml:space="preserve">, L1CAM </w:t>
      </w:r>
      <w:r>
        <w:rPr>
          <w:rFonts w:hint="default" w:ascii="Arial" w:hAnsi="Arial" w:cs="Arial"/>
          <w:bCs/>
          <w:color w:val="000000"/>
          <w:sz w:val="21"/>
          <w:szCs w:val="21"/>
        </w:rPr>
        <w:t>(1:1000, Abcam)</w:t>
      </w:r>
      <w:r>
        <w:rPr>
          <w:rFonts w:hint="default" w:ascii="Arial" w:hAnsi="Arial" w:cs="Arial"/>
          <w:color w:val="000000"/>
          <w:sz w:val="21"/>
          <w:szCs w:val="21"/>
        </w:rPr>
        <w:t xml:space="preserve">, S100 </w:t>
      </w:r>
      <w:r>
        <w:rPr>
          <w:rFonts w:hint="default" w:ascii="Arial" w:hAnsi="Arial" w:cs="Arial"/>
          <w:bCs/>
          <w:color w:val="000000"/>
          <w:sz w:val="21"/>
          <w:szCs w:val="21"/>
        </w:rPr>
        <w:t>(1:2000, Abcam)</w:t>
      </w:r>
      <w:r>
        <w:rPr>
          <w:rFonts w:hint="default" w:ascii="Arial" w:hAnsi="Arial" w:cs="Arial"/>
          <w:color w:val="000000"/>
          <w:sz w:val="21"/>
          <w:szCs w:val="21"/>
        </w:rPr>
        <w:t xml:space="preserve">, NCAM </w:t>
      </w:r>
      <w:r>
        <w:rPr>
          <w:rFonts w:hint="default" w:ascii="Arial" w:hAnsi="Arial" w:cs="Arial"/>
          <w:bCs/>
          <w:color w:val="000000"/>
          <w:sz w:val="21"/>
          <w:szCs w:val="21"/>
        </w:rPr>
        <w:t>(1:1000, Abcam)</w:t>
      </w:r>
      <w:r>
        <w:rPr>
          <w:rFonts w:hint="default" w:ascii="Arial" w:hAnsi="Arial" w:cs="Arial"/>
          <w:color w:val="000000"/>
          <w:sz w:val="21"/>
          <w:szCs w:val="21"/>
        </w:rPr>
        <w:t xml:space="preserve">, GAPDH </w:t>
      </w:r>
      <w:r>
        <w:rPr>
          <w:rFonts w:hint="default" w:ascii="Arial" w:hAnsi="Arial" w:cs="Arial"/>
          <w:bCs/>
          <w:color w:val="000000"/>
          <w:sz w:val="21"/>
          <w:szCs w:val="21"/>
        </w:rPr>
        <w:t>(1:5000,</w:t>
      </w:r>
      <w:r>
        <w:rPr>
          <w:rFonts w:hint="default" w:ascii="Arial" w:hAnsi="Arial" w:eastAsia="等线" w:cs="Arial"/>
          <w:color w:val="000000"/>
          <w:sz w:val="21"/>
          <w:szCs w:val="21"/>
        </w:rPr>
        <w:t xml:space="preserve"> Beijing Ray</w:t>
      </w:r>
      <w:r>
        <w:rPr>
          <w:rFonts w:hint="default" w:ascii="Arial" w:hAnsi="Arial" w:cs="Arial"/>
          <w:bCs/>
          <w:color w:val="000000"/>
          <w:sz w:val="21"/>
          <w:szCs w:val="21"/>
        </w:rPr>
        <w:t>)</w:t>
      </w:r>
      <w:r>
        <w:rPr>
          <w:rFonts w:hint="default" w:ascii="Arial" w:hAnsi="Arial" w:cs="Arial"/>
          <w:color w:val="000000"/>
          <w:sz w:val="21"/>
          <w:szCs w:val="21"/>
        </w:rPr>
        <w:t xml:space="preserve">, Vimentin </w:t>
      </w:r>
      <w:r>
        <w:rPr>
          <w:rFonts w:hint="default" w:ascii="Arial" w:hAnsi="Arial" w:cs="Arial"/>
          <w:bCs/>
          <w:color w:val="000000"/>
          <w:sz w:val="21"/>
          <w:szCs w:val="21"/>
        </w:rPr>
        <w:t>(1:1000, CST)</w:t>
      </w:r>
      <w:r>
        <w:rPr>
          <w:rFonts w:hint="default" w:ascii="Arial" w:hAnsi="Arial" w:cs="Arial"/>
          <w:color w:val="000000"/>
          <w:sz w:val="21"/>
          <w:szCs w:val="21"/>
        </w:rPr>
        <w:t xml:space="preserve">, PI3K </w:t>
      </w:r>
      <w:r>
        <w:rPr>
          <w:rFonts w:hint="default" w:ascii="Arial" w:hAnsi="Arial" w:cs="Arial"/>
          <w:bCs/>
          <w:color w:val="000000"/>
          <w:sz w:val="21"/>
          <w:szCs w:val="21"/>
        </w:rPr>
        <w:t>(1:1000, CST)</w:t>
      </w:r>
      <w:r>
        <w:rPr>
          <w:rFonts w:hint="default" w:ascii="Arial" w:hAnsi="Arial" w:cs="Arial"/>
          <w:color w:val="000000"/>
          <w:sz w:val="21"/>
          <w:szCs w:val="21"/>
        </w:rPr>
        <w:t xml:space="preserve">, AKT </w:t>
      </w:r>
      <w:r>
        <w:rPr>
          <w:rFonts w:hint="default" w:ascii="Arial" w:hAnsi="Arial" w:cs="Arial"/>
          <w:bCs/>
          <w:color w:val="000000"/>
          <w:sz w:val="21"/>
          <w:szCs w:val="21"/>
        </w:rPr>
        <w:t>(1:1000, CST)</w:t>
      </w:r>
      <w:r>
        <w:rPr>
          <w:rFonts w:hint="default" w:ascii="Arial" w:hAnsi="Arial" w:cs="Arial"/>
          <w:color w:val="000000"/>
          <w:sz w:val="21"/>
          <w:szCs w:val="21"/>
        </w:rPr>
        <w:t xml:space="preserve">, p-AKT </w:t>
      </w:r>
      <w:r>
        <w:rPr>
          <w:rFonts w:hint="default" w:ascii="Arial" w:hAnsi="Arial" w:cs="Arial"/>
          <w:bCs/>
          <w:color w:val="000000"/>
          <w:sz w:val="21"/>
          <w:szCs w:val="21"/>
        </w:rPr>
        <w:t>(1:2000, CST)</w:t>
      </w:r>
      <w:r>
        <w:rPr>
          <w:rFonts w:hint="default" w:ascii="Arial" w:hAnsi="Arial" w:cs="Arial"/>
          <w:color w:val="000000"/>
          <w:sz w:val="21"/>
          <w:szCs w:val="21"/>
        </w:rPr>
        <w:t xml:space="preserve">, STAT3 </w:t>
      </w:r>
      <w:r>
        <w:rPr>
          <w:rFonts w:hint="default" w:ascii="Arial" w:hAnsi="Arial" w:cs="Arial"/>
          <w:bCs/>
          <w:color w:val="000000"/>
          <w:sz w:val="21"/>
          <w:szCs w:val="21"/>
        </w:rPr>
        <w:t>(1:1000, CST)</w:t>
      </w:r>
      <w:r>
        <w:rPr>
          <w:rFonts w:hint="default" w:ascii="Arial" w:hAnsi="Arial" w:cs="Arial"/>
          <w:color w:val="000000"/>
          <w:sz w:val="21"/>
          <w:szCs w:val="21"/>
        </w:rPr>
        <w:t xml:space="preserve">, p-STAT3 </w:t>
      </w:r>
      <w:r>
        <w:rPr>
          <w:rFonts w:hint="default" w:ascii="Arial" w:hAnsi="Arial" w:cs="Arial"/>
          <w:bCs/>
          <w:color w:val="000000"/>
          <w:sz w:val="21"/>
          <w:szCs w:val="21"/>
        </w:rPr>
        <w:t>(1:1000, CST)</w:t>
      </w:r>
      <w:r>
        <w:rPr>
          <w:rFonts w:hint="default" w:ascii="Arial" w:hAnsi="Arial" w:cs="Arial"/>
          <w:color w:val="000000"/>
          <w:sz w:val="21"/>
          <w:szCs w:val="21"/>
        </w:rPr>
        <w:t xml:space="preserve">, p38 </w:t>
      </w:r>
      <w:r>
        <w:rPr>
          <w:rFonts w:hint="default" w:ascii="Arial" w:hAnsi="Arial" w:cs="Arial"/>
          <w:bCs/>
          <w:color w:val="000000"/>
          <w:sz w:val="21"/>
          <w:szCs w:val="21"/>
        </w:rPr>
        <w:t>(1:1000, CST)</w:t>
      </w:r>
      <w:r>
        <w:rPr>
          <w:rFonts w:hint="default" w:ascii="Arial" w:hAnsi="Arial" w:cs="Arial"/>
          <w:color w:val="000000"/>
          <w:sz w:val="21"/>
          <w:szCs w:val="21"/>
        </w:rPr>
        <w:t xml:space="preserve">, ERK </w:t>
      </w:r>
      <w:r>
        <w:rPr>
          <w:rFonts w:hint="default" w:ascii="Arial" w:hAnsi="Arial" w:cs="Arial"/>
          <w:bCs/>
          <w:color w:val="000000"/>
          <w:sz w:val="21"/>
          <w:szCs w:val="21"/>
        </w:rPr>
        <w:t>(1:1000, CST)</w:t>
      </w:r>
      <w:r>
        <w:rPr>
          <w:rFonts w:hint="default" w:ascii="Arial" w:hAnsi="Arial" w:cs="Arial"/>
          <w:color w:val="000000"/>
          <w:sz w:val="21"/>
          <w:szCs w:val="21"/>
        </w:rPr>
        <w:t xml:space="preserve">, p-ERK </w:t>
      </w:r>
      <w:r>
        <w:rPr>
          <w:rFonts w:hint="default" w:ascii="Arial" w:hAnsi="Arial" w:cs="Arial"/>
          <w:bCs/>
          <w:color w:val="000000"/>
          <w:sz w:val="21"/>
          <w:szCs w:val="21"/>
        </w:rPr>
        <w:t>(1:2000, CST)</w:t>
      </w:r>
      <w:r>
        <w:rPr>
          <w:rFonts w:hint="default" w:ascii="Arial" w:hAnsi="Arial" w:cs="Arial"/>
          <w:color w:val="000000"/>
          <w:sz w:val="21"/>
          <w:szCs w:val="21"/>
        </w:rPr>
        <w:t xml:space="preserve">, Tubulin </w:t>
      </w:r>
      <w:r>
        <w:rPr>
          <w:rFonts w:hint="default" w:ascii="Arial" w:hAnsi="Arial" w:cs="Arial"/>
          <w:bCs/>
          <w:color w:val="000000"/>
          <w:sz w:val="21"/>
          <w:szCs w:val="21"/>
        </w:rPr>
        <w:t xml:space="preserve">(1:1000, </w:t>
      </w:r>
      <w:r>
        <w:rPr>
          <w:rFonts w:hint="default" w:ascii="Arial" w:hAnsi="Arial" w:eastAsia="等线" w:cs="Arial"/>
          <w:color w:val="000000"/>
          <w:sz w:val="21"/>
          <w:szCs w:val="21"/>
        </w:rPr>
        <w:t>Beijing Ray</w:t>
      </w:r>
      <w:r>
        <w:rPr>
          <w:rFonts w:hint="default" w:ascii="Arial" w:hAnsi="Arial" w:cs="Arial"/>
          <w:bCs/>
          <w:color w:val="000000"/>
          <w:sz w:val="21"/>
          <w:szCs w:val="21"/>
        </w:rPr>
        <w:t>)</w:t>
      </w:r>
      <w:r>
        <w:rPr>
          <w:rFonts w:hint="default" w:ascii="Arial" w:hAnsi="Arial" w:cs="Arial"/>
          <w:color w:val="000000"/>
          <w:sz w:val="21"/>
          <w:szCs w:val="21"/>
        </w:rPr>
        <w:t xml:space="preserve">, Myc </w:t>
      </w:r>
      <w:r>
        <w:rPr>
          <w:rFonts w:hint="default" w:ascii="Arial" w:hAnsi="Arial" w:cs="Arial"/>
          <w:bCs/>
          <w:color w:val="000000"/>
          <w:sz w:val="21"/>
          <w:szCs w:val="21"/>
        </w:rPr>
        <w:t>(1:1000, Abcam)</w:t>
      </w:r>
      <w:r>
        <w:rPr>
          <w:rFonts w:hint="default" w:ascii="Arial" w:hAnsi="Arial" w:cs="Arial"/>
          <w:color w:val="000000"/>
          <w:sz w:val="21"/>
          <w:szCs w:val="21"/>
        </w:rPr>
        <w:t xml:space="preserve"> at 4</w:t>
      </w:r>
      <w:r>
        <w:rPr>
          <w:rFonts w:hint="default" w:ascii="Arial" w:hAnsi="Arial" w:eastAsia="微软雅黑" w:cs="Arial"/>
          <w:color w:val="000000"/>
          <w:sz w:val="21"/>
          <w:szCs w:val="21"/>
        </w:rPr>
        <w:t>℃</w:t>
      </w:r>
      <w:r>
        <w:rPr>
          <w:rFonts w:hint="default" w:ascii="Arial" w:hAnsi="Arial" w:cs="Arial"/>
          <w:color w:val="000000"/>
          <w:sz w:val="21"/>
          <w:szCs w:val="21"/>
        </w:rPr>
        <w:t xml:space="preserve"> overnight. Peroxidase-conjugated secondary antibody (</w:t>
      </w:r>
      <w:r>
        <w:rPr>
          <w:rFonts w:hint="default" w:ascii="Arial" w:hAnsi="Arial" w:cs="Arial"/>
          <w:bCs/>
          <w:color w:val="000000"/>
          <w:sz w:val="21"/>
          <w:szCs w:val="21"/>
        </w:rPr>
        <w:t>1:5000, CST</w:t>
      </w:r>
      <w:r>
        <w:rPr>
          <w:rFonts w:hint="default" w:ascii="Arial" w:hAnsi="Arial" w:cs="Arial"/>
          <w:color w:val="000000"/>
          <w:sz w:val="21"/>
          <w:szCs w:val="21"/>
        </w:rPr>
        <w:t xml:space="preserve">) was used and the antigen–antibody reactions were visualized </w:t>
      </w:r>
      <w:r>
        <w:rPr>
          <w:rFonts w:hint="default" w:ascii="Arial" w:hAnsi="Arial" w:eastAsia="等线" w:cs="Arial"/>
          <w:color w:val="000000"/>
          <w:sz w:val="21"/>
          <w:szCs w:val="21"/>
        </w:rPr>
        <w:t>with an enhanced chemiluminescence (ECL) detection system. The detection Images were quantified by densitometry using ImageJ software.</w:t>
      </w:r>
    </w:p>
    <w:p>
      <w:pPr>
        <w:spacing w:line="360" w:lineRule="auto"/>
        <w:jc w:val="both"/>
        <w:rPr>
          <w:rFonts w:hint="default" w:ascii="Arial" w:hAnsi="Arial" w:cs="Arial"/>
          <w:color w:val="FF0000"/>
          <w:sz w:val="21"/>
          <w:szCs w:val="21"/>
        </w:rPr>
      </w:pPr>
      <w:r>
        <w:rPr>
          <w:rFonts w:hint="default" w:ascii="Arial" w:hAnsi="Arial" w:cs="Arial"/>
          <w:b/>
          <w:bCs/>
          <w:sz w:val="21"/>
          <w:szCs w:val="21"/>
        </w:rPr>
        <w:t>Polymerase Chain Reaction</w:t>
      </w:r>
    </w:p>
    <w:p>
      <w:pPr>
        <w:spacing w:line="360" w:lineRule="auto"/>
        <w:jc w:val="both"/>
        <w:rPr>
          <w:rFonts w:hint="default" w:ascii="Arial" w:hAnsi="Arial" w:cs="Arial"/>
          <w:color w:val="000000"/>
          <w:sz w:val="21"/>
          <w:szCs w:val="21"/>
        </w:rPr>
      </w:pPr>
      <w:r>
        <w:rPr>
          <w:rFonts w:hint="default" w:ascii="Arial" w:hAnsi="Arial" w:cs="Arial"/>
          <w:color w:val="000000"/>
          <w:sz w:val="21"/>
          <w:szCs w:val="21"/>
        </w:rPr>
        <w:t>Total RNA was extracted using the Trizol reagent (Takara Bio, Inc., Shiga, Japan) according to the manufacturer's instructions. Total RNA (1 μg) was reverse transcribed using Prime Script</w:t>
      </w:r>
      <w:r>
        <w:rPr>
          <w:rFonts w:hint="default" w:ascii="Arial" w:hAnsi="Arial" w:cs="Arial"/>
          <w:color w:val="000000"/>
          <w:sz w:val="21"/>
          <w:szCs w:val="21"/>
          <w:vertAlign w:val="superscript"/>
        </w:rPr>
        <w:t>TM</w:t>
      </w:r>
      <w:r>
        <w:rPr>
          <w:rFonts w:hint="default" w:ascii="Arial" w:hAnsi="Arial" w:cs="Arial"/>
          <w:color w:val="000000"/>
          <w:sz w:val="21"/>
          <w:szCs w:val="21"/>
        </w:rPr>
        <w:t xml:space="preserve"> RT Master Mix (Takara Bio). qRT–PCR was performed with TB GreenTM Premix Ex TaqTM II (Tli RNaseH Plus, Takara Bio) and a Roche LightCycler 480 system (Roche, Basel, Switzerland) according to the manufacturer’s instructions. The primer sequences are listed in Method. GAPDH served as an internal control and and the relative fold changes were calculated using the 2-ΔΔCT method.</w:t>
      </w:r>
    </w:p>
    <w:p>
      <w:pPr>
        <w:spacing w:before="156" w:beforeLines="50" w:line="360" w:lineRule="auto"/>
        <w:jc w:val="both"/>
        <w:outlineLvl w:val="0"/>
        <w:rPr>
          <w:rFonts w:hint="default" w:ascii="Arial" w:hAnsi="Arial" w:cs="Arial"/>
          <w:b/>
          <w:bCs/>
          <w:sz w:val="21"/>
          <w:szCs w:val="21"/>
        </w:rPr>
      </w:pPr>
      <w:r>
        <w:rPr>
          <w:rFonts w:hint="default" w:ascii="Arial" w:hAnsi="Arial" w:cs="Arial"/>
          <w:b/>
          <w:bCs/>
          <w:sz w:val="21"/>
          <w:szCs w:val="21"/>
        </w:rPr>
        <w:t>Oligonucleotide transfection</w:t>
      </w:r>
    </w:p>
    <w:p>
      <w:pPr>
        <w:spacing w:before="156" w:beforeLines="50" w:line="360" w:lineRule="auto"/>
        <w:jc w:val="both"/>
        <w:outlineLvl w:val="0"/>
        <w:rPr>
          <w:rFonts w:hint="default" w:ascii="Arial" w:hAnsi="Arial" w:eastAsia="等线" w:cs="Arial"/>
          <w:color w:val="000000"/>
          <w:sz w:val="21"/>
          <w:szCs w:val="21"/>
        </w:rPr>
      </w:pPr>
      <w:r>
        <w:rPr>
          <w:rFonts w:hint="default" w:ascii="Arial" w:hAnsi="Arial" w:eastAsia="等线" w:cs="Arial"/>
          <w:color w:val="000000"/>
          <w:sz w:val="21"/>
          <w:szCs w:val="21"/>
        </w:rPr>
        <w:t>For transient knockdown experiments, cells were seeded in six-well plates and cultured in complete medium before transfection. When cells were cultured to 60–70% confluence in 6-well plates, oligonucleotides purchased from Gene-Pharma (Shanghai, China) were transiently transfected using Lipofectamine RNAi Max (Invitrogen, USA) following the protocols. The sequences of oligonucleotides are listed behind.</w:t>
      </w:r>
    </w:p>
    <w:p>
      <w:pPr>
        <w:spacing w:before="156" w:beforeLines="50" w:line="360" w:lineRule="auto"/>
        <w:outlineLvl w:val="0"/>
        <w:rPr>
          <w:rFonts w:hint="default" w:ascii="Arial" w:hAnsi="Arial" w:cs="Arial"/>
          <w:b/>
          <w:bCs/>
          <w:sz w:val="21"/>
          <w:szCs w:val="21"/>
        </w:rPr>
      </w:pPr>
      <w:r>
        <w:rPr>
          <w:rFonts w:hint="default" w:ascii="Arial" w:hAnsi="Arial" w:cs="Arial"/>
          <w:b/>
          <w:sz w:val="21"/>
          <w:szCs w:val="21"/>
          <w:shd w:val="clear" w:color="auto" w:fill="FFFFFF"/>
        </w:rPr>
        <w:t xml:space="preserve">enzyme-linked immunosorbent assay, </w:t>
      </w:r>
      <w:r>
        <w:rPr>
          <w:rFonts w:hint="default" w:ascii="Arial" w:hAnsi="Arial" w:cs="Arial"/>
          <w:b/>
          <w:bCs/>
          <w:sz w:val="21"/>
          <w:szCs w:val="21"/>
        </w:rPr>
        <w:t>ELISA</w:t>
      </w:r>
    </w:p>
    <w:p>
      <w:pPr>
        <w:spacing w:before="156" w:beforeLines="50" w:line="360" w:lineRule="auto"/>
        <w:jc w:val="both"/>
        <w:outlineLvl w:val="0"/>
        <w:rPr>
          <w:rFonts w:hint="default" w:ascii="Arial" w:hAnsi="Arial" w:eastAsia="等线" w:cs="Arial"/>
          <w:color w:val="000000"/>
          <w:sz w:val="21"/>
          <w:szCs w:val="21"/>
        </w:rPr>
      </w:pPr>
      <w:r>
        <w:rPr>
          <w:rFonts w:hint="default" w:ascii="Arial" w:hAnsi="Arial" w:eastAsia="等线" w:cs="Arial"/>
          <w:color w:val="000000"/>
          <w:sz w:val="21"/>
          <w:szCs w:val="21"/>
        </w:rPr>
        <w:t xml:space="preserve">Cell supernatants were harvested and centrifuged at 1000 g for 20 min to remove cell debris. 200 mL of supernatants were used in the ELISA assays. The levels of secreted </w:t>
      </w:r>
      <w:r>
        <w:rPr>
          <w:rFonts w:hint="eastAsia" w:ascii="Arial" w:hAnsi="Arial" w:eastAsia="等线" w:cs="Arial"/>
          <w:color w:val="000000"/>
          <w:sz w:val="21"/>
          <w:szCs w:val="21"/>
          <w:lang w:eastAsia="zh-CN"/>
        </w:rPr>
        <w:t>bFGF</w:t>
      </w:r>
      <w:r>
        <w:rPr>
          <w:rFonts w:hint="default" w:ascii="Arial" w:hAnsi="Arial" w:eastAsia="等线" w:cs="Arial"/>
          <w:color w:val="000000"/>
          <w:sz w:val="21"/>
          <w:szCs w:val="21"/>
        </w:rPr>
        <w:t>, IL33 and CXCL12 in cell culture supernatant were determined using human Quantikine ELISA Kits (R&amp;D Systems, Minneapolis, MN, USA) according to manufacturer’s instructions.</w:t>
      </w:r>
    </w:p>
    <w:p>
      <w:pPr>
        <w:spacing w:before="156" w:beforeLines="50" w:line="360" w:lineRule="auto"/>
        <w:jc w:val="both"/>
        <w:outlineLvl w:val="0"/>
        <w:rPr>
          <w:rFonts w:hint="default" w:ascii="Arial" w:hAnsi="Arial" w:cs="Arial"/>
          <w:b/>
          <w:bCs/>
          <w:sz w:val="21"/>
          <w:szCs w:val="21"/>
        </w:rPr>
      </w:pPr>
      <w:r>
        <w:rPr>
          <w:rFonts w:hint="default" w:ascii="Arial" w:hAnsi="Arial" w:cs="Arial"/>
          <w:b/>
          <w:bCs/>
          <w:sz w:val="21"/>
          <w:szCs w:val="21"/>
        </w:rPr>
        <w:t>Chromatin Immunoprecipitation Assay (ChIP)</w:t>
      </w:r>
    </w:p>
    <w:p>
      <w:pPr>
        <w:spacing w:before="156" w:beforeLines="50" w:line="360" w:lineRule="auto"/>
        <w:jc w:val="both"/>
        <w:outlineLvl w:val="0"/>
        <w:rPr>
          <w:rFonts w:hint="default" w:ascii="Arial" w:hAnsi="Arial" w:cs="Arial"/>
          <w:b/>
          <w:bCs/>
          <w:sz w:val="21"/>
          <w:szCs w:val="21"/>
        </w:rPr>
      </w:pPr>
      <w:r>
        <w:rPr>
          <w:rFonts w:hint="default" w:ascii="Arial" w:hAnsi="Arial" w:eastAsia="等线" w:cs="Arial"/>
          <w:color w:val="000000"/>
          <w:sz w:val="21"/>
          <w:szCs w:val="21"/>
        </w:rPr>
        <w:t>ChIP assay was performed with a ChIP Chromatin Immunoprecipitation kit (Millipore, Massachusetts, USA) according to the manufacturer’s instructions. Briefly, schwann cells treated with pol-TAMs were collected and fixed in 1% formaldehyde for 20 min at room temperature. Fixed cells were harvested, lysed with SDS lysis buffer. Ultrasonication was used to shear the DNA into 200~500nt fragments. Antibody against c-myc (5ul per 1mg total protein) and rabbit IgG (2ul per 1mg total protein) were used for immunoprecipitation. The precipitated DNA was subjected to PCR amplification. The primer sequences used in ChIP assays are listed in behind.</w:t>
      </w:r>
    </w:p>
    <w:p>
      <w:pPr>
        <w:spacing w:before="156" w:beforeLines="50" w:line="360" w:lineRule="auto"/>
        <w:jc w:val="both"/>
        <w:outlineLvl w:val="0"/>
        <w:rPr>
          <w:rFonts w:hint="default" w:ascii="Arial" w:hAnsi="Arial" w:cs="Arial"/>
          <w:b/>
          <w:bCs/>
          <w:sz w:val="21"/>
          <w:szCs w:val="21"/>
        </w:rPr>
      </w:pPr>
      <w:r>
        <w:rPr>
          <w:rFonts w:hint="default" w:ascii="Arial" w:hAnsi="Arial" w:cs="Arial"/>
          <w:b/>
          <w:bCs/>
          <w:sz w:val="21"/>
          <w:szCs w:val="21"/>
        </w:rPr>
        <w:t>Orthotopic implantation</w:t>
      </w:r>
    </w:p>
    <w:p>
      <w:pPr>
        <w:spacing w:before="156" w:beforeLines="50" w:line="360" w:lineRule="auto"/>
        <w:jc w:val="both"/>
        <w:outlineLvl w:val="0"/>
        <w:rPr>
          <w:rFonts w:hint="default" w:ascii="Arial" w:hAnsi="Arial" w:eastAsia="等线" w:cs="Arial"/>
          <w:color w:val="000000"/>
          <w:sz w:val="21"/>
          <w:szCs w:val="21"/>
        </w:rPr>
      </w:pPr>
      <w:r>
        <w:rPr>
          <w:rFonts w:hint="default" w:ascii="Arial" w:hAnsi="Arial" w:eastAsia="等线" w:cs="Arial"/>
          <w:color w:val="000000"/>
          <w:sz w:val="21"/>
          <w:szCs w:val="21"/>
        </w:rPr>
        <w:t xml:space="preserve">The needle and syringe are pre-cooled and the tumor cells are aspirated and slowly injected into the head of the pancreas. After injection, the cotton wool tip was pressed against the injection site for 30 seconds to prevent leakage. In order to ensure all experiments use the same injection technique, injections are always performed by the same person. After the injection is completed, the pancreas is placed back into the abdominal cavity. Then buprenorphine hydrochloride was injected subcutaneously for local analgesia and the abdomen was closed with surgical sutures. To date, we have not found any surgery-related deaths. </w:t>
      </w:r>
      <w:bookmarkEnd w:id="1"/>
      <w:r>
        <w:rPr>
          <w:rFonts w:hint="default" w:ascii="Arial" w:hAnsi="Arial" w:eastAsia="等线" w:cs="Arial"/>
          <w:color w:val="000000"/>
          <w:sz w:val="21"/>
          <w:szCs w:val="21"/>
        </w:rPr>
        <w:t xml:space="preserve"> </w:t>
      </w:r>
    </w:p>
    <w:p>
      <w:pPr>
        <w:widowControl w:val="0"/>
        <w:autoSpaceDE w:val="0"/>
        <w:autoSpaceDN w:val="0"/>
        <w:adjustRightInd w:val="0"/>
        <w:jc w:val="center"/>
        <w:rPr>
          <w:rFonts w:hint="default" w:ascii="Arial" w:hAnsi="Arial" w:cs="Arial"/>
          <w:color w:val="000000"/>
          <w:sz w:val="20"/>
          <w:szCs w:val="20"/>
          <w:lang w:val="en-US" w:eastAsia="zh-CN"/>
        </w:rPr>
      </w:pPr>
      <w:r>
        <w:rPr>
          <w:rFonts w:hint="default" w:ascii="Arial" w:hAnsi="Arial" w:cs="Arial"/>
          <w:b/>
          <w:bCs/>
          <w:color w:val="000000"/>
          <w:sz w:val="40"/>
          <w:szCs w:val="40"/>
        </w:rPr>
        <w:t>References</w:t>
      </w:r>
    </w:p>
    <w:p>
      <w:pPr>
        <w:widowControl w:val="0"/>
        <w:autoSpaceDE w:val="0"/>
        <w:autoSpaceDN w:val="0"/>
        <w:adjustRightInd w:val="0"/>
        <w:jc w:val="both"/>
        <w:rPr>
          <w:rFonts w:hint="default" w:ascii="Arial" w:hAnsi="Arial" w:cs="Arial"/>
        </w:rPr>
      </w:pPr>
      <w:r>
        <w:rPr>
          <w:rFonts w:hint="default" w:ascii="Arial" w:hAnsi="Arial" w:cs="Arial"/>
          <w:color w:val="000000"/>
          <w:sz w:val="20"/>
          <w:szCs w:val="20"/>
          <w:lang w:val="en-US" w:eastAsia="zh-CN"/>
        </w:rPr>
        <w:t xml:space="preserve">1.  </w:t>
      </w:r>
      <w:r>
        <w:rPr>
          <w:rFonts w:hint="default" w:ascii="Arial" w:hAnsi="Arial" w:cs="Arial"/>
          <w:color w:val="000000"/>
          <w:sz w:val="20"/>
          <w:szCs w:val="20"/>
        </w:rPr>
        <w:t>Gil Z, Cavel O, Kelly K, et al. Paracrine regulation of pancreatic cancer cell invasion by peripheral nerves. J Natl Cancer Inst 2010;102:107-18.</w:t>
      </w:r>
    </w:p>
    <w:p>
      <w:pPr>
        <w:widowControl w:val="0"/>
        <w:autoSpaceDE w:val="0"/>
        <w:autoSpaceDN w:val="0"/>
        <w:adjustRightInd w:val="0"/>
        <w:jc w:val="both"/>
        <w:rPr>
          <w:rFonts w:hint="default" w:ascii="Arial" w:hAnsi="Arial" w:cs="Arial"/>
        </w:rPr>
      </w:pPr>
      <w:r>
        <w:rPr>
          <w:rFonts w:hint="default" w:ascii="Arial" w:hAnsi="Arial" w:cs="Arial"/>
          <w:color w:val="000000"/>
          <w:sz w:val="20"/>
          <w:szCs w:val="20"/>
          <w:lang w:val="en-US" w:eastAsia="zh-CN"/>
        </w:rPr>
        <w:t>2</w:t>
      </w:r>
      <w:r>
        <w:rPr>
          <w:rFonts w:hint="default" w:ascii="Arial" w:hAnsi="Arial" w:cs="Arial"/>
          <w:color w:val="000000"/>
          <w:sz w:val="20"/>
          <w:szCs w:val="20"/>
        </w:rPr>
        <w:t>.</w:t>
      </w:r>
      <w:r>
        <w:rPr>
          <w:rFonts w:hint="default" w:ascii="Arial" w:hAnsi="Arial" w:cs="Arial"/>
          <w:color w:val="000000"/>
          <w:sz w:val="20"/>
          <w:szCs w:val="20"/>
        </w:rPr>
        <w:tab/>
      </w:r>
      <w:r>
        <w:rPr>
          <w:rFonts w:hint="default" w:ascii="Arial" w:hAnsi="Arial" w:cs="Arial"/>
          <w:color w:val="000000"/>
          <w:sz w:val="20"/>
          <w:szCs w:val="20"/>
        </w:rPr>
        <w:t>He S, Chen CH, Chernichenko N, et al. GFRalpha1 released by nerves enhances cancer cell perineural invasion through GDNF-RET signaling. Proc Natl Acad Sci U S a 2014;111:E2008-17.</w:t>
      </w:r>
    </w:p>
    <w:p>
      <w:pPr>
        <w:widowControl w:val="0"/>
        <w:autoSpaceDE w:val="0"/>
        <w:autoSpaceDN w:val="0"/>
        <w:adjustRightInd w:val="0"/>
        <w:jc w:val="both"/>
        <w:rPr>
          <w:rFonts w:hint="default" w:ascii="Arial" w:hAnsi="Arial" w:cs="Arial"/>
          <w:color w:val="000000"/>
          <w:sz w:val="20"/>
          <w:szCs w:val="20"/>
        </w:rPr>
      </w:pPr>
      <w:r>
        <w:rPr>
          <w:rFonts w:hint="default" w:ascii="Arial" w:hAnsi="Arial" w:cs="Arial"/>
          <w:color w:val="000000"/>
          <w:sz w:val="20"/>
          <w:szCs w:val="20"/>
          <w:lang w:val="en-US" w:eastAsia="zh-CN"/>
        </w:rPr>
        <w:t>3</w:t>
      </w:r>
      <w:r>
        <w:rPr>
          <w:rFonts w:hint="default" w:ascii="Arial" w:hAnsi="Arial" w:cs="Arial"/>
          <w:color w:val="000000"/>
          <w:sz w:val="20"/>
          <w:szCs w:val="20"/>
        </w:rPr>
        <w:t>.</w:t>
      </w:r>
      <w:r>
        <w:rPr>
          <w:rFonts w:hint="default" w:ascii="Arial" w:hAnsi="Arial" w:cs="Arial"/>
          <w:color w:val="000000"/>
          <w:sz w:val="20"/>
          <w:szCs w:val="20"/>
        </w:rPr>
        <w:tab/>
      </w:r>
      <w:r>
        <w:rPr>
          <w:rFonts w:hint="default" w:ascii="Arial" w:hAnsi="Arial" w:cs="Arial"/>
          <w:color w:val="000000"/>
          <w:sz w:val="20"/>
          <w:szCs w:val="20"/>
        </w:rPr>
        <w:t>Mitsunaga S, Fujii S, Ishii G, et al. Nerve invasion distance is dependent on laminin gamma2 in tumors of pancreatic cancer. Int J Cancer 2010;127:805-19.</w:t>
      </w:r>
    </w:p>
    <w:p>
      <w:pPr>
        <w:widowControl w:val="0"/>
        <w:autoSpaceDE w:val="0"/>
        <w:autoSpaceDN w:val="0"/>
        <w:adjustRightInd w:val="0"/>
        <w:jc w:val="both"/>
        <w:rPr>
          <w:rFonts w:hint="default" w:ascii="Arial" w:hAnsi="Arial" w:cs="Arial"/>
        </w:rPr>
      </w:pPr>
      <w:r>
        <w:rPr>
          <w:rFonts w:hint="default" w:ascii="Arial" w:hAnsi="Arial" w:cs="Arial"/>
          <w:color w:val="000000"/>
          <w:sz w:val="20"/>
          <w:szCs w:val="20"/>
          <w:lang w:val="en-US" w:eastAsia="zh-CN"/>
        </w:rPr>
        <w:t>4</w:t>
      </w:r>
      <w:r>
        <w:rPr>
          <w:rFonts w:hint="default" w:ascii="Arial" w:hAnsi="Arial" w:cs="Arial"/>
          <w:color w:val="000000"/>
          <w:sz w:val="20"/>
          <w:szCs w:val="20"/>
        </w:rPr>
        <w:t>.</w:t>
      </w:r>
      <w:r>
        <w:rPr>
          <w:rFonts w:hint="default" w:ascii="Arial" w:hAnsi="Arial" w:cs="Arial"/>
          <w:color w:val="000000"/>
          <w:sz w:val="20"/>
          <w:szCs w:val="20"/>
        </w:rPr>
        <w:tab/>
      </w:r>
      <w:r>
        <w:rPr>
          <w:rFonts w:hint="default" w:ascii="Arial" w:hAnsi="Arial" w:cs="Arial"/>
          <w:color w:val="000000"/>
          <w:sz w:val="20"/>
          <w:szCs w:val="20"/>
        </w:rPr>
        <w:t>Gil Z, Rein A, Brader P, et al. Nerve-sparing therapy with oncolytic herpes virus for cancers with neural invasion. Clin Cancer Res 2007;13:6479-85.</w:t>
      </w:r>
    </w:p>
    <w:p>
      <w:pPr>
        <w:widowControl w:val="0"/>
        <w:autoSpaceDE w:val="0"/>
        <w:autoSpaceDN w:val="0"/>
        <w:adjustRightInd w:val="0"/>
        <w:jc w:val="both"/>
        <w:rPr>
          <w:rFonts w:hint="default" w:ascii="Arial" w:hAnsi="Arial" w:cs="Arial"/>
          <w:color w:val="000000"/>
          <w:sz w:val="20"/>
          <w:szCs w:val="20"/>
        </w:rPr>
      </w:pPr>
      <w:r>
        <w:rPr>
          <w:rFonts w:hint="default" w:ascii="Arial" w:hAnsi="Arial" w:cs="Arial"/>
          <w:color w:val="000000"/>
          <w:sz w:val="20"/>
          <w:szCs w:val="20"/>
          <w:lang w:val="en-US" w:eastAsia="zh-CN"/>
        </w:rPr>
        <w:t xml:space="preserve">5.  </w:t>
      </w:r>
      <w:r>
        <w:rPr>
          <w:rFonts w:hint="default" w:ascii="Arial" w:hAnsi="Arial" w:cs="Arial"/>
          <w:color w:val="000000"/>
          <w:sz w:val="20"/>
          <w:szCs w:val="20"/>
        </w:rPr>
        <w:t>Zhang B, Ye H, Ren X</w:t>
      </w:r>
      <w:r>
        <w:rPr>
          <w:rFonts w:hint="default" w:ascii="Arial" w:hAnsi="Arial" w:cs="Arial"/>
          <w:i/>
          <w:iCs/>
          <w:color w:val="000000"/>
          <w:sz w:val="20"/>
          <w:szCs w:val="20"/>
        </w:rPr>
        <w:t>, et al.</w:t>
      </w:r>
      <w:r>
        <w:rPr>
          <w:rFonts w:hint="default" w:ascii="Arial" w:hAnsi="Arial" w:cs="Arial"/>
          <w:color w:val="000000"/>
          <w:sz w:val="20"/>
          <w:szCs w:val="20"/>
        </w:rPr>
        <w:t xml:space="preserve">. Macrophage-expressed CD51 promotes cancer stem cell properties via the TGF-beta1/smad2/3 axis in pancreatic cancer. </w:t>
      </w:r>
      <w:r>
        <w:rPr>
          <w:rFonts w:hint="default" w:ascii="Arial" w:hAnsi="Arial" w:cs="Arial"/>
          <w:i/>
          <w:iCs/>
          <w:color w:val="000000"/>
          <w:sz w:val="20"/>
          <w:szCs w:val="20"/>
        </w:rPr>
        <w:t>CANCER LETT</w:t>
      </w:r>
      <w:r>
        <w:rPr>
          <w:rFonts w:hint="default" w:ascii="Arial" w:hAnsi="Arial" w:cs="Arial"/>
          <w:color w:val="000000"/>
          <w:sz w:val="20"/>
          <w:szCs w:val="20"/>
        </w:rPr>
        <w:t xml:space="preserve"> 2019;459:204-215.</w:t>
      </w:r>
    </w:p>
    <w:p>
      <w:pPr>
        <w:widowControl w:val="0"/>
        <w:autoSpaceDE w:val="0"/>
        <w:autoSpaceDN w:val="0"/>
        <w:adjustRightInd w:val="0"/>
        <w:jc w:val="both"/>
        <w:rPr>
          <w:rFonts w:hint="default" w:ascii="Arial" w:hAnsi="Arial" w:cs="Arial"/>
          <w:color w:val="000000"/>
          <w:sz w:val="20"/>
          <w:szCs w:val="20"/>
        </w:rPr>
      </w:pPr>
      <w:bookmarkStart w:id="0" w:name="_neb3C042C7A_2EFA_4E79_9259_7BAA2C3FF66F"/>
      <w:r>
        <w:rPr>
          <w:rFonts w:hint="default" w:ascii="Arial" w:hAnsi="Arial" w:cs="Arial"/>
          <w:color w:val="000000"/>
          <w:sz w:val="20"/>
          <w:szCs w:val="20"/>
          <w:lang w:val="en-US" w:eastAsia="zh-CN"/>
        </w:rPr>
        <w:t xml:space="preserve">6.  </w:t>
      </w:r>
      <w:r>
        <w:rPr>
          <w:rFonts w:hint="default" w:ascii="Arial" w:hAnsi="Arial" w:cs="Arial"/>
          <w:color w:val="000000"/>
          <w:sz w:val="20"/>
          <w:szCs w:val="20"/>
        </w:rPr>
        <w:t>Su D, Guo X, Huang L, et al. Tumor-neuroglia interaction promotes pancreatic cancer metastasis. Theranostics 2020;10:5029-5047.</w:t>
      </w:r>
      <w:bookmarkEnd w:id="0"/>
    </w:p>
    <w:p>
      <w:pPr>
        <w:spacing w:line="360" w:lineRule="auto"/>
        <w:jc w:val="both"/>
        <w:rPr>
          <w:rFonts w:hint="default" w:ascii="Arial" w:hAnsi="Arial" w:cs="Arial"/>
          <w:color w:val="000000"/>
          <w:sz w:val="21"/>
          <w:szCs w:val="21"/>
        </w:rPr>
      </w:pPr>
    </w:p>
    <w:p>
      <w:pPr>
        <w:rPr>
          <w:rFonts w:hint="default" w:ascii="Arial" w:hAnsi="Arial" w:cs="Arial"/>
          <w:b/>
        </w:rPr>
      </w:pPr>
      <w:r>
        <w:rPr>
          <w:rFonts w:hint="default" w:ascii="Arial" w:hAnsi="Arial" w:cs="Arial"/>
          <w:b/>
        </w:rPr>
        <w:br w:type="page"/>
      </w:r>
    </w:p>
    <w:p>
      <w:pPr>
        <w:widowControl/>
        <w:jc w:val="left"/>
        <w:rPr>
          <w:rFonts w:hint="default" w:ascii="Arial" w:hAnsi="Arial" w:cs="Arial"/>
          <w:b/>
          <w:sz w:val="21"/>
          <w:szCs w:val="21"/>
        </w:rPr>
      </w:pPr>
      <w:r>
        <w:rPr>
          <w:rFonts w:hint="default" w:ascii="Arial" w:hAnsi="Arial" w:cs="Arial"/>
          <w:b/>
        </w:rPr>
        <w:t xml:space="preserve">Supplementary Table 1. </w:t>
      </w:r>
      <w:r>
        <w:rPr>
          <w:rFonts w:hint="default" w:ascii="Arial" w:hAnsi="Arial" w:cs="Arial"/>
          <w:b w:val="0"/>
          <w:bCs/>
          <w:sz w:val="20"/>
          <w:szCs w:val="20"/>
        </w:rPr>
        <w:t>Clinicopathological correlation of GFAP and CD68 expression in PDACs</w:t>
      </w:r>
      <w:r>
        <w:rPr>
          <w:rFonts w:hint="eastAsia" w:ascii="Arial" w:hAnsi="Arial" w:cs="Arial"/>
          <w:b w:val="0"/>
          <w:bCs/>
          <w:sz w:val="20"/>
          <w:szCs w:val="20"/>
          <w:lang w:val="en-US" w:eastAsia="zh-CN"/>
        </w:rPr>
        <w:t xml:space="preserve"> patients</w:t>
      </w:r>
      <w:r>
        <w:rPr>
          <w:rFonts w:hint="default" w:ascii="Arial" w:hAnsi="Arial" w:cs="Arial"/>
          <w:b w:val="0"/>
          <w:bCs/>
          <w:sz w:val="20"/>
          <w:szCs w:val="20"/>
        </w:rPr>
        <w:t>.</w:t>
      </w:r>
    </w:p>
    <w:tbl>
      <w:tblPr>
        <w:tblStyle w:val="2"/>
        <w:tblpPr w:leftFromText="180" w:rightFromText="180" w:vertAnchor="text" w:horzAnchor="page" w:tblpX="1436" w:tblpY="308"/>
        <w:tblOverlap w:val="never"/>
        <w:tblW w:w="9495" w:type="dxa"/>
        <w:tblInd w:w="0" w:type="dxa"/>
        <w:tblLayout w:type="fixed"/>
        <w:tblCellMar>
          <w:top w:w="0" w:type="dxa"/>
          <w:left w:w="0" w:type="dxa"/>
          <w:bottom w:w="0" w:type="dxa"/>
          <w:right w:w="0" w:type="dxa"/>
        </w:tblCellMar>
      </w:tblPr>
      <w:tblGrid>
        <w:gridCol w:w="1572"/>
        <w:gridCol w:w="834"/>
        <w:gridCol w:w="1104"/>
        <w:gridCol w:w="1272"/>
        <w:gridCol w:w="1188"/>
        <w:gridCol w:w="1176"/>
        <w:gridCol w:w="1272"/>
        <w:gridCol w:w="1077"/>
      </w:tblGrid>
      <w:tr>
        <w:tblPrEx>
          <w:tblCellMar>
            <w:top w:w="0" w:type="dxa"/>
            <w:left w:w="0" w:type="dxa"/>
            <w:bottom w:w="0" w:type="dxa"/>
            <w:right w:w="0" w:type="dxa"/>
          </w:tblCellMar>
        </w:tblPrEx>
        <w:trPr>
          <w:trHeight w:val="288" w:hRule="atLeast"/>
        </w:trPr>
        <w:tc>
          <w:tcPr>
            <w:tcW w:w="1572" w:type="dxa"/>
            <w:vMerge w:val="restart"/>
            <w:tcBorders>
              <w:top w:val="single" w:color="auto" w:sz="4" w:space="0"/>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Characteristics</w:t>
            </w:r>
          </w:p>
        </w:tc>
        <w:tc>
          <w:tcPr>
            <w:tcW w:w="834" w:type="dxa"/>
            <w:tcBorders>
              <w:top w:val="single" w:color="auto" w:sz="4" w:space="0"/>
              <w:left w:val="nil"/>
              <w:bottom w:val="nil"/>
              <w:right w:val="nil"/>
            </w:tcBorders>
            <w:shd w:val="clear" w:color="auto" w:fill="auto"/>
            <w:noWrap/>
            <w:tcMar>
              <w:top w:w="12" w:type="dxa"/>
              <w:left w:w="12" w:type="dxa"/>
              <w:right w:w="12" w:type="dxa"/>
            </w:tcMar>
            <w:vAlign w:val="center"/>
          </w:tcPr>
          <w:p>
            <w:pPr>
              <w:rPr>
                <w:rFonts w:hint="default" w:ascii="Arial" w:hAnsi="Arial" w:cs="Arial"/>
                <w:color w:val="000000"/>
                <w:sz w:val="21"/>
                <w:szCs w:val="21"/>
              </w:rPr>
            </w:pPr>
          </w:p>
        </w:tc>
        <w:tc>
          <w:tcPr>
            <w:tcW w:w="2376" w:type="dxa"/>
            <w:gridSpan w:val="2"/>
            <w:tcBorders>
              <w:top w:val="single" w:color="auto" w:sz="4" w:space="0"/>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GFAP</w:t>
            </w:r>
          </w:p>
        </w:tc>
        <w:tc>
          <w:tcPr>
            <w:tcW w:w="1188" w:type="dxa"/>
            <w:tcBorders>
              <w:top w:val="single" w:color="auto" w:sz="4" w:space="0"/>
              <w:left w:val="nil"/>
              <w:bottom w:val="nil"/>
              <w:right w:val="nil"/>
            </w:tcBorders>
            <w:shd w:val="clear" w:color="auto" w:fill="auto"/>
            <w:noWrap/>
            <w:tcMar>
              <w:top w:w="12" w:type="dxa"/>
              <w:left w:w="12" w:type="dxa"/>
              <w:right w:w="12" w:type="dxa"/>
            </w:tcMar>
            <w:vAlign w:val="center"/>
          </w:tcPr>
          <w:p>
            <w:pPr>
              <w:rPr>
                <w:rFonts w:hint="default" w:ascii="Arial" w:hAnsi="Arial" w:cs="Arial"/>
                <w:color w:val="000000"/>
                <w:sz w:val="21"/>
                <w:szCs w:val="21"/>
              </w:rPr>
            </w:pPr>
          </w:p>
        </w:tc>
        <w:tc>
          <w:tcPr>
            <w:tcW w:w="2448" w:type="dxa"/>
            <w:gridSpan w:val="2"/>
            <w:tcBorders>
              <w:top w:val="single" w:color="auto" w:sz="4" w:space="0"/>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CD68</w:t>
            </w:r>
          </w:p>
        </w:tc>
        <w:tc>
          <w:tcPr>
            <w:tcW w:w="1077" w:type="dxa"/>
            <w:tcBorders>
              <w:top w:val="single" w:color="auto" w:sz="4" w:space="0"/>
              <w:left w:val="nil"/>
              <w:bottom w:val="nil"/>
              <w:right w:val="nil"/>
            </w:tcBorders>
            <w:shd w:val="clear" w:color="auto" w:fill="auto"/>
            <w:noWrap/>
            <w:tcMar>
              <w:top w:w="12" w:type="dxa"/>
              <w:left w:w="12" w:type="dxa"/>
              <w:right w:w="12" w:type="dxa"/>
            </w:tcMar>
            <w:vAlign w:val="center"/>
          </w:tcPr>
          <w:p>
            <w:pPr>
              <w:rPr>
                <w:rFonts w:hint="default" w:ascii="Arial" w:hAnsi="Arial" w:cs="Arial"/>
                <w:color w:val="000000"/>
                <w:sz w:val="21"/>
                <w:szCs w:val="21"/>
              </w:rPr>
            </w:pPr>
          </w:p>
        </w:tc>
      </w:tr>
      <w:tr>
        <w:tblPrEx>
          <w:tblCellMar>
            <w:top w:w="0" w:type="dxa"/>
            <w:left w:w="0" w:type="dxa"/>
            <w:bottom w:w="0" w:type="dxa"/>
            <w:right w:w="0" w:type="dxa"/>
          </w:tblCellMar>
        </w:tblPrEx>
        <w:trPr>
          <w:trHeight w:val="90" w:hRule="atLeast"/>
        </w:trPr>
        <w:tc>
          <w:tcPr>
            <w:tcW w:w="1572" w:type="dxa"/>
            <w:vMerge w:val="continue"/>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834" w:type="dxa"/>
            <w:tcBorders>
              <w:top w:val="nil"/>
              <w:left w:val="nil"/>
              <w:bottom w:val="nil"/>
              <w:right w:val="nil"/>
            </w:tcBorders>
            <w:shd w:val="clear" w:color="auto" w:fill="auto"/>
            <w:noWrap/>
            <w:tcMar>
              <w:top w:w="12" w:type="dxa"/>
              <w:left w:w="12" w:type="dxa"/>
              <w:right w:w="12" w:type="dxa"/>
            </w:tcMar>
          </w:tcPr>
          <w:p>
            <w:pPr>
              <w:widowControl/>
              <w:textAlignment w:val="top"/>
              <w:rPr>
                <w:rFonts w:hint="default" w:ascii="Arial" w:hAnsi="Arial" w:cs="Arial"/>
                <w:color w:val="000000"/>
                <w:sz w:val="21"/>
                <w:szCs w:val="21"/>
              </w:rPr>
            </w:pPr>
            <w:r>
              <w:rPr>
                <w:rFonts w:hint="default" w:ascii="Arial" w:hAnsi="Arial" w:cs="Arial"/>
                <w:color w:val="000000"/>
                <w:kern w:val="0"/>
                <w:sz w:val="21"/>
                <w:szCs w:val="21"/>
                <w:lang w:bidi="ar"/>
              </w:rPr>
              <w:t>Total</w:t>
            </w:r>
          </w:p>
        </w:tc>
        <w:tc>
          <w:tcPr>
            <w:tcW w:w="11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 xml:space="preserve">low </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 xml:space="preserve"> High</w:t>
            </w:r>
          </w:p>
        </w:tc>
        <w:tc>
          <w:tcPr>
            <w:tcW w:w="1188" w:type="dxa"/>
            <w:vMerge w:val="restart"/>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P-value</w:t>
            </w:r>
          </w:p>
        </w:tc>
        <w:tc>
          <w:tcPr>
            <w:tcW w:w="11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 xml:space="preserve">low </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 xml:space="preserve"> High</w:t>
            </w:r>
          </w:p>
        </w:tc>
        <w:tc>
          <w:tcPr>
            <w:tcW w:w="1077" w:type="dxa"/>
            <w:vMerge w:val="restart"/>
            <w:tcBorders>
              <w:top w:val="nil"/>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P-value</w:t>
            </w:r>
          </w:p>
        </w:tc>
      </w:tr>
      <w:tr>
        <w:tblPrEx>
          <w:tblCellMar>
            <w:top w:w="0" w:type="dxa"/>
            <w:left w:w="0" w:type="dxa"/>
            <w:bottom w:w="0" w:type="dxa"/>
            <w:right w:w="0" w:type="dxa"/>
          </w:tblCellMar>
        </w:tblPrEx>
        <w:trPr>
          <w:trHeight w:val="288" w:hRule="atLeast"/>
        </w:trPr>
        <w:tc>
          <w:tcPr>
            <w:tcW w:w="1572" w:type="dxa"/>
            <w:vMerge w:val="continue"/>
            <w:tcBorders>
              <w:top w:val="nil"/>
              <w:left w:val="nil"/>
              <w:bottom w:val="single" w:color="auto" w:sz="4" w:space="0"/>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834" w:type="dxa"/>
            <w:tcBorders>
              <w:top w:val="nil"/>
              <w:left w:val="nil"/>
              <w:bottom w:val="single" w:color="auto" w:sz="4" w:space="0"/>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cs="Arial"/>
                <w:color w:val="000000"/>
                <w:sz w:val="21"/>
                <w:szCs w:val="21"/>
              </w:rPr>
            </w:pPr>
            <w:r>
              <w:rPr>
                <w:rFonts w:hint="default" w:ascii="Arial" w:hAnsi="Arial" w:cs="Arial"/>
                <w:color w:val="000000"/>
                <w:kern w:val="0"/>
                <w:sz w:val="21"/>
                <w:szCs w:val="21"/>
                <w:lang w:bidi="ar"/>
              </w:rPr>
              <w:t>n=(125)</w:t>
            </w:r>
          </w:p>
        </w:tc>
        <w:tc>
          <w:tcPr>
            <w:tcW w:w="1104" w:type="dxa"/>
            <w:tcBorders>
              <w:top w:val="nil"/>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expression</w:t>
            </w:r>
          </w:p>
        </w:tc>
        <w:tc>
          <w:tcPr>
            <w:tcW w:w="1272" w:type="dxa"/>
            <w:tcBorders>
              <w:top w:val="nil"/>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expression</w:t>
            </w:r>
          </w:p>
        </w:tc>
        <w:tc>
          <w:tcPr>
            <w:tcW w:w="1188" w:type="dxa"/>
            <w:vMerge w:val="continue"/>
            <w:tcBorders>
              <w:top w:val="nil"/>
              <w:left w:val="nil"/>
              <w:bottom w:val="single" w:color="auto" w:sz="4" w:space="0"/>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76" w:type="dxa"/>
            <w:tcBorders>
              <w:top w:val="nil"/>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expression</w:t>
            </w:r>
          </w:p>
        </w:tc>
        <w:tc>
          <w:tcPr>
            <w:tcW w:w="1272" w:type="dxa"/>
            <w:tcBorders>
              <w:top w:val="nil"/>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expression</w:t>
            </w:r>
          </w:p>
        </w:tc>
        <w:tc>
          <w:tcPr>
            <w:tcW w:w="1077" w:type="dxa"/>
            <w:vMerge w:val="continue"/>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r>
      <w:tr>
        <w:tblPrEx>
          <w:tblCellMar>
            <w:top w:w="0" w:type="dxa"/>
            <w:left w:w="0" w:type="dxa"/>
            <w:bottom w:w="0" w:type="dxa"/>
            <w:right w:w="0" w:type="dxa"/>
          </w:tblCellMar>
        </w:tblPrEx>
        <w:trPr>
          <w:trHeight w:val="288" w:hRule="atLeast"/>
        </w:trPr>
        <w:tc>
          <w:tcPr>
            <w:tcW w:w="1572" w:type="dxa"/>
            <w:tcBorders>
              <w:top w:val="single" w:color="auto" w:sz="4" w:space="0"/>
              <w:left w:val="nil"/>
              <w:bottom w:val="nil"/>
              <w:right w:val="nil"/>
            </w:tcBorders>
            <w:shd w:val="clear" w:color="auto" w:fill="auto"/>
            <w:noWrap/>
            <w:tcMar>
              <w:top w:w="12" w:type="dxa"/>
              <w:left w:w="12" w:type="dxa"/>
              <w:right w:w="12" w:type="dxa"/>
            </w:tcMar>
          </w:tcPr>
          <w:p>
            <w:pPr>
              <w:widowControl/>
              <w:textAlignment w:val="top"/>
              <w:rPr>
                <w:rFonts w:hint="default" w:ascii="Arial" w:hAnsi="Arial" w:cs="Arial"/>
                <w:color w:val="000000"/>
                <w:sz w:val="21"/>
                <w:szCs w:val="21"/>
              </w:rPr>
            </w:pPr>
            <w:r>
              <w:rPr>
                <w:rFonts w:hint="default" w:ascii="Arial" w:hAnsi="Arial" w:cs="Arial"/>
                <w:color w:val="000000"/>
                <w:kern w:val="0"/>
                <w:sz w:val="21"/>
                <w:szCs w:val="21"/>
                <w:lang w:bidi="ar"/>
              </w:rPr>
              <w:t>Total n=(125)</w:t>
            </w:r>
          </w:p>
        </w:tc>
        <w:tc>
          <w:tcPr>
            <w:tcW w:w="834" w:type="dxa"/>
            <w:tcBorders>
              <w:top w:val="single" w:color="auto" w:sz="4" w:space="0"/>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04" w:type="dxa"/>
            <w:tcBorders>
              <w:top w:val="single" w:color="auto" w:sz="4" w:space="0"/>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59</w:t>
            </w:r>
          </w:p>
        </w:tc>
        <w:tc>
          <w:tcPr>
            <w:tcW w:w="1272" w:type="dxa"/>
            <w:tcBorders>
              <w:top w:val="single" w:color="auto" w:sz="4" w:space="0"/>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66</w:t>
            </w:r>
          </w:p>
        </w:tc>
        <w:tc>
          <w:tcPr>
            <w:tcW w:w="1188" w:type="dxa"/>
            <w:tcBorders>
              <w:top w:val="single" w:color="auto" w:sz="4" w:space="0"/>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76" w:type="dxa"/>
            <w:tcBorders>
              <w:top w:val="single" w:color="auto" w:sz="4" w:space="0"/>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60</w:t>
            </w:r>
          </w:p>
        </w:tc>
        <w:tc>
          <w:tcPr>
            <w:tcW w:w="1272" w:type="dxa"/>
            <w:tcBorders>
              <w:top w:val="single" w:color="auto" w:sz="4" w:space="0"/>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65</w:t>
            </w:r>
          </w:p>
        </w:tc>
        <w:tc>
          <w:tcPr>
            <w:tcW w:w="1077" w:type="dxa"/>
            <w:tcBorders>
              <w:top w:val="single" w:color="auto" w:sz="4" w:space="0"/>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r>
      <w:tr>
        <w:tblPrEx>
          <w:tblCellMar>
            <w:top w:w="0" w:type="dxa"/>
            <w:left w:w="0" w:type="dxa"/>
            <w:bottom w:w="0" w:type="dxa"/>
            <w:right w:w="0" w:type="dxa"/>
          </w:tblCellMar>
        </w:tblPrEx>
        <w:trPr>
          <w:trHeight w:val="288" w:hRule="atLeast"/>
        </w:trPr>
        <w:tc>
          <w:tcPr>
            <w:tcW w:w="1572"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cs="Arial"/>
                <w:b/>
                <w:color w:val="000000"/>
                <w:sz w:val="21"/>
                <w:szCs w:val="21"/>
              </w:rPr>
            </w:pPr>
            <w:r>
              <w:rPr>
                <w:rFonts w:hint="default" w:ascii="Arial" w:hAnsi="Arial" w:cs="Arial"/>
                <w:b/>
                <w:color w:val="000000"/>
                <w:kern w:val="0"/>
                <w:sz w:val="21"/>
                <w:szCs w:val="21"/>
                <w:lang w:bidi="ar"/>
              </w:rPr>
              <w:t>Age (years)</w:t>
            </w:r>
          </w:p>
        </w:tc>
        <w:tc>
          <w:tcPr>
            <w:tcW w:w="83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0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27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88"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7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27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07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r>
      <w:tr>
        <w:tblPrEx>
          <w:tblCellMar>
            <w:top w:w="0" w:type="dxa"/>
            <w:left w:w="0" w:type="dxa"/>
            <w:bottom w:w="0" w:type="dxa"/>
            <w:right w:w="0" w:type="dxa"/>
          </w:tblCellMar>
        </w:tblPrEx>
        <w:trPr>
          <w:trHeight w:val="288" w:hRule="atLeast"/>
        </w:trPr>
        <w:tc>
          <w:tcPr>
            <w:tcW w:w="1572"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cs="Arial"/>
                <w:color w:val="000000"/>
                <w:sz w:val="21"/>
                <w:szCs w:val="21"/>
              </w:rPr>
            </w:pPr>
            <w:r>
              <w:rPr>
                <w:rFonts w:hint="default" w:ascii="Arial" w:hAnsi="Arial" w:cs="Arial"/>
                <w:color w:val="000000"/>
                <w:kern w:val="0"/>
                <w:sz w:val="21"/>
                <w:szCs w:val="21"/>
                <w:lang w:bidi="ar"/>
              </w:rPr>
              <w:t>&lt;60</w:t>
            </w:r>
          </w:p>
        </w:tc>
        <w:tc>
          <w:tcPr>
            <w:tcW w:w="8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42</w:t>
            </w:r>
          </w:p>
        </w:tc>
        <w:tc>
          <w:tcPr>
            <w:tcW w:w="11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16</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26</w:t>
            </w:r>
          </w:p>
        </w:tc>
        <w:tc>
          <w:tcPr>
            <w:tcW w:w="118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0.412</w:t>
            </w:r>
          </w:p>
        </w:tc>
        <w:tc>
          <w:tcPr>
            <w:tcW w:w="11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20</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22</w:t>
            </w:r>
          </w:p>
        </w:tc>
        <w:tc>
          <w:tcPr>
            <w:tcW w:w="107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0.851</w:t>
            </w:r>
          </w:p>
        </w:tc>
      </w:tr>
      <w:tr>
        <w:tblPrEx>
          <w:tblCellMar>
            <w:top w:w="0" w:type="dxa"/>
            <w:left w:w="0" w:type="dxa"/>
            <w:bottom w:w="0" w:type="dxa"/>
            <w:right w:w="0" w:type="dxa"/>
          </w:tblCellMar>
        </w:tblPrEx>
        <w:trPr>
          <w:trHeight w:val="288" w:hRule="atLeast"/>
        </w:trPr>
        <w:tc>
          <w:tcPr>
            <w:tcW w:w="1572"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cs="Arial"/>
                <w:color w:val="000000"/>
                <w:sz w:val="21"/>
                <w:szCs w:val="21"/>
              </w:rPr>
            </w:pPr>
            <w:r>
              <w:rPr>
                <w:rFonts w:hint="default" w:ascii="Arial" w:hAnsi="Arial" w:cs="Arial"/>
                <w:color w:val="000000"/>
                <w:kern w:val="0"/>
                <w:sz w:val="21"/>
                <w:szCs w:val="21"/>
                <w:lang w:bidi="ar"/>
              </w:rPr>
              <w:t>&gt;=60</w:t>
            </w:r>
          </w:p>
        </w:tc>
        <w:tc>
          <w:tcPr>
            <w:tcW w:w="8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83</w:t>
            </w:r>
          </w:p>
        </w:tc>
        <w:tc>
          <w:tcPr>
            <w:tcW w:w="11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38</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45</w:t>
            </w:r>
          </w:p>
        </w:tc>
        <w:tc>
          <w:tcPr>
            <w:tcW w:w="1188"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41</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42</w:t>
            </w:r>
          </w:p>
        </w:tc>
        <w:tc>
          <w:tcPr>
            <w:tcW w:w="107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r>
      <w:tr>
        <w:tblPrEx>
          <w:tblCellMar>
            <w:top w:w="0" w:type="dxa"/>
            <w:left w:w="0" w:type="dxa"/>
            <w:bottom w:w="0" w:type="dxa"/>
            <w:right w:w="0" w:type="dxa"/>
          </w:tblCellMar>
        </w:tblPrEx>
        <w:trPr>
          <w:trHeight w:val="288" w:hRule="atLeast"/>
        </w:trPr>
        <w:tc>
          <w:tcPr>
            <w:tcW w:w="1572"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cs="Arial"/>
                <w:b/>
                <w:color w:val="000000"/>
                <w:sz w:val="21"/>
                <w:szCs w:val="21"/>
              </w:rPr>
            </w:pPr>
            <w:r>
              <w:rPr>
                <w:rFonts w:hint="default" w:ascii="Arial" w:hAnsi="Arial" w:cs="Arial"/>
                <w:b/>
                <w:color w:val="000000"/>
                <w:kern w:val="0"/>
                <w:sz w:val="21"/>
                <w:szCs w:val="21"/>
                <w:lang w:bidi="ar"/>
              </w:rPr>
              <w:t>Gender</w:t>
            </w:r>
          </w:p>
        </w:tc>
        <w:tc>
          <w:tcPr>
            <w:tcW w:w="83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0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27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88"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7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27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07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r>
      <w:tr>
        <w:tblPrEx>
          <w:tblCellMar>
            <w:top w:w="0" w:type="dxa"/>
            <w:left w:w="0" w:type="dxa"/>
            <w:bottom w:w="0" w:type="dxa"/>
            <w:right w:w="0" w:type="dxa"/>
          </w:tblCellMar>
        </w:tblPrEx>
        <w:trPr>
          <w:trHeight w:val="288" w:hRule="atLeast"/>
        </w:trPr>
        <w:tc>
          <w:tcPr>
            <w:tcW w:w="1572"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cs="Arial"/>
                <w:color w:val="000000"/>
                <w:sz w:val="21"/>
                <w:szCs w:val="21"/>
              </w:rPr>
            </w:pPr>
            <w:r>
              <w:rPr>
                <w:rFonts w:hint="default" w:ascii="Arial" w:hAnsi="Arial" w:cs="Arial"/>
                <w:color w:val="000000"/>
                <w:kern w:val="0"/>
                <w:sz w:val="21"/>
                <w:szCs w:val="21"/>
                <w:lang w:bidi="ar"/>
              </w:rPr>
              <w:t>Male</w:t>
            </w:r>
          </w:p>
        </w:tc>
        <w:tc>
          <w:tcPr>
            <w:tcW w:w="8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66</w:t>
            </w:r>
          </w:p>
        </w:tc>
        <w:tc>
          <w:tcPr>
            <w:tcW w:w="11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32</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34</w:t>
            </w:r>
          </w:p>
        </w:tc>
        <w:tc>
          <w:tcPr>
            <w:tcW w:w="118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0.207</w:t>
            </w:r>
          </w:p>
        </w:tc>
        <w:tc>
          <w:tcPr>
            <w:tcW w:w="11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32</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34</w:t>
            </w:r>
          </w:p>
        </w:tc>
        <w:tc>
          <w:tcPr>
            <w:tcW w:w="107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0.941</w:t>
            </w:r>
          </w:p>
        </w:tc>
      </w:tr>
      <w:tr>
        <w:tblPrEx>
          <w:tblCellMar>
            <w:top w:w="0" w:type="dxa"/>
            <w:left w:w="0" w:type="dxa"/>
            <w:bottom w:w="0" w:type="dxa"/>
            <w:right w:w="0" w:type="dxa"/>
          </w:tblCellMar>
        </w:tblPrEx>
        <w:trPr>
          <w:trHeight w:val="288" w:hRule="atLeast"/>
        </w:trPr>
        <w:tc>
          <w:tcPr>
            <w:tcW w:w="1572"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cs="Arial"/>
                <w:color w:val="000000"/>
                <w:sz w:val="21"/>
                <w:szCs w:val="21"/>
              </w:rPr>
            </w:pPr>
            <w:r>
              <w:rPr>
                <w:rFonts w:hint="default" w:ascii="Arial" w:hAnsi="Arial" w:cs="Arial"/>
                <w:color w:val="000000"/>
                <w:kern w:val="0"/>
                <w:sz w:val="21"/>
                <w:szCs w:val="21"/>
                <w:lang w:bidi="ar"/>
              </w:rPr>
              <w:t>Female</w:t>
            </w:r>
          </w:p>
        </w:tc>
        <w:tc>
          <w:tcPr>
            <w:tcW w:w="8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59</w:t>
            </w:r>
          </w:p>
        </w:tc>
        <w:tc>
          <w:tcPr>
            <w:tcW w:w="11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22</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37</w:t>
            </w:r>
          </w:p>
        </w:tc>
        <w:tc>
          <w:tcPr>
            <w:tcW w:w="1188"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29</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30</w:t>
            </w:r>
          </w:p>
        </w:tc>
        <w:tc>
          <w:tcPr>
            <w:tcW w:w="107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r>
      <w:tr>
        <w:tblPrEx>
          <w:tblCellMar>
            <w:top w:w="0" w:type="dxa"/>
            <w:left w:w="0" w:type="dxa"/>
            <w:bottom w:w="0" w:type="dxa"/>
            <w:right w:w="0" w:type="dxa"/>
          </w:tblCellMar>
        </w:tblPrEx>
        <w:trPr>
          <w:trHeight w:val="288" w:hRule="atLeast"/>
        </w:trPr>
        <w:tc>
          <w:tcPr>
            <w:tcW w:w="1572"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cs="Arial"/>
                <w:b/>
                <w:color w:val="000000"/>
                <w:sz w:val="21"/>
                <w:szCs w:val="21"/>
              </w:rPr>
            </w:pPr>
            <w:r>
              <w:rPr>
                <w:rFonts w:hint="default" w:ascii="Arial" w:hAnsi="Arial" w:cs="Arial"/>
                <w:b/>
                <w:color w:val="000000"/>
                <w:kern w:val="0"/>
                <w:sz w:val="21"/>
                <w:szCs w:val="21"/>
                <w:lang w:bidi="ar"/>
              </w:rPr>
              <w:t>Tumor size (cm)</w:t>
            </w:r>
          </w:p>
        </w:tc>
        <w:tc>
          <w:tcPr>
            <w:tcW w:w="83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0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27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88"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7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27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07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r>
      <w:tr>
        <w:tblPrEx>
          <w:tblCellMar>
            <w:top w:w="0" w:type="dxa"/>
            <w:left w:w="0" w:type="dxa"/>
            <w:bottom w:w="0" w:type="dxa"/>
            <w:right w:w="0" w:type="dxa"/>
          </w:tblCellMar>
        </w:tblPrEx>
        <w:trPr>
          <w:trHeight w:val="288" w:hRule="atLeast"/>
        </w:trPr>
        <w:tc>
          <w:tcPr>
            <w:tcW w:w="1572"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cs="Arial"/>
                <w:color w:val="000000"/>
                <w:sz w:val="21"/>
                <w:szCs w:val="21"/>
              </w:rPr>
            </w:pPr>
            <w:r>
              <w:rPr>
                <w:rFonts w:hint="default" w:ascii="Arial" w:hAnsi="Arial" w:cs="Arial"/>
                <w:color w:val="000000"/>
                <w:kern w:val="0"/>
                <w:sz w:val="21"/>
                <w:szCs w:val="21"/>
                <w:lang w:bidi="ar"/>
              </w:rPr>
              <w:t>&lt;=40</w:t>
            </w:r>
          </w:p>
        </w:tc>
        <w:tc>
          <w:tcPr>
            <w:tcW w:w="8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85</w:t>
            </w:r>
          </w:p>
        </w:tc>
        <w:tc>
          <w:tcPr>
            <w:tcW w:w="11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42</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43</w:t>
            </w:r>
          </w:p>
        </w:tc>
        <w:tc>
          <w:tcPr>
            <w:tcW w:w="118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b/>
                <w:color w:val="000000"/>
                <w:sz w:val="21"/>
                <w:szCs w:val="21"/>
              </w:rPr>
            </w:pPr>
            <w:r>
              <w:rPr>
                <w:rFonts w:hint="default" w:ascii="Arial" w:hAnsi="Arial" w:cs="Arial"/>
                <w:b/>
                <w:color w:val="000000"/>
                <w:kern w:val="0"/>
                <w:sz w:val="21"/>
                <w:szCs w:val="21"/>
                <w:lang w:bidi="ar"/>
              </w:rPr>
              <w:t>0.041</w:t>
            </w:r>
            <w:r>
              <w:rPr>
                <w:rFonts w:hint="default" w:ascii="Arial" w:hAnsi="Arial" w:cs="Arial"/>
                <w:b/>
                <w:color w:val="000000"/>
                <w:kern w:val="0"/>
                <w:sz w:val="21"/>
                <w:szCs w:val="21"/>
                <w:vertAlign w:val="superscript"/>
                <w:lang w:bidi="ar"/>
              </w:rPr>
              <w:t>*</w:t>
            </w:r>
          </w:p>
        </w:tc>
        <w:tc>
          <w:tcPr>
            <w:tcW w:w="11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43</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42</w:t>
            </w:r>
          </w:p>
        </w:tc>
        <w:tc>
          <w:tcPr>
            <w:tcW w:w="107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0.56</w:t>
            </w:r>
          </w:p>
        </w:tc>
      </w:tr>
      <w:tr>
        <w:tblPrEx>
          <w:tblCellMar>
            <w:top w:w="0" w:type="dxa"/>
            <w:left w:w="0" w:type="dxa"/>
            <w:bottom w:w="0" w:type="dxa"/>
            <w:right w:w="0" w:type="dxa"/>
          </w:tblCellMar>
        </w:tblPrEx>
        <w:trPr>
          <w:trHeight w:val="288" w:hRule="atLeast"/>
        </w:trPr>
        <w:tc>
          <w:tcPr>
            <w:tcW w:w="1572"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cs="Arial"/>
                <w:color w:val="000000"/>
                <w:sz w:val="21"/>
                <w:szCs w:val="21"/>
              </w:rPr>
            </w:pPr>
            <w:r>
              <w:rPr>
                <w:rFonts w:hint="default" w:ascii="Arial" w:hAnsi="Arial" w:cs="Arial"/>
                <w:color w:val="000000"/>
                <w:kern w:val="0"/>
                <w:sz w:val="21"/>
                <w:szCs w:val="21"/>
                <w:lang w:bidi="ar"/>
              </w:rPr>
              <w:t>&gt;40</w:t>
            </w:r>
          </w:p>
        </w:tc>
        <w:tc>
          <w:tcPr>
            <w:tcW w:w="8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40</w:t>
            </w:r>
          </w:p>
        </w:tc>
        <w:tc>
          <w:tcPr>
            <w:tcW w:w="11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12</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28</w:t>
            </w:r>
          </w:p>
        </w:tc>
        <w:tc>
          <w:tcPr>
            <w:tcW w:w="1188"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18</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22</w:t>
            </w:r>
          </w:p>
        </w:tc>
        <w:tc>
          <w:tcPr>
            <w:tcW w:w="107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r>
      <w:tr>
        <w:tblPrEx>
          <w:tblCellMar>
            <w:top w:w="0" w:type="dxa"/>
            <w:left w:w="0" w:type="dxa"/>
            <w:bottom w:w="0" w:type="dxa"/>
            <w:right w:w="0" w:type="dxa"/>
          </w:tblCellMar>
        </w:tblPrEx>
        <w:trPr>
          <w:trHeight w:val="288" w:hRule="atLeast"/>
        </w:trPr>
        <w:tc>
          <w:tcPr>
            <w:tcW w:w="1572"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cs="Arial"/>
                <w:b/>
                <w:color w:val="000000"/>
                <w:sz w:val="21"/>
                <w:szCs w:val="21"/>
              </w:rPr>
            </w:pPr>
            <w:r>
              <w:rPr>
                <w:rFonts w:hint="default" w:ascii="Arial" w:hAnsi="Arial" w:cs="Arial"/>
                <w:b/>
                <w:color w:val="000000"/>
                <w:kern w:val="0"/>
                <w:sz w:val="21"/>
                <w:szCs w:val="21"/>
                <w:lang w:bidi="ar"/>
              </w:rPr>
              <w:t>Histological grade</w:t>
            </w:r>
          </w:p>
        </w:tc>
        <w:tc>
          <w:tcPr>
            <w:tcW w:w="83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0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27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88"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7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27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07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r>
      <w:tr>
        <w:tblPrEx>
          <w:tblCellMar>
            <w:top w:w="0" w:type="dxa"/>
            <w:left w:w="0" w:type="dxa"/>
            <w:bottom w:w="0" w:type="dxa"/>
            <w:right w:w="0" w:type="dxa"/>
          </w:tblCellMar>
        </w:tblPrEx>
        <w:trPr>
          <w:trHeight w:val="288" w:hRule="atLeast"/>
        </w:trPr>
        <w:tc>
          <w:tcPr>
            <w:tcW w:w="1572"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cs="Arial"/>
                <w:color w:val="000000"/>
                <w:sz w:val="21"/>
                <w:szCs w:val="21"/>
              </w:rPr>
            </w:pPr>
            <w:r>
              <w:rPr>
                <w:rFonts w:hint="default" w:ascii="Arial" w:hAnsi="Arial" w:cs="Arial"/>
                <w:color w:val="000000"/>
                <w:kern w:val="0"/>
                <w:sz w:val="21"/>
                <w:szCs w:val="21"/>
                <w:lang w:bidi="ar"/>
              </w:rPr>
              <w:t>Well differentiated</w:t>
            </w:r>
          </w:p>
        </w:tc>
        <w:tc>
          <w:tcPr>
            <w:tcW w:w="8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15</w:t>
            </w:r>
          </w:p>
        </w:tc>
        <w:tc>
          <w:tcPr>
            <w:tcW w:w="11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10</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5</w:t>
            </w:r>
          </w:p>
        </w:tc>
        <w:tc>
          <w:tcPr>
            <w:tcW w:w="118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0.147</w:t>
            </w:r>
          </w:p>
        </w:tc>
        <w:tc>
          <w:tcPr>
            <w:tcW w:w="11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8</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7</w:t>
            </w:r>
          </w:p>
        </w:tc>
        <w:tc>
          <w:tcPr>
            <w:tcW w:w="107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0.748</w:t>
            </w:r>
          </w:p>
        </w:tc>
      </w:tr>
      <w:tr>
        <w:tblPrEx>
          <w:tblCellMar>
            <w:top w:w="0" w:type="dxa"/>
            <w:left w:w="0" w:type="dxa"/>
            <w:bottom w:w="0" w:type="dxa"/>
            <w:right w:w="0" w:type="dxa"/>
          </w:tblCellMar>
        </w:tblPrEx>
        <w:trPr>
          <w:trHeight w:val="288" w:hRule="atLeast"/>
        </w:trPr>
        <w:tc>
          <w:tcPr>
            <w:tcW w:w="1572"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cs="Arial"/>
                <w:color w:val="000000"/>
                <w:sz w:val="21"/>
                <w:szCs w:val="21"/>
              </w:rPr>
            </w:pPr>
            <w:r>
              <w:rPr>
                <w:rFonts w:hint="default" w:ascii="Arial" w:hAnsi="Arial" w:cs="Arial"/>
                <w:color w:val="000000"/>
                <w:kern w:val="0"/>
                <w:sz w:val="21"/>
                <w:szCs w:val="21"/>
                <w:lang w:bidi="ar"/>
              </w:rPr>
              <w:t>Moderately differentiated</w:t>
            </w:r>
          </w:p>
        </w:tc>
        <w:tc>
          <w:tcPr>
            <w:tcW w:w="8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78</w:t>
            </w:r>
          </w:p>
        </w:tc>
        <w:tc>
          <w:tcPr>
            <w:tcW w:w="11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31</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47</w:t>
            </w:r>
          </w:p>
        </w:tc>
        <w:tc>
          <w:tcPr>
            <w:tcW w:w="1188"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36</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42</w:t>
            </w:r>
          </w:p>
        </w:tc>
        <w:tc>
          <w:tcPr>
            <w:tcW w:w="107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r>
      <w:tr>
        <w:tblPrEx>
          <w:tblCellMar>
            <w:top w:w="0" w:type="dxa"/>
            <w:left w:w="0" w:type="dxa"/>
            <w:bottom w:w="0" w:type="dxa"/>
            <w:right w:w="0" w:type="dxa"/>
          </w:tblCellMar>
        </w:tblPrEx>
        <w:trPr>
          <w:trHeight w:val="288" w:hRule="atLeast"/>
        </w:trPr>
        <w:tc>
          <w:tcPr>
            <w:tcW w:w="1572"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cs="Arial"/>
                <w:color w:val="000000"/>
                <w:sz w:val="21"/>
                <w:szCs w:val="21"/>
              </w:rPr>
            </w:pPr>
            <w:r>
              <w:rPr>
                <w:rFonts w:hint="default" w:ascii="Arial" w:hAnsi="Arial" w:cs="Arial"/>
                <w:color w:val="000000"/>
                <w:kern w:val="0"/>
                <w:sz w:val="21"/>
                <w:szCs w:val="21"/>
                <w:lang w:bidi="ar"/>
              </w:rPr>
              <w:t>Poorly differentiated</w:t>
            </w:r>
          </w:p>
        </w:tc>
        <w:tc>
          <w:tcPr>
            <w:tcW w:w="8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32</w:t>
            </w:r>
          </w:p>
        </w:tc>
        <w:tc>
          <w:tcPr>
            <w:tcW w:w="11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13</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19</w:t>
            </w:r>
          </w:p>
        </w:tc>
        <w:tc>
          <w:tcPr>
            <w:tcW w:w="1188"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17</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15</w:t>
            </w:r>
          </w:p>
        </w:tc>
        <w:tc>
          <w:tcPr>
            <w:tcW w:w="107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r>
      <w:tr>
        <w:tblPrEx>
          <w:tblCellMar>
            <w:top w:w="0" w:type="dxa"/>
            <w:left w:w="0" w:type="dxa"/>
            <w:bottom w:w="0" w:type="dxa"/>
            <w:right w:w="0" w:type="dxa"/>
          </w:tblCellMar>
        </w:tblPrEx>
        <w:trPr>
          <w:trHeight w:val="288" w:hRule="atLeast"/>
        </w:trPr>
        <w:tc>
          <w:tcPr>
            <w:tcW w:w="1572"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cs="Arial"/>
                <w:b/>
                <w:color w:val="000000"/>
                <w:sz w:val="21"/>
                <w:szCs w:val="21"/>
              </w:rPr>
            </w:pPr>
            <w:r>
              <w:rPr>
                <w:rFonts w:hint="default" w:ascii="Arial" w:hAnsi="Arial" w:cs="Arial"/>
                <w:b/>
                <w:color w:val="000000"/>
                <w:kern w:val="0"/>
                <w:sz w:val="21"/>
                <w:szCs w:val="21"/>
                <w:lang w:bidi="ar"/>
              </w:rPr>
              <w:t>Lymph node metastasis</w:t>
            </w:r>
          </w:p>
        </w:tc>
        <w:tc>
          <w:tcPr>
            <w:tcW w:w="83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0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27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88"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7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27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07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r>
      <w:tr>
        <w:tblPrEx>
          <w:tblCellMar>
            <w:top w:w="0" w:type="dxa"/>
            <w:left w:w="0" w:type="dxa"/>
            <w:bottom w:w="0" w:type="dxa"/>
            <w:right w:w="0" w:type="dxa"/>
          </w:tblCellMar>
        </w:tblPrEx>
        <w:trPr>
          <w:trHeight w:val="288" w:hRule="atLeast"/>
        </w:trPr>
        <w:tc>
          <w:tcPr>
            <w:tcW w:w="1572"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cs="Arial"/>
                <w:color w:val="000000"/>
                <w:sz w:val="21"/>
                <w:szCs w:val="21"/>
              </w:rPr>
            </w:pPr>
            <w:r>
              <w:rPr>
                <w:rFonts w:hint="default" w:ascii="Arial" w:hAnsi="Arial" w:cs="Arial"/>
                <w:color w:val="000000"/>
                <w:kern w:val="0"/>
                <w:sz w:val="21"/>
                <w:szCs w:val="21"/>
                <w:lang w:bidi="ar"/>
              </w:rPr>
              <w:t>No</w:t>
            </w:r>
          </w:p>
        </w:tc>
        <w:tc>
          <w:tcPr>
            <w:tcW w:w="8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59</w:t>
            </w:r>
          </w:p>
        </w:tc>
        <w:tc>
          <w:tcPr>
            <w:tcW w:w="11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25</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34</w:t>
            </w:r>
          </w:p>
        </w:tc>
        <w:tc>
          <w:tcPr>
            <w:tcW w:w="118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0.86</w:t>
            </w:r>
          </w:p>
        </w:tc>
        <w:tc>
          <w:tcPr>
            <w:tcW w:w="11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32</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27</w:t>
            </w:r>
          </w:p>
        </w:tc>
        <w:tc>
          <w:tcPr>
            <w:tcW w:w="107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0.25</w:t>
            </w:r>
          </w:p>
        </w:tc>
      </w:tr>
      <w:tr>
        <w:tblPrEx>
          <w:tblCellMar>
            <w:top w:w="0" w:type="dxa"/>
            <w:left w:w="0" w:type="dxa"/>
            <w:bottom w:w="0" w:type="dxa"/>
            <w:right w:w="0" w:type="dxa"/>
          </w:tblCellMar>
        </w:tblPrEx>
        <w:trPr>
          <w:trHeight w:val="288" w:hRule="atLeast"/>
        </w:trPr>
        <w:tc>
          <w:tcPr>
            <w:tcW w:w="1572"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cs="Arial"/>
                <w:color w:val="000000"/>
                <w:sz w:val="21"/>
                <w:szCs w:val="21"/>
              </w:rPr>
            </w:pPr>
            <w:r>
              <w:rPr>
                <w:rFonts w:hint="default" w:ascii="Arial" w:hAnsi="Arial" w:cs="Arial"/>
                <w:color w:val="000000"/>
                <w:kern w:val="0"/>
                <w:sz w:val="21"/>
                <w:szCs w:val="21"/>
                <w:lang w:bidi="ar"/>
              </w:rPr>
              <w:t>Yes</w:t>
            </w:r>
          </w:p>
        </w:tc>
        <w:tc>
          <w:tcPr>
            <w:tcW w:w="8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66</w:t>
            </w:r>
          </w:p>
        </w:tc>
        <w:tc>
          <w:tcPr>
            <w:tcW w:w="11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29</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37</w:t>
            </w:r>
          </w:p>
        </w:tc>
        <w:tc>
          <w:tcPr>
            <w:tcW w:w="1188"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29</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37</w:t>
            </w:r>
          </w:p>
        </w:tc>
        <w:tc>
          <w:tcPr>
            <w:tcW w:w="107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r>
      <w:tr>
        <w:tblPrEx>
          <w:tblCellMar>
            <w:top w:w="0" w:type="dxa"/>
            <w:left w:w="0" w:type="dxa"/>
            <w:bottom w:w="0" w:type="dxa"/>
            <w:right w:w="0" w:type="dxa"/>
          </w:tblCellMar>
        </w:tblPrEx>
        <w:trPr>
          <w:trHeight w:val="288" w:hRule="atLeast"/>
        </w:trPr>
        <w:tc>
          <w:tcPr>
            <w:tcW w:w="1572"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cs="Arial"/>
                <w:b/>
                <w:color w:val="000000"/>
                <w:sz w:val="21"/>
                <w:szCs w:val="21"/>
              </w:rPr>
            </w:pPr>
            <w:r>
              <w:rPr>
                <w:rFonts w:hint="default" w:ascii="Arial" w:hAnsi="Arial" w:cs="Arial"/>
                <w:b/>
                <w:color w:val="000000"/>
                <w:kern w:val="0"/>
                <w:sz w:val="21"/>
                <w:szCs w:val="21"/>
                <w:lang w:bidi="ar"/>
              </w:rPr>
              <w:t>Vascular invasion</w:t>
            </w:r>
          </w:p>
        </w:tc>
        <w:tc>
          <w:tcPr>
            <w:tcW w:w="83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0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27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88"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7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27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07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r>
      <w:tr>
        <w:tblPrEx>
          <w:tblCellMar>
            <w:top w:w="0" w:type="dxa"/>
            <w:left w:w="0" w:type="dxa"/>
            <w:bottom w:w="0" w:type="dxa"/>
            <w:right w:w="0" w:type="dxa"/>
          </w:tblCellMar>
        </w:tblPrEx>
        <w:trPr>
          <w:trHeight w:val="288" w:hRule="atLeast"/>
        </w:trPr>
        <w:tc>
          <w:tcPr>
            <w:tcW w:w="1572"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cs="Arial"/>
                <w:color w:val="000000"/>
                <w:sz w:val="21"/>
                <w:szCs w:val="21"/>
              </w:rPr>
            </w:pPr>
            <w:r>
              <w:rPr>
                <w:rFonts w:hint="default" w:ascii="Arial" w:hAnsi="Arial" w:cs="Arial"/>
                <w:color w:val="000000"/>
                <w:kern w:val="0"/>
                <w:sz w:val="21"/>
                <w:szCs w:val="21"/>
                <w:lang w:bidi="ar"/>
              </w:rPr>
              <w:t>No</w:t>
            </w:r>
          </w:p>
        </w:tc>
        <w:tc>
          <w:tcPr>
            <w:tcW w:w="8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77</w:t>
            </w:r>
          </w:p>
        </w:tc>
        <w:tc>
          <w:tcPr>
            <w:tcW w:w="11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33</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44</w:t>
            </w:r>
          </w:p>
        </w:tc>
        <w:tc>
          <w:tcPr>
            <w:tcW w:w="118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0.922</w:t>
            </w:r>
          </w:p>
        </w:tc>
        <w:tc>
          <w:tcPr>
            <w:tcW w:w="11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35</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42</w:t>
            </w:r>
          </w:p>
        </w:tc>
        <w:tc>
          <w:tcPr>
            <w:tcW w:w="107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0.343</w:t>
            </w:r>
          </w:p>
        </w:tc>
      </w:tr>
      <w:tr>
        <w:tblPrEx>
          <w:tblCellMar>
            <w:top w:w="0" w:type="dxa"/>
            <w:left w:w="0" w:type="dxa"/>
            <w:bottom w:w="0" w:type="dxa"/>
            <w:right w:w="0" w:type="dxa"/>
          </w:tblCellMar>
        </w:tblPrEx>
        <w:trPr>
          <w:trHeight w:val="288" w:hRule="atLeast"/>
        </w:trPr>
        <w:tc>
          <w:tcPr>
            <w:tcW w:w="1572"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cs="Arial"/>
                <w:color w:val="000000"/>
                <w:sz w:val="21"/>
                <w:szCs w:val="21"/>
              </w:rPr>
            </w:pPr>
            <w:r>
              <w:rPr>
                <w:rFonts w:hint="default" w:ascii="Arial" w:hAnsi="Arial" w:cs="Arial"/>
                <w:color w:val="000000"/>
                <w:kern w:val="0"/>
                <w:sz w:val="21"/>
                <w:szCs w:val="21"/>
                <w:lang w:bidi="ar"/>
              </w:rPr>
              <w:t>Yes</w:t>
            </w:r>
          </w:p>
        </w:tc>
        <w:tc>
          <w:tcPr>
            <w:tcW w:w="8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48</w:t>
            </w:r>
          </w:p>
        </w:tc>
        <w:tc>
          <w:tcPr>
            <w:tcW w:w="11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21</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27</w:t>
            </w:r>
          </w:p>
        </w:tc>
        <w:tc>
          <w:tcPr>
            <w:tcW w:w="1188"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26</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22</w:t>
            </w:r>
          </w:p>
        </w:tc>
        <w:tc>
          <w:tcPr>
            <w:tcW w:w="107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r>
      <w:tr>
        <w:tblPrEx>
          <w:tblCellMar>
            <w:top w:w="0" w:type="dxa"/>
            <w:left w:w="0" w:type="dxa"/>
            <w:bottom w:w="0" w:type="dxa"/>
            <w:right w:w="0" w:type="dxa"/>
          </w:tblCellMar>
        </w:tblPrEx>
        <w:trPr>
          <w:trHeight w:val="288" w:hRule="atLeast"/>
        </w:trPr>
        <w:tc>
          <w:tcPr>
            <w:tcW w:w="1572"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cs="Arial"/>
                <w:b/>
                <w:color w:val="000000"/>
                <w:sz w:val="21"/>
                <w:szCs w:val="21"/>
              </w:rPr>
            </w:pPr>
            <w:r>
              <w:rPr>
                <w:rFonts w:hint="default" w:ascii="Arial" w:hAnsi="Arial" w:cs="Arial"/>
                <w:b/>
                <w:color w:val="000000"/>
                <w:kern w:val="0"/>
                <w:sz w:val="21"/>
                <w:szCs w:val="21"/>
                <w:lang w:bidi="ar"/>
              </w:rPr>
              <w:t>Nerve invasion</w:t>
            </w:r>
          </w:p>
        </w:tc>
        <w:tc>
          <w:tcPr>
            <w:tcW w:w="83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0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27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88"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7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27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07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r>
      <w:tr>
        <w:tblPrEx>
          <w:tblCellMar>
            <w:top w:w="0" w:type="dxa"/>
            <w:left w:w="0" w:type="dxa"/>
            <w:bottom w:w="0" w:type="dxa"/>
            <w:right w:w="0" w:type="dxa"/>
          </w:tblCellMar>
        </w:tblPrEx>
        <w:trPr>
          <w:trHeight w:val="288" w:hRule="atLeast"/>
        </w:trPr>
        <w:tc>
          <w:tcPr>
            <w:tcW w:w="1572"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cs="Arial"/>
                <w:color w:val="000000"/>
                <w:sz w:val="21"/>
                <w:szCs w:val="21"/>
              </w:rPr>
            </w:pPr>
            <w:r>
              <w:rPr>
                <w:rFonts w:hint="default" w:ascii="Arial" w:hAnsi="Arial" w:cs="Arial"/>
                <w:color w:val="000000"/>
                <w:kern w:val="0"/>
                <w:sz w:val="21"/>
                <w:szCs w:val="21"/>
                <w:lang w:bidi="ar"/>
              </w:rPr>
              <w:t>No</w:t>
            </w:r>
          </w:p>
        </w:tc>
        <w:tc>
          <w:tcPr>
            <w:tcW w:w="8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45</w:t>
            </w:r>
          </w:p>
        </w:tc>
        <w:tc>
          <w:tcPr>
            <w:tcW w:w="11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25</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20</w:t>
            </w:r>
          </w:p>
        </w:tc>
        <w:tc>
          <w:tcPr>
            <w:tcW w:w="118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b/>
                <w:color w:val="000000"/>
                <w:sz w:val="21"/>
                <w:szCs w:val="21"/>
              </w:rPr>
            </w:pPr>
            <w:r>
              <w:rPr>
                <w:rFonts w:hint="default" w:ascii="Arial" w:hAnsi="Arial" w:cs="Arial"/>
                <w:b/>
                <w:color w:val="000000"/>
                <w:kern w:val="0"/>
                <w:sz w:val="21"/>
                <w:szCs w:val="21"/>
                <w:lang w:bidi="ar"/>
              </w:rPr>
              <w:t>0.036</w:t>
            </w:r>
            <w:r>
              <w:rPr>
                <w:rFonts w:hint="default" w:ascii="Arial" w:hAnsi="Arial" w:cs="Arial"/>
                <w:b/>
                <w:color w:val="000000"/>
                <w:kern w:val="0"/>
                <w:sz w:val="21"/>
                <w:szCs w:val="21"/>
                <w:vertAlign w:val="superscript"/>
                <w:lang w:bidi="ar"/>
              </w:rPr>
              <w:t>*</w:t>
            </w:r>
          </w:p>
        </w:tc>
        <w:tc>
          <w:tcPr>
            <w:tcW w:w="11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29</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16</w:t>
            </w:r>
          </w:p>
        </w:tc>
        <w:tc>
          <w:tcPr>
            <w:tcW w:w="107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b/>
                <w:color w:val="000000"/>
                <w:sz w:val="21"/>
                <w:szCs w:val="21"/>
              </w:rPr>
            </w:pPr>
            <w:r>
              <w:rPr>
                <w:rFonts w:hint="default" w:ascii="Arial" w:hAnsi="Arial" w:cs="Arial"/>
                <w:b/>
                <w:color w:val="000000"/>
                <w:kern w:val="0"/>
                <w:sz w:val="21"/>
                <w:szCs w:val="21"/>
                <w:lang w:bidi="ar"/>
              </w:rPr>
              <w:t>0.009</w:t>
            </w:r>
            <w:r>
              <w:rPr>
                <w:rFonts w:hint="default" w:ascii="Arial" w:hAnsi="Arial" w:cs="Arial"/>
                <w:b/>
                <w:color w:val="000000"/>
                <w:kern w:val="0"/>
                <w:sz w:val="21"/>
                <w:szCs w:val="21"/>
                <w:vertAlign w:val="superscript"/>
                <w:lang w:bidi="ar"/>
              </w:rPr>
              <w:t>***</w:t>
            </w:r>
          </w:p>
        </w:tc>
      </w:tr>
      <w:tr>
        <w:tblPrEx>
          <w:tblCellMar>
            <w:top w:w="0" w:type="dxa"/>
            <w:left w:w="0" w:type="dxa"/>
            <w:bottom w:w="0" w:type="dxa"/>
            <w:right w:w="0" w:type="dxa"/>
          </w:tblCellMar>
        </w:tblPrEx>
        <w:trPr>
          <w:trHeight w:val="288" w:hRule="atLeast"/>
        </w:trPr>
        <w:tc>
          <w:tcPr>
            <w:tcW w:w="1572"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cs="Arial"/>
                <w:color w:val="000000"/>
                <w:sz w:val="21"/>
                <w:szCs w:val="21"/>
              </w:rPr>
            </w:pPr>
            <w:r>
              <w:rPr>
                <w:rFonts w:hint="default" w:ascii="Arial" w:hAnsi="Arial" w:cs="Arial"/>
                <w:color w:val="000000"/>
                <w:kern w:val="0"/>
                <w:sz w:val="21"/>
                <w:szCs w:val="21"/>
                <w:lang w:bidi="ar"/>
              </w:rPr>
              <w:t>Yes</w:t>
            </w:r>
          </w:p>
        </w:tc>
        <w:tc>
          <w:tcPr>
            <w:tcW w:w="8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80</w:t>
            </w:r>
          </w:p>
        </w:tc>
        <w:tc>
          <w:tcPr>
            <w:tcW w:w="11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29</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51</w:t>
            </w:r>
          </w:p>
        </w:tc>
        <w:tc>
          <w:tcPr>
            <w:tcW w:w="1188"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32</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48</w:t>
            </w:r>
          </w:p>
        </w:tc>
        <w:tc>
          <w:tcPr>
            <w:tcW w:w="107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r>
      <w:tr>
        <w:tblPrEx>
          <w:tblCellMar>
            <w:top w:w="0" w:type="dxa"/>
            <w:left w:w="0" w:type="dxa"/>
            <w:bottom w:w="0" w:type="dxa"/>
            <w:right w:w="0" w:type="dxa"/>
          </w:tblCellMar>
        </w:tblPrEx>
        <w:trPr>
          <w:trHeight w:val="288" w:hRule="atLeast"/>
        </w:trPr>
        <w:tc>
          <w:tcPr>
            <w:tcW w:w="1572"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cs="Arial"/>
                <w:b/>
                <w:color w:val="000000"/>
                <w:sz w:val="21"/>
                <w:szCs w:val="21"/>
              </w:rPr>
            </w:pPr>
            <w:r>
              <w:rPr>
                <w:rFonts w:hint="default" w:ascii="Arial" w:hAnsi="Arial" w:cs="Arial"/>
                <w:b/>
                <w:color w:val="000000"/>
                <w:kern w:val="0"/>
                <w:sz w:val="21"/>
                <w:szCs w:val="21"/>
                <w:lang w:bidi="ar"/>
              </w:rPr>
              <w:t>TNM</w:t>
            </w:r>
          </w:p>
        </w:tc>
        <w:tc>
          <w:tcPr>
            <w:tcW w:w="83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0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27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88"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7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27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07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r>
      <w:tr>
        <w:tblPrEx>
          <w:tblCellMar>
            <w:top w:w="0" w:type="dxa"/>
            <w:left w:w="0" w:type="dxa"/>
            <w:bottom w:w="0" w:type="dxa"/>
            <w:right w:w="0" w:type="dxa"/>
          </w:tblCellMar>
        </w:tblPrEx>
        <w:trPr>
          <w:trHeight w:val="312" w:hRule="atLeast"/>
        </w:trPr>
        <w:tc>
          <w:tcPr>
            <w:tcW w:w="1572"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cs="Arial"/>
                <w:color w:val="000000"/>
                <w:kern w:val="0"/>
                <w:sz w:val="21"/>
                <w:szCs w:val="21"/>
                <w:lang w:bidi="ar"/>
              </w:rPr>
            </w:pPr>
            <w:r>
              <w:rPr>
                <w:rFonts w:hint="default" w:ascii="Arial" w:hAnsi="Arial" w:eastAsia="微软雅黑" w:cs="Arial"/>
                <w:color w:val="000000"/>
                <w:kern w:val="0"/>
                <w:sz w:val="21"/>
                <w:szCs w:val="21"/>
                <w:lang w:bidi="ar"/>
              </w:rPr>
              <w:t>Ⅰ-Ⅱ</w:t>
            </w:r>
          </w:p>
        </w:tc>
        <w:tc>
          <w:tcPr>
            <w:tcW w:w="8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88</w:t>
            </w:r>
          </w:p>
        </w:tc>
        <w:tc>
          <w:tcPr>
            <w:tcW w:w="11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37</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51</w:t>
            </w:r>
          </w:p>
        </w:tc>
        <w:tc>
          <w:tcPr>
            <w:tcW w:w="118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0.688</w:t>
            </w:r>
          </w:p>
        </w:tc>
        <w:tc>
          <w:tcPr>
            <w:tcW w:w="11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48</w:t>
            </w:r>
          </w:p>
        </w:tc>
        <w:tc>
          <w:tcPr>
            <w:tcW w:w="127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40</w:t>
            </w:r>
          </w:p>
        </w:tc>
        <w:tc>
          <w:tcPr>
            <w:tcW w:w="107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b/>
                <w:color w:val="000000"/>
                <w:sz w:val="21"/>
                <w:szCs w:val="21"/>
              </w:rPr>
            </w:pPr>
            <w:r>
              <w:rPr>
                <w:rFonts w:hint="default" w:ascii="Arial" w:hAnsi="Arial" w:cs="Arial"/>
                <w:b/>
                <w:color w:val="000000"/>
                <w:kern w:val="0"/>
                <w:sz w:val="21"/>
                <w:szCs w:val="21"/>
                <w:lang w:bidi="ar"/>
              </w:rPr>
              <w:t>0.047</w:t>
            </w:r>
            <w:r>
              <w:rPr>
                <w:rFonts w:hint="default" w:ascii="Arial" w:hAnsi="Arial" w:cs="Arial"/>
                <w:b/>
                <w:color w:val="000000"/>
                <w:kern w:val="0"/>
                <w:sz w:val="21"/>
                <w:szCs w:val="21"/>
                <w:vertAlign w:val="superscript"/>
                <w:lang w:bidi="ar"/>
              </w:rPr>
              <w:t>*</w:t>
            </w:r>
          </w:p>
        </w:tc>
      </w:tr>
      <w:tr>
        <w:tblPrEx>
          <w:tblCellMar>
            <w:top w:w="0" w:type="dxa"/>
            <w:left w:w="0" w:type="dxa"/>
            <w:bottom w:w="0" w:type="dxa"/>
            <w:right w:w="0" w:type="dxa"/>
          </w:tblCellMar>
        </w:tblPrEx>
        <w:trPr>
          <w:trHeight w:val="312" w:hRule="atLeast"/>
        </w:trPr>
        <w:tc>
          <w:tcPr>
            <w:tcW w:w="1572" w:type="dxa"/>
            <w:tcBorders>
              <w:top w:val="nil"/>
              <w:left w:val="nil"/>
              <w:bottom w:val="single" w:color="auto" w:sz="4" w:space="0"/>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cs="Arial"/>
                <w:color w:val="000000"/>
                <w:kern w:val="0"/>
                <w:sz w:val="21"/>
                <w:szCs w:val="21"/>
                <w:lang w:bidi="ar"/>
              </w:rPr>
            </w:pPr>
            <w:r>
              <w:rPr>
                <w:rFonts w:hint="default" w:ascii="Arial" w:hAnsi="Arial" w:eastAsia="微软雅黑" w:cs="Arial"/>
                <w:color w:val="000000"/>
                <w:kern w:val="0"/>
                <w:sz w:val="21"/>
                <w:szCs w:val="21"/>
                <w:lang w:bidi="ar"/>
              </w:rPr>
              <w:t>Ⅲ</w:t>
            </w:r>
            <w:r>
              <w:rPr>
                <w:rFonts w:hint="default" w:ascii="Arial" w:hAnsi="Arial" w:cs="Arial"/>
                <w:color w:val="000000"/>
                <w:kern w:val="0"/>
                <w:sz w:val="21"/>
                <w:szCs w:val="21"/>
                <w:lang w:bidi="ar"/>
              </w:rPr>
              <w:t>-</w:t>
            </w:r>
            <w:r>
              <w:rPr>
                <w:rFonts w:hint="default" w:ascii="Arial" w:hAnsi="Arial" w:eastAsia="微软雅黑" w:cs="Arial"/>
                <w:color w:val="000000"/>
                <w:kern w:val="0"/>
                <w:sz w:val="21"/>
                <w:szCs w:val="21"/>
                <w:lang w:bidi="ar"/>
              </w:rPr>
              <w:t>Ⅳ</w:t>
            </w:r>
          </w:p>
        </w:tc>
        <w:tc>
          <w:tcPr>
            <w:tcW w:w="834" w:type="dxa"/>
            <w:tcBorders>
              <w:top w:val="nil"/>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37</w:t>
            </w:r>
          </w:p>
        </w:tc>
        <w:tc>
          <w:tcPr>
            <w:tcW w:w="1104" w:type="dxa"/>
            <w:tcBorders>
              <w:top w:val="nil"/>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17</w:t>
            </w:r>
          </w:p>
        </w:tc>
        <w:tc>
          <w:tcPr>
            <w:tcW w:w="1272" w:type="dxa"/>
            <w:tcBorders>
              <w:top w:val="nil"/>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20</w:t>
            </w:r>
          </w:p>
        </w:tc>
        <w:tc>
          <w:tcPr>
            <w:tcW w:w="1188" w:type="dxa"/>
            <w:tcBorders>
              <w:top w:val="nil"/>
              <w:left w:val="nil"/>
              <w:bottom w:val="single" w:color="auto" w:sz="4" w:space="0"/>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c>
          <w:tcPr>
            <w:tcW w:w="1176" w:type="dxa"/>
            <w:tcBorders>
              <w:top w:val="nil"/>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13</w:t>
            </w:r>
          </w:p>
        </w:tc>
        <w:tc>
          <w:tcPr>
            <w:tcW w:w="1272" w:type="dxa"/>
            <w:tcBorders>
              <w:top w:val="nil"/>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cs="Arial"/>
                <w:color w:val="000000"/>
                <w:sz w:val="21"/>
                <w:szCs w:val="21"/>
              </w:rPr>
            </w:pPr>
            <w:r>
              <w:rPr>
                <w:rFonts w:hint="default" w:ascii="Arial" w:hAnsi="Arial" w:cs="Arial"/>
                <w:color w:val="000000"/>
                <w:kern w:val="0"/>
                <w:sz w:val="21"/>
                <w:szCs w:val="21"/>
                <w:lang w:bidi="ar"/>
              </w:rPr>
              <w:t>24</w:t>
            </w:r>
          </w:p>
        </w:tc>
        <w:tc>
          <w:tcPr>
            <w:tcW w:w="1077" w:type="dxa"/>
            <w:tcBorders>
              <w:top w:val="nil"/>
              <w:left w:val="nil"/>
              <w:bottom w:val="single" w:color="auto" w:sz="4" w:space="0"/>
              <w:right w:val="nil"/>
            </w:tcBorders>
            <w:shd w:val="clear" w:color="auto" w:fill="auto"/>
            <w:noWrap/>
            <w:tcMar>
              <w:top w:w="12" w:type="dxa"/>
              <w:left w:w="12" w:type="dxa"/>
              <w:right w:w="12" w:type="dxa"/>
            </w:tcMar>
            <w:vAlign w:val="center"/>
          </w:tcPr>
          <w:p>
            <w:pPr>
              <w:jc w:val="center"/>
              <w:rPr>
                <w:rFonts w:hint="default" w:ascii="Arial" w:hAnsi="Arial" w:cs="Arial"/>
                <w:color w:val="000000"/>
                <w:sz w:val="21"/>
                <w:szCs w:val="21"/>
              </w:rPr>
            </w:pPr>
          </w:p>
        </w:tc>
      </w:tr>
    </w:tbl>
    <w:p>
      <w:pPr>
        <w:spacing w:line="276" w:lineRule="auto"/>
        <w:jc w:val="left"/>
        <w:rPr>
          <w:rFonts w:hint="default" w:ascii="Arial" w:hAnsi="Arial" w:cs="Arial"/>
          <w:sz w:val="21"/>
          <w:szCs w:val="21"/>
        </w:rPr>
      </w:pPr>
      <w:r>
        <w:rPr>
          <w:rFonts w:hint="default" w:ascii="Arial" w:hAnsi="Arial" w:cs="Arial"/>
          <w:sz w:val="21"/>
          <w:szCs w:val="21"/>
        </w:rPr>
        <w:t>*Denotes statistical significance</w:t>
      </w:r>
    </w:p>
    <w:p>
      <w:pPr>
        <w:spacing w:line="276" w:lineRule="auto"/>
        <w:jc w:val="left"/>
        <w:rPr>
          <w:rFonts w:hint="default" w:ascii="Arial" w:hAnsi="Arial" w:cs="Arial"/>
          <w:sz w:val="21"/>
          <w:szCs w:val="21"/>
        </w:rPr>
      </w:pPr>
      <w:r>
        <w:rPr>
          <w:rFonts w:hint="default" w:ascii="Arial" w:hAnsi="Arial" w:cs="Arial"/>
          <w:sz w:val="21"/>
          <w:szCs w:val="21"/>
        </w:rPr>
        <w:t> </w:t>
      </w:r>
      <w:r>
        <w:rPr>
          <w:rFonts w:hint="default" w:ascii="Arial" w:hAnsi="Arial" w:cs="Arial"/>
          <w:i/>
          <w:iCs/>
          <w:sz w:val="21"/>
          <w:szCs w:val="21"/>
        </w:rPr>
        <w:t>P</w:t>
      </w:r>
      <w:r>
        <w:rPr>
          <w:rFonts w:hint="default" w:ascii="Arial" w:hAnsi="Arial" w:cs="Arial"/>
          <w:sz w:val="21"/>
          <w:szCs w:val="21"/>
        </w:rPr>
        <w:t>-values were calculated by Pearson Chi-square test</w:t>
      </w:r>
    </w:p>
    <w:p>
      <w:pPr>
        <w:rPr>
          <w:rFonts w:hint="default" w:ascii="Arial" w:hAnsi="Arial" w:cs="Arial"/>
          <w:sz w:val="21"/>
          <w:szCs w:val="21"/>
        </w:rPr>
      </w:pPr>
      <w:r>
        <w:rPr>
          <w:rFonts w:hint="default" w:ascii="Arial" w:hAnsi="Arial" w:cs="Arial"/>
          <w:sz w:val="21"/>
          <w:szCs w:val="21"/>
        </w:rPr>
        <w:br w:type="page"/>
      </w:r>
    </w:p>
    <w:tbl>
      <w:tblPr>
        <w:tblStyle w:val="2"/>
        <w:tblpPr w:leftFromText="180" w:rightFromText="180" w:vertAnchor="page" w:horzAnchor="page" w:tblpXSpec="center" w:tblpY="2297"/>
        <w:tblOverlap w:val="never"/>
        <w:tblW w:w="9617" w:type="dxa"/>
        <w:jc w:val="center"/>
        <w:tblLayout w:type="fixed"/>
        <w:tblCellMar>
          <w:top w:w="0" w:type="dxa"/>
          <w:left w:w="0" w:type="dxa"/>
          <w:bottom w:w="0" w:type="dxa"/>
          <w:right w:w="0" w:type="dxa"/>
        </w:tblCellMar>
      </w:tblPr>
      <w:tblGrid>
        <w:gridCol w:w="2740"/>
        <w:gridCol w:w="211"/>
        <w:gridCol w:w="782"/>
        <w:gridCol w:w="1242"/>
        <w:gridCol w:w="836"/>
        <w:gridCol w:w="851"/>
        <w:gridCol w:w="664"/>
        <w:gridCol w:w="1427"/>
        <w:gridCol w:w="864"/>
      </w:tblGrid>
      <w:tr>
        <w:tblPrEx>
          <w:tblCellMar>
            <w:top w:w="0" w:type="dxa"/>
            <w:left w:w="0" w:type="dxa"/>
            <w:bottom w:w="0" w:type="dxa"/>
            <w:right w:w="0" w:type="dxa"/>
          </w:tblCellMar>
        </w:tblPrEx>
        <w:trPr>
          <w:trHeight w:val="335" w:hRule="atLeast"/>
          <w:jc w:val="center"/>
        </w:trPr>
        <w:tc>
          <w:tcPr>
            <w:tcW w:w="2951" w:type="dxa"/>
            <w:gridSpan w:val="2"/>
            <w:vMerge w:val="restart"/>
            <w:tcBorders>
              <w:top w:val="single" w:color="auto" w:sz="4" w:space="0"/>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Variables</w:t>
            </w:r>
          </w:p>
        </w:tc>
        <w:tc>
          <w:tcPr>
            <w:tcW w:w="2860" w:type="dxa"/>
            <w:gridSpan w:val="3"/>
            <w:tcBorders>
              <w:top w:val="single" w:color="auto" w:sz="4" w:space="0"/>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Univariate analysis</w:t>
            </w:r>
          </w:p>
        </w:tc>
        <w:tc>
          <w:tcPr>
            <w:tcW w:w="851" w:type="dxa"/>
            <w:tcBorders>
              <w:top w:val="single" w:color="auto" w:sz="4" w:space="0"/>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2955" w:type="dxa"/>
            <w:gridSpan w:val="3"/>
            <w:tcBorders>
              <w:top w:val="single" w:color="auto" w:sz="4" w:space="0"/>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Multivariate analysis</w:t>
            </w:r>
          </w:p>
        </w:tc>
      </w:tr>
      <w:tr>
        <w:tblPrEx>
          <w:tblCellMar>
            <w:top w:w="0" w:type="dxa"/>
            <w:left w:w="0" w:type="dxa"/>
            <w:bottom w:w="0" w:type="dxa"/>
            <w:right w:w="0" w:type="dxa"/>
          </w:tblCellMar>
        </w:tblPrEx>
        <w:trPr>
          <w:trHeight w:val="316" w:hRule="atLeast"/>
          <w:jc w:val="center"/>
        </w:trPr>
        <w:tc>
          <w:tcPr>
            <w:tcW w:w="2951" w:type="dxa"/>
            <w:gridSpan w:val="2"/>
            <w:vMerge w:val="continue"/>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782" w:type="dxa"/>
            <w:tcBorders>
              <w:top w:val="nil"/>
              <w:left w:val="nil"/>
              <w:bottom w:val="single" w:color="auto" w:sz="4" w:space="0"/>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 xml:space="preserve">   HR</w:t>
            </w:r>
          </w:p>
        </w:tc>
        <w:tc>
          <w:tcPr>
            <w:tcW w:w="1242" w:type="dxa"/>
            <w:tcBorders>
              <w:top w:val="nil"/>
              <w:left w:val="nil"/>
              <w:bottom w:val="single" w:color="auto" w:sz="4" w:space="0"/>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 xml:space="preserve">    95%Cl</w:t>
            </w:r>
          </w:p>
        </w:tc>
        <w:tc>
          <w:tcPr>
            <w:tcW w:w="836" w:type="dxa"/>
            <w:tcBorders>
              <w:top w:val="nil"/>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P-value</w:t>
            </w:r>
          </w:p>
        </w:tc>
        <w:tc>
          <w:tcPr>
            <w:tcW w:w="851" w:type="dxa"/>
            <w:tcBorders>
              <w:top w:val="nil"/>
              <w:left w:val="nil"/>
              <w:bottom w:val="single" w:color="auto" w:sz="4" w:space="0"/>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664" w:type="dxa"/>
            <w:tcBorders>
              <w:top w:val="nil"/>
              <w:left w:val="nil"/>
              <w:bottom w:val="single" w:color="auto" w:sz="4" w:space="0"/>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HR</w:t>
            </w:r>
          </w:p>
        </w:tc>
        <w:tc>
          <w:tcPr>
            <w:tcW w:w="1427" w:type="dxa"/>
            <w:tcBorders>
              <w:top w:val="nil"/>
              <w:left w:val="nil"/>
              <w:bottom w:val="single" w:color="auto" w:sz="4" w:space="0"/>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95%Cl</w:t>
            </w:r>
          </w:p>
        </w:tc>
        <w:tc>
          <w:tcPr>
            <w:tcW w:w="864" w:type="dxa"/>
            <w:tcBorders>
              <w:top w:val="nil"/>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P-value</w:t>
            </w:r>
          </w:p>
        </w:tc>
      </w:tr>
      <w:tr>
        <w:tblPrEx>
          <w:tblCellMar>
            <w:top w:w="0" w:type="dxa"/>
            <w:left w:w="0" w:type="dxa"/>
            <w:bottom w:w="0" w:type="dxa"/>
            <w:right w:w="0" w:type="dxa"/>
          </w:tblCellMar>
        </w:tblPrEx>
        <w:trPr>
          <w:trHeight w:val="335" w:hRule="atLeast"/>
          <w:jc w:val="center"/>
        </w:trPr>
        <w:tc>
          <w:tcPr>
            <w:tcW w:w="2740" w:type="dxa"/>
            <w:tcBorders>
              <w:top w:val="single" w:color="000000" w:sz="4" w:space="0"/>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b/>
                <w:color w:val="000000"/>
                <w:sz w:val="21"/>
                <w:szCs w:val="21"/>
              </w:rPr>
            </w:pPr>
            <w:r>
              <w:rPr>
                <w:rFonts w:hint="default" w:ascii="Arial" w:hAnsi="Arial" w:eastAsia="宋体" w:cs="Arial"/>
                <w:b/>
                <w:color w:val="000000"/>
                <w:kern w:val="0"/>
                <w:sz w:val="21"/>
                <w:szCs w:val="21"/>
                <w:lang w:bidi="ar"/>
              </w:rPr>
              <w:t>Age (years)</w:t>
            </w:r>
          </w:p>
        </w:tc>
        <w:tc>
          <w:tcPr>
            <w:tcW w:w="211" w:type="dxa"/>
            <w:tcBorders>
              <w:top w:val="single" w:color="000000" w:sz="4" w:space="0"/>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single" w:color="auto" w:sz="4" w:space="0"/>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0.946</w:t>
            </w:r>
          </w:p>
        </w:tc>
        <w:tc>
          <w:tcPr>
            <w:tcW w:w="1242" w:type="dxa"/>
            <w:tcBorders>
              <w:top w:val="single" w:color="auto" w:sz="4" w:space="0"/>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0.58-1.543</w:t>
            </w:r>
          </w:p>
        </w:tc>
        <w:tc>
          <w:tcPr>
            <w:tcW w:w="836" w:type="dxa"/>
            <w:tcBorders>
              <w:top w:val="single" w:color="auto" w:sz="4" w:space="0"/>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0.824</w:t>
            </w:r>
          </w:p>
        </w:tc>
        <w:tc>
          <w:tcPr>
            <w:tcW w:w="851" w:type="dxa"/>
            <w:tcBorders>
              <w:top w:val="single" w:color="auto" w:sz="4" w:space="0"/>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single" w:color="auto" w:sz="4" w:space="0"/>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427" w:type="dxa"/>
            <w:tcBorders>
              <w:top w:val="single" w:color="auto" w:sz="4" w:space="0"/>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64" w:type="dxa"/>
            <w:tcBorders>
              <w:top w:val="single" w:color="auto" w:sz="4" w:space="0"/>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r>
      <w:tr>
        <w:tblPrEx>
          <w:tblCellMar>
            <w:top w:w="0" w:type="dxa"/>
            <w:left w:w="0" w:type="dxa"/>
            <w:bottom w:w="0" w:type="dxa"/>
            <w:right w:w="0" w:type="dxa"/>
          </w:tblCellMar>
        </w:tblPrEx>
        <w:trPr>
          <w:trHeight w:val="316" w:hRule="atLeast"/>
          <w:jc w:val="center"/>
        </w:trPr>
        <w:tc>
          <w:tcPr>
            <w:tcW w:w="2740"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&lt;60</w:t>
            </w:r>
          </w:p>
        </w:tc>
        <w:tc>
          <w:tcPr>
            <w:tcW w:w="211" w:type="dxa"/>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24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3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42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r>
      <w:tr>
        <w:tblPrEx>
          <w:tblCellMar>
            <w:top w:w="0" w:type="dxa"/>
            <w:left w:w="0" w:type="dxa"/>
            <w:bottom w:w="0" w:type="dxa"/>
            <w:right w:w="0" w:type="dxa"/>
          </w:tblCellMar>
        </w:tblPrEx>
        <w:trPr>
          <w:trHeight w:val="316" w:hRule="atLeast"/>
          <w:jc w:val="center"/>
        </w:trPr>
        <w:tc>
          <w:tcPr>
            <w:tcW w:w="2740"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&gt;=60</w:t>
            </w:r>
          </w:p>
        </w:tc>
        <w:tc>
          <w:tcPr>
            <w:tcW w:w="211" w:type="dxa"/>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24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3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42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r>
      <w:tr>
        <w:tblPrEx>
          <w:tblCellMar>
            <w:top w:w="0" w:type="dxa"/>
            <w:left w:w="0" w:type="dxa"/>
            <w:bottom w:w="0" w:type="dxa"/>
            <w:right w:w="0" w:type="dxa"/>
          </w:tblCellMar>
        </w:tblPrEx>
        <w:trPr>
          <w:trHeight w:val="316" w:hRule="atLeast"/>
          <w:jc w:val="center"/>
        </w:trPr>
        <w:tc>
          <w:tcPr>
            <w:tcW w:w="2740"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b/>
                <w:color w:val="000000"/>
                <w:sz w:val="21"/>
                <w:szCs w:val="21"/>
              </w:rPr>
            </w:pPr>
            <w:r>
              <w:rPr>
                <w:rFonts w:hint="default" w:ascii="Arial" w:hAnsi="Arial" w:eastAsia="宋体" w:cs="Arial"/>
                <w:b/>
                <w:color w:val="000000"/>
                <w:kern w:val="0"/>
                <w:sz w:val="21"/>
                <w:szCs w:val="21"/>
                <w:lang w:bidi="ar"/>
              </w:rPr>
              <w:t>Gender</w:t>
            </w:r>
          </w:p>
        </w:tc>
        <w:tc>
          <w:tcPr>
            <w:tcW w:w="211" w:type="dxa"/>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0.861</w:t>
            </w:r>
          </w:p>
        </w:tc>
        <w:tc>
          <w:tcPr>
            <w:tcW w:w="12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0.544-1.364</w:t>
            </w:r>
          </w:p>
        </w:tc>
        <w:tc>
          <w:tcPr>
            <w:tcW w:w="83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0.524</w:t>
            </w: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42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r>
      <w:tr>
        <w:tblPrEx>
          <w:tblCellMar>
            <w:top w:w="0" w:type="dxa"/>
            <w:left w:w="0" w:type="dxa"/>
            <w:bottom w:w="0" w:type="dxa"/>
            <w:right w:w="0" w:type="dxa"/>
          </w:tblCellMar>
        </w:tblPrEx>
        <w:trPr>
          <w:trHeight w:val="316" w:hRule="atLeast"/>
          <w:jc w:val="center"/>
        </w:trPr>
        <w:tc>
          <w:tcPr>
            <w:tcW w:w="2740"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Male</w:t>
            </w:r>
          </w:p>
        </w:tc>
        <w:tc>
          <w:tcPr>
            <w:tcW w:w="211" w:type="dxa"/>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24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3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42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r>
      <w:tr>
        <w:tblPrEx>
          <w:tblCellMar>
            <w:top w:w="0" w:type="dxa"/>
            <w:left w:w="0" w:type="dxa"/>
            <w:bottom w:w="0" w:type="dxa"/>
            <w:right w:w="0" w:type="dxa"/>
          </w:tblCellMar>
        </w:tblPrEx>
        <w:trPr>
          <w:trHeight w:val="316" w:hRule="atLeast"/>
          <w:jc w:val="center"/>
        </w:trPr>
        <w:tc>
          <w:tcPr>
            <w:tcW w:w="2740"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Female</w:t>
            </w:r>
          </w:p>
        </w:tc>
        <w:tc>
          <w:tcPr>
            <w:tcW w:w="211" w:type="dxa"/>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24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3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42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r>
      <w:tr>
        <w:tblPrEx>
          <w:tblCellMar>
            <w:top w:w="0" w:type="dxa"/>
            <w:left w:w="0" w:type="dxa"/>
            <w:bottom w:w="0" w:type="dxa"/>
            <w:right w:w="0" w:type="dxa"/>
          </w:tblCellMar>
        </w:tblPrEx>
        <w:trPr>
          <w:trHeight w:val="316" w:hRule="atLeast"/>
          <w:jc w:val="center"/>
        </w:trPr>
        <w:tc>
          <w:tcPr>
            <w:tcW w:w="2740"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b/>
                <w:color w:val="000000"/>
                <w:sz w:val="21"/>
                <w:szCs w:val="21"/>
              </w:rPr>
            </w:pPr>
            <w:r>
              <w:rPr>
                <w:rFonts w:hint="default" w:ascii="Arial" w:hAnsi="Arial" w:eastAsia="宋体" w:cs="Arial"/>
                <w:b/>
                <w:color w:val="000000"/>
                <w:kern w:val="0"/>
                <w:sz w:val="21"/>
                <w:szCs w:val="21"/>
                <w:lang w:bidi="ar"/>
              </w:rPr>
              <w:t>Tumor size (cm)</w:t>
            </w:r>
          </w:p>
        </w:tc>
        <w:tc>
          <w:tcPr>
            <w:tcW w:w="211" w:type="dxa"/>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1.458</w:t>
            </w:r>
          </w:p>
        </w:tc>
        <w:tc>
          <w:tcPr>
            <w:tcW w:w="12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0.905-2.348</w:t>
            </w:r>
          </w:p>
        </w:tc>
        <w:tc>
          <w:tcPr>
            <w:tcW w:w="83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0.121</w:t>
            </w: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42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r>
      <w:tr>
        <w:tblPrEx>
          <w:tblCellMar>
            <w:top w:w="0" w:type="dxa"/>
            <w:left w:w="0" w:type="dxa"/>
            <w:bottom w:w="0" w:type="dxa"/>
            <w:right w:w="0" w:type="dxa"/>
          </w:tblCellMar>
        </w:tblPrEx>
        <w:trPr>
          <w:trHeight w:val="316" w:hRule="atLeast"/>
          <w:jc w:val="center"/>
        </w:trPr>
        <w:tc>
          <w:tcPr>
            <w:tcW w:w="2740"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&lt;=40</w:t>
            </w:r>
          </w:p>
        </w:tc>
        <w:tc>
          <w:tcPr>
            <w:tcW w:w="211" w:type="dxa"/>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24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3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42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r>
      <w:tr>
        <w:tblPrEx>
          <w:tblCellMar>
            <w:top w:w="0" w:type="dxa"/>
            <w:left w:w="0" w:type="dxa"/>
            <w:bottom w:w="0" w:type="dxa"/>
            <w:right w:w="0" w:type="dxa"/>
          </w:tblCellMar>
        </w:tblPrEx>
        <w:trPr>
          <w:trHeight w:val="316" w:hRule="atLeast"/>
          <w:jc w:val="center"/>
        </w:trPr>
        <w:tc>
          <w:tcPr>
            <w:tcW w:w="2740"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&gt;40</w:t>
            </w:r>
          </w:p>
        </w:tc>
        <w:tc>
          <w:tcPr>
            <w:tcW w:w="211" w:type="dxa"/>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24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3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42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r>
      <w:tr>
        <w:tblPrEx>
          <w:tblCellMar>
            <w:top w:w="0" w:type="dxa"/>
            <w:left w:w="0" w:type="dxa"/>
            <w:bottom w:w="0" w:type="dxa"/>
            <w:right w:w="0" w:type="dxa"/>
          </w:tblCellMar>
        </w:tblPrEx>
        <w:trPr>
          <w:trHeight w:val="316" w:hRule="atLeast"/>
          <w:jc w:val="center"/>
        </w:trPr>
        <w:tc>
          <w:tcPr>
            <w:tcW w:w="2740"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b/>
                <w:color w:val="000000"/>
                <w:sz w:val="21"/>
                <w:szCs w:val="21"/>
              </w:rPr>
            </w:pPr>
            <w:r>
              <w:rPr>
                <w:rFonts w:hint="default" w:ascii="Arial" w:hAnsi="Arial" w:eastAsia="宋体" w:cs="Arial"/>
                <w:b/>
                <w:color w:val="000000"/>
                <w:kern w:val="0"/>
                <w:sz w:val="21"/>
                <w:szCs w:val="21"/>
                <w:lang w:bidi="ar"/>
              </w:rPr>
              <w:t>Histological grade</w:t>
            </w:r>
          </w:p>
        </w:tc>
        <w:tc>
          <w:tcPr>
            <w:tcW w:w="211" w:type="dxa"/>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2.153</w:t>
            </w:r>
          </w:p>
        </w:tc>
        <w:tc>
          <w:tcPr>
            <w:tcW w:w="12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0.928-4.991</w:t>
            </w:r>
          </w:p>
        </w:tc>
        <w:tc>
          <w:tcPr>
            <w:tcW w:w="83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0.074</w:t>
            </w: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42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r>
      <w:tr>
        <w:tblPrEx>
          <w:tblCellMar>
            <w:top w:w="0" w:type="dxa"/>
            <w:left w:w="0" w:type="dxa"/>
            <w:bottom w:w="0" w:type="dxa"/>
            <w:right w:w="0" w:type="dxa"/>
          </w:tblCellMar>
        </w:tblPrEx>
        <w:trPr>
          <w:trHeight w:val="316" w:hRule="atLeast"/>
          <w:jc w:val="center"/>
        </w:trPr>
        <w:tc>
          <w:tcPr>
            <w:tcW w:w="2740"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Well differentiated</w:t>
            </w:r>
          </w:p>
        </w:tc>
        <w:tc>
          <w:tcPr>
            <w:tcW w:w="211" w:type="dxa"/>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24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3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42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r>
      <w:tr>
        <w:tblPrEx>
          <w:tblCellMar>
            <w:top w:w="0" w:type="dxa"/>
            <w:left w:w="0" w:type="dxa"/>
            <w:bottom w:w="0" w:type="dxa"/>
            <w:right w:w="0" w:type="dxa"/>
          </w:tblCellMar>
        </w:tblPrEx>
        <w:trPr>
          <w:trHeight w:val="316" w:hRule="atLeast"/>
          <w:jc w:val="center"/>
        </w:trPr>
        <w:tc>
          <w:tcPr>
            <w:tcW w:w="2951" w:type="dxa"/>
            <w:gridSpan w:val="2"/>
            <w:vMerge w:val="restart"/>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Moderately and Poorly differentiated</w:t>
            </w:r>
          </w:p>
        </w:tc>
        <w:tc>
          <w:tcPr>
            <w:tcW w:w="78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24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3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42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r>
      <w:tr>
        <w:tblPrEx>
          <w:tblCellMar>
            <w:top w:w="0" w:type="dxa"/>
            <w:left w:w="0" w:type="dxa"/>
            <w:bottom w:w="0" w:type="dxa"/>
            <w:right w:w="0" w:type="dxa"/>
          </w:tblCellMar>
        </w:tblPrEx>
        <w:trPr>
          <w:trHeight w:val="316" w:hRule="atLeast"/>
          <w:jc w:val="center"/>
        </w:trPr>
        <w:tc>
          <w:tcPr>
            <w:tcW w:w="2951" w:type="dxa"/>
            <w:gridSpan w:val="2"/>
            <w:vMerge w:val="continue"/>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24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3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42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r>
      <w:tr>
        <w:tblPrEx>
          <w:tblCellMar>
            <w:top w:w="0" w:type="dxa"/>
            <w:left w:w="0" w:type="dxa"/>
            <w:bottom w:w="0" w:type="dxa"/>
            <w:right w:w="0" w:type="dxa"/>
          </w:tblCellMar>
        </w:tblPrEx>
        <w:trPr>
          <w:trHeight w:val="316" w:hRule="atLeast"/>
          <w:jc w:val="center"/>
        </w:trPr>
        <w:tc>
          <w:tcPr>
            <w:tcW w:w="2740"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b/>
                <w:color w:val="000000"/>
                <w:sz w:val="21"/>
                <w:szCs w:val="21"/>
              </w:rPr>
            </w:pPr>
            <w:r>
              <w:rPr>
                <w:rFonts w:hint="default" w:ascii="Arial" w:hAnsi="Arial" w:eastAsia="宋体" w:cs="Arial"/>
                <w:b/>
                <w:color w:val="000000"/>
                <w:kern w:val="0"/>
                <w:sz w:val="21"/>
                <w:szCs w:val="21"/>
                <w:lang w:bidi="ar"/>
              </w:rPr>
              <w:t>Lymph node metastasis</w:t>
            </w:r>
          </w:p>
        </w:tc>
        <w:tc>
          <w:tcPr>
            <w:tcW w:w="211" w:type="dxa"/>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1.199</w:t>
            </w:r>
          </w:p>
        </w:tc>
        <w:tc>
          <w:tcPr>
            <w:tcW w:w="12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0.756-1.901</w:t>
            </w:r>
          </w:p>
        </w:tc>
        <w:tc>
          <w:tcPr>
            <w:tcW w:w="83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0.441</w:t>
            </w: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42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r>
      <w:tr>
        <w:tblPrEx>
          <w:tblCellMar>
            <w:top w:w="0" w:type="dxa"/>
            <w:left w:w="0" w:type="dxa"/>
            <w:bottom w:w="0" w:type="dxa"/>
            <w:right w:w="0" w:type="dxa"/>
          </w:tblCellMar>
        </w:tblPrEx>
        <w:trPr>
          <w:trHeight w:val="316" w:hRule="atLeast"/>
          <w:jc w:val="center"/>
        </w:trPr>
        <w:tc>
          <w:tcPr>
            <w:tcW w:w="2740"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No</w:t>
            </w:r>
          </w:p>
        </w:tc>
        <w:tc>
          <w:tcPr>
            <w:tcW w:w="211" w:type="dxa"/>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24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3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42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r>
      <w:tr>
        <w:tblPrEx>
          <w:tblCellMar>
            <w:top w:w="0" w:type="dxa"/>
            <w:left w:w="0" w:type="dxa"/>
            <w:bottom w:w="0" w:type="dxa"/>
            <w:right w:w="0" w:type="dxa"/>
          </w:tblCellMar>
        </w:tblPrEx>
        <w:trPr>
          <w:trHeight w:val="316" w:hRule="atLeast"/>
          <w:jc w:val="center"/>
        </w:trPr>
        <w:tc>
          <w:tcPr>
            <w:tcW w:w="2740"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Yes</w:t>
            </w:r>
          </w:p>
        </w:tc>
        <w:tc>
          <w:tcPr>
            <w:tcW w:w="211" w:type="dxa"/>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24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3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42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r>
      <w:tr>
        <w:tblPrEx>
          <w:tblCellMar>
            <w:top w:w="0" w:type="dxa"/>
            <w:left w:w="0" w:type="dxa"/>
            <w:bottom w:w="0" w:type="dxa"/>
            <w:right w:w="0" w:type="dxa"/>
          </w:tblCellMar>
        </w:tblPrEx>
        <w:trPr>
          <w:trHeight w:val="316" w:hRule="atLeast"/>
          <w:jc w:val="center"/>
        </w:trPr>
        <w:tc>
          <w:tcPr>
            <w:tcW w:w="2740"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b/>
                <w:color w:val="000000"/>
                <w:sz w:val="21"/>
                <w:szCs w:val="21"/>
              </w:rPr>
            </w:pPr>
            <w:r>
              <w:rPr>
                <w:rFonts w:hint="default" w:ascii="Arial" w:hAnsi="Arial" w:eastAsia="宋体" w:cs="Arial"/>
                <w:b/>
                <w:color w:val="000000"/>
                <w:kern w:val="0"/>
                <w:sz w:val="21"/>
                <w:szCs w:val="21"/>
                <w:lang w:bidi="ar"/>
              </w:rPr>
              <w:t>Vascular invasion</w:t>
            </w:r>
          </w:p>
        </w:tc>
        <w:tc>
          <w:tcPr>
            <w:tcW w:w="211" w:type="dxa"/>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1.187</w:t>
            </w:r>
          </w:p>
        </w:tc>
        <w:tc>
          <w:tcPr>
            <w:tcW w:w="12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0.74-1.903</w:t>
            </w:r>
          </w:p>
        </w:tc>
        <w:tc>
          <w:tcPr>
            <w:tcW w:w="83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0.477</w:t>
            </w: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42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r>
      <w:tr>
        <w:tblPrEx>
          <w:tblCellMar>
            <w:top w:w="0" w:type="dxa"/>
            <w:left w:w="0" w:type="dxa"/>
            <w:bottom w:w="0" w:type="dxa"/>
            <w:right w:w="0" w:type="dxa"/>
          </w:tblCellMar>
        </w:tblPrEx>
        <w:trPr>
          <w:trHeight w:val="316" w:hRule="atLeast"/>
          <w:jc w:val="center"/>
        </w:trPr>
        <w:tc>
          <w:tcPr>
            <w:tcW w:w="2740"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No</w:t>
            </w:r>
          </w:p>
        </w:tc>
        <w:tc>
          <w:tcPr>
            <w:tcW w:w="211" w:type="dxa"/>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24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3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42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r>
      <w:tr>
        <w:tblPrEx>
          <w:tblCellMar>
            <w:top w:w="0" w:type="dxa"/>
            <w:left w:w="0" w:type="dxa"/>
            <w:bottom w:w="0" w:type="dxa"/>
            <w:right w:w="0" w:type="dxa"/>
          </w:tblCellMar>
        </w:tblPrEx>
        <w:trPr>
          <w:trHeight w:val="316" w:hRule="atLeast"/>
          <w:jc w:val="center"/>
        </w:trPr>
        <w:tc>
          <w:tcPr>
            <w:tcW w:w="2740"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Yes</w:t>
            </w:r>
          </w:p>
        </w:tc>
        <w:tc>
          <w:tcPr>
            <w:tcW w:w="211" w:type="dxa"/>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24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3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42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r>
      <w:tr>
        <w:tblPrEx>
          <w:tblCellMar>
            <w:top w:w="0" w:type="dxa"/>
            <w:left w:w="0" w:type="dxa"/>
            <w:bottom w:w="0" w:type="dxa"/>
            <w:right w:w="0" w:type="dxa"/>
          </w:tblCellMar>
        </w:tblPrEx>
        <w:trPr>
          <w:trHeight w:val="316" w:hRule="atLeast"/>
          <w:jc w:val="center"/>
        </w:trPr>
        <w:tc>
          <w:tcPr>
            <w:tcW w:w="2740"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b/>
                <w:color w:val="000000"/>
                <w:sz w:val="21"/>
                <w:szCs w:val="21"/>
              </w:rPr>
            </w:pPr>
            <w:r>
              <w:rPr>
                <w:rFonts w:hint="default" w:ascii="Arial" w:hAnsi="Arial" w:eastAsia="宋体" w:cs="Arial"/>
                <w:b/>
                <w:color w:val="000000"/>
                <w:kern w:val="0"/>
                <w:sz w:val="21"/>
                <w:szCs w:val="21"/>
                <w:lang w:bidi="ar"/>
              </w:rPr>
              <w:t>Nerve invasion</w:t>
            </w:r>
          </w:p>
        </w:tc>
        <w:tc>
          <w:tcPr>
            <w:tcW w:w="211" w:type="dxa"/>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1.572</w:t>
            </w:r>
          </w:p>
        </w:tc>
        <w:tc>
          <w:tcPr>
            <w:tcW w:w="12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0.954-2.591</w:t>
            </w:r>
          </w:p>
        </w:tc>
        <w:tc>
          <w:tcPr>
            <w:tcW w:w="83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0.076</w:t>
            </w: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42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r>
      <w:tr>
        <w:tblPrEx>
          <w:tblCellMar>
            <w:top w:w="0" w:type="dxa"/>
            <w:left w:w="0" w:type="dxa"/>
            <w:bottom w:w="0" w:type="dxa"/>
            <w:right w:w="0" w:type="dxa"/>
          </w:tblCellMar>
        </w:tblPrEx>
        <w:trPr>
          <w:trHeight w:val="316" w:hRule="atLeast"/>
          <w:jc w:val="center"/>
        </w:trPr>
        <w:tc>
          <w:tcPr>
            <w:tcW w:w="2740"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No</w:t>
            </w:r>
          </w:p>
        </w:tc>
        <w:tc>
          <w:tcPr>
            <w:tcW w:w="211" w:type="dxa"/>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24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3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42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r>
      <w:tr>
        <w:tblPrEx>
          <w:tblCellMar>
            <w:top w:w="0" w:type="dxa"/>
            <w:left w:w="0" w:type="dxa"/>
            <w:bottom w:w="0" w:type="dxa"/>
            <w:right w:w="0" w:type="dxa"/>
          </w:tblCellMar>
        </w:tblPrEx>
        <w:trPr>
          <w:trHeight w:val="316" w:hRule="atLeast"/>
          <w:jc w:val="center"/>
        </w:trPr>
        <w:tc>
          <w:tcPr>
            <w:tcW w:w="2740"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Yes</w:t>
            </w:r>
          </w:p>
        </w:tc>
        <w:tc>
          <w:tcPr>
            <w:tcW w:w="211" w:type="dxa"/>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24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3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42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r>
      <w:tr>
        <w:tblPrEx>
          <w:tblCellMar>
            <w:top w:w="0" w:type="dxa"/>
            <w:left w:w="0" w:type="dxa"/>
            <w:bottom w:w="0" w:type="dxa"/>
            <w:right w:w="0" w:type="dxa"/>
          </w:tblCellMar>
        </w:tblPrEx>
        <w:trPr>
          <w:trHeight w:val="316" w:hRule="atLeast"/>
          <w:jc w:val="center"/>
        </w:trPr>
        <w:tc>
          <w:tcPr>
            <w:tcW w:w="2740"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b/>
                <w:color w:val="000000"/>
                <w:sz w:val="21"/>
                <w:szCs w:val="21"/>
              </w:rPr>
            </w:pPr>
            <w:r>
              <w:rPr>
                <w:rFonts w:hint="default" w:ascii="Arial" w:hAnsi="Arial" w:eastAsia="宋体" w:cs="Arial"/>
                <w:b/>
                <w:color w:val="000000"/>
                <w:kern w:val="0"/>
                <w:sz w:val="21"/>
                <w:szCs w:val="21"/>
                <w:lang w:bidi="ar"/>
              </w:rPr>
              <w:t>TNM</w:t>
            </w:r>
          </w:p>
        </w:tc>
        <w:tc>
          <w:tcPr>
            <w:tcW w:w="211" w:type="dxa"/>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2.072</w:t>
            </w:r>
          </w:p>
        </w:tc>
        <w:tc>
          <w:tcPr>
            <w:tcW w:w="12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1.276-3.364</w:t>
            </w:r>
          </w:p>
        </w:tc>
        <w:tc>
          <w:tcPr>
            <w:tcW w:w="83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b/>
                <w:color w:val="000000"/>
                <w:sz w:val="21"/>
                <w:szCs w:val="21"/>
              </w:rPr>
            </w:pPr>
            <w:r>
              <w:rPr>
                <w:rFonts w:hint="default" w:ascii="Arial" w:hAnsi="Arial" w:eastAsia="宋体" w:cs="Arial"/>
                <w:b/>
                <w:bCs/>
                <w:color w:val="000000"/>
                <w:kern w:val="0"/>
                <w:sz w:val="21"/>
                <w:szCs w:val="21"/>
                <w:lang w:bidi="ar"/>
              </w:rPr>
              <w:t>0.003</w:t>
            </w:r>
            <w:r>
              <w:rPr>
                <w:rFonts w:hint="default" w:ascii="Arial" w:hAnsi="Arial" w:eastAsia="宋体" w:cs="Arial"/>
                <w:b/>
                <w:bCs/>
                <w:color w:val="000000"/>
                <w:kern w:val="0"/>
                <w:sz w:val="21"/>
                <w:szCs w:val="21"/>
                <w:vertAlign w:val="superscript"/>
                <w:lang w:bidi="ar"/>
              </w:rPr>
              <w:t>**</w:t>
            </w: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1.756</w:t>
            </w:r>
          </w:p>
        </w:tc>
        <w:tc>
          <w:tcPr>
            <w:tcW w:w="142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1.062-2.902</w:t>
            </w:r>
          </w:p>
        </w:tc>
        <w:tc>
          <w:tcPr>
            <w:tcW w:w="86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b/>
                <w:bCs/>
                <w:color w:val="000000"/>
                <w:sz w:val="21"/>
                <w:szCs w:val="21"/>
              </w:rPr>
            </w:pPr>
            <w:r>
              <w:rPr>
                <w:rFonts w:hint="default" w:ascii="Arial" w:hAnsi="Arial" w:eastAsia="宋体" w:cs="Arial"/>
                <w:b/>
                <w:bCs/>
                <w:color w:val="000000"/>
                <w:kern w:val="0"/>
                <w:sz w:val="21"/>
                <w:szCs w:val="21"/>
                <w:lang w:bidi="ar"/>
              </w:rPr>
              <w:t>0.028</w:t>
            </w:r>
            <w:r>
              <w:rPr>
                <w:rFonts w:hint="default" w:ascii="Arial" w:hAnsi="Arial" w:eastAsia="宋体" w:cs="Arial"/>
                <w:b/>
                <w:bCs/>
                <w:color w:val="000000"/>
                <w:kern w:val="0"/>
                <w:sz w:val="21"/>
                <w:szCs w:val="21"/>
                <w:vertAlign w:val="superscript"/>
                <w:lang w:bidi="ar"/>
              </w:rPr>
              <w:t>*</w:t>
            </w:r>
          </w:p>
        </w:tc>
      </w:tr>
      <w:tr>
        <w:tblPrEx>
          <w:tblCellMar>
            <w:top w:w="0" w:type="dxa"/>
            <w:left w:w="0" w:type="dxa"/>
            <w:bottom w:w="0" w:type="dxa"/>
            <w:right w:w="0" w:type="dxa"/>
          </w:tblCellMar>
        </w:tblPrEx>
        <w:trPr>
          <w:trHeight w:val="501" w:hRule="atLeast"/>
          <w:jc w:val="center"/>
        </w:trPr>
        <w:tc>
          <w:tcPr>
            <w:tcW w:w="2740"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微软雅黑" w:cs="Arial"/>
                <w:color w:val="000000"/>
                <w:sz w:val="21"/>
                <w:szCs w:val="21"/>
              </w:rPr>
            </w:pPr>
            <w:r>
              <w:rPr>
                <w:rStyle w:val="9"/>
                <w:rFonts w:hint="default" w:ascii="Arial" w:hAnsi="Arial" w:cs="Arial"/>
                <w:sz w:val="21"/>
                <w:szCs w:val="21"/>
                <w:lang w:bidi="ar"/>
              </w:rPr>
              <w:t>Ⅰ</w:t>
            </w:r>
            <w:r>
              <w:rPr>
                <w:rStyle w:val="10"/>
                <w:rFonts w:hint="default" w:ascii="Arial" w:hAnsi="Arial" w:eastAsia="微软雅黑" w:cs="Arial"/>
                <w:sz w:val="21"/>
                <w:szCs w:val="21"/>
                <w:lang w:bidi="ar"/>
              </w:rPr>
              <w:t>-</w:t>
            </w:r>
            <w:r>
              <w:rPr>
                <w:rStyle w:val="9"/>
                <w:rFonts w:hint="default" w:ascii="Arial" w:hAnsi="Arial" w:cs="Arial"/>
                <w:sz w:val="21"/>
                <w:szCs w:val="21"/>
                <w:lang w:bidi="ar"/>
              </w:rPr>
              <w:t>Ⅱ</w:t>
            </w:r>
          </w:p>
        </w:tc>
        <w:tc>
          <w:tcPr>
            <w:tcW w:w="211" w:type="dxa"/>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24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3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42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r>
      <w:tr>
        <w:tblPrEx>
          <w:tblCellMar>
            <w:top w:w="0" w:type="dxa"/>
            <w:left w:w="0" w:type="dxa"/>
            <w:bottom w:w="0" w:type="dxa"/>
            <w:right w:w="0" w:type="dxa"/>
          </w:tblCellMar>
        </w:tblPrEx>
        <w:trPr>
          <w:trHeight w:val="443" w:hRule="atLeast"/>
          <w:jc w:val="center"/>
        </w:trPr>
        <w:tc>
          <w:tcPr>
            <w:tcW w:w="2740"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color w:val="000000"/>
                <w:sz w:val="21"/>
                <w:szCs w:val="21"/>
              </w:rPr>
            </w:pPr>
            <w:r>
              <w:rPr>
                <w:rStyle w:val="9"/>
                <w:rFonts w:hint="default" w:ascii="Arial" w:hAnsi="Arial" w:cs="Arial"/>
                <w:sz w:val="21"/>
                <w:szCs w:val="21"/>
                <w:lang w:bidi="ar"/>
              </w:rPr>
              <w:t>Ⅲ</w:t>
            </w:r>
            <w:r>
              <w:rPr>
                <w:rStyle w:val="10"/>
                <w:rFonts w:hint="default" w:ascii="Arial" w:hAnsi="Arial" w:eastAsia="宋体" w:cs="Arial"/>
                <w:sz w:val="21"/>
                <w:szCs w:val="21"/>
                <w:lang w:bidi="ar"/>
              </w:rPr>
              <w:t>-</w:t>
            </w:r>
            <w:r>
              <w:rPr>
                <w:rStyle w:val="9"/>
                <w:rFonts w:hint="default" w:ascii="Arial" w:hAnsi="Arial" w:cs="Arial"/>
                <w:sz w:val="21"/>
                <w:szCs w:val="21"/>
                <w:lang w:bidi="ar"/>
              </w:rPr>
              <w:t>Ⅳ</w:t>
            </w:r>
          </w:p>
        </w:tc>
        <w:tc>
          <w:tcPr>
            <w:tcW w:w="211" w:type="dxa"/>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24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3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42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r>
      <w:tr>
        <w:tblPrEx>
          <w:tblCellMar>
            <w:top w:w="0" w:type="dxa"/>
            <w:left w:w="0" w:type="dxa"/>
            <w:bottom w:w="0" w:type="dxa"/>
            <w:right w:w="0" w:type="dxa"/>
          </w:tblCellMar>
        </w:tblPrEx>
        <w:trPr>
          <w:trHeight w:val="316" w:hRule="atLeast"/>
          <w:jc w:val="center"/>
        </w:trPr>
        <w:tc>
          <w:tcPr>
            <w:tcW w:w="2740"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b/>
                <w:color w:val="000000"/>
                <w:sz w:val="21"/>
                <w:szCs w:val="21"/>
              </w:rPr>
            </w:pPr>
            <w:r>
              <w:rPr>
                <w:rFonts w:hint="default" w:ascii="Arial" w:hAnsi="Arial" w:eastAsia="宋体" w:cs="Arial"/>
                <w:b/>
                <w:color w:val="000000"/>
                <w:kern w:val="0"/>
                <w:sz w:val="21"/>
                <w:szCs w:val="21"/>
                <w:lang w:bidi="ar"/>
              </w:rPr>
              <w:t>GFAP expression</w:t>
            </w:r>
          </w:p>
        </w:tc>
        <w:tc>
          <w:tcPr>
            <w:tcW w:w="211" w:type="dxa"/>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1.873</w:t>
            </w:r>
          </w:p>
        </w:tc>
        <w:tc>
          <w:tcPr>
            <w:tcW w:w="12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1.147-3.057</w:t>
            </w:r>
          </w:p>
        </w:tc>
        <w:tc>
          <w:tcPr>
            <w:tcW w:w="83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b/>
                <w:color w:val="000000"/>
                <w:sz w:val="21"/>
                <w:szCs w:val="21"/>
              </w:rPr>
            </w:pPr>
            <w:r>
              <w:rPr>
                <w:rFonts w:hint="default" w:ascii="Arial" w:hAnsi="Arial" w:eastAsia="宋体" w:cs="Arial"/>
                <w:b/>
                <w:bCs/>
                <w:color w:val="000000"/>
                <w:kern w:val="0"/>
                <w:sz w:val="21"/>
                <w:szCs w:val="21"/>
                <w:lang w:bidi="ar"/>
              </w:rPr>
              <w:t>0.012</w:t>
            </w:r>
            <w:r>
              <w:rPr>
                <w:rFonts w:hint="default" w:ascii="Arial" w:hAnsi="Arial" w:eastAsia="宋体" w:cs="Arial"/>
                <w:b/>
                <w:bCs/>
                <w:color w:val="000000"/>
                <w:kern w:val="0"/>
                <w:sz w:val="21"/>
                <w:szCs w:val="21"/>
                <w:vertAlign w:val="superscript"/>
                <w:lang w:bidi="ar"/>
              </w:rPr>
              <w:t>*</w:t>
            </w: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1.672</w:t>
            </w:r>
          </w:p>
        </w:tc>
        <w:tc>
          <w:tcPr>
            <w:tcW w:w="142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1.014-2.756</w:t>
            </w:r>
          </w:p>
        </w:tc>
        <w:tc>
          <w:tcPr>
            <w:tcW w:w="86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b/>
                <w:color w:val="000000"/>
                <w:sz w:val="21"/>
                <w:szCs w:val="21"/>
              </w:rPr>
            </w:pPr>
            <w:r>
              <w:rPr>
                <w:rFonts w:hint="default" w:ascii="Arial" w:hAnsi="Arial" w:eastAsia="宋体" w:cs="Arial"/>
                <w:b/>
                <w:bCs/>
                <w:color w:val="000000"/>
                <w:kern w:val="0"/>
                <w:sz w:val="21"/>
                <w:szCs w:val="21"/>
                <w:lang w:bidi="ar"/>
              </w:rPr>
              <w:t>0.044</w:t>
            </w:r>
            <w:r>
              <w:rPr>
                <w:rFonts w:hint="default" w:ascii="Arial" w:hAnsi="Arial" w:eastAsia="宋体" w:cs="Arial"/>
                <w:b/>
                <w:bCs/>
                <w:color w:val="000000"/>
                <w:kern w:val="0"/>
                <w:sz w:val="21"/>
                <w:szCs w:val="21"/>
                <w:vertAlign w:val="superscript"/>
                <w:lang w:bidi="ar"/>
              </w:rPr>
              <w:t>*</w:t>
            </w:r>
          </w:p>
        </w:tc>
      </w:tr>
      <w:tr>
        <w:tblPrEx>
          <w:tblCellMar>
            <w:top w:w="0" w:type="dxa"/>
            <w:left w:w="0" w:type="dxa"/>
            <w:bottom w:w="0" w:type="dxa"/>
            <w:right w:w="0" w:type="dxa"/>
          </w:tblCellMar>
        </w:tblPrEx>
        <w:trPr>
          <w:trHeight w:val="316" w:hRule="atLeast"/>
          <w:jc w:val="center"/>
        </w:trPr>
        <w:tc>
          <w:tcPr>
            <w:tcW w:w="2740"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Low</w:t>
            </w:r>
          </w:p>
        </w:tc>
        <w:tc>
          <w:tcPr>
            <w:tcW w:w="211" w:type="dxa"/>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24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3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42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r>
      <w:tr>
        <w:tblPrEx>
          <w:tblCellMar>
            <w:top w:w="0" w:type="dxa"/>
            <w:left w:w="0" w:type="dxa"/>
            <w:bottom w:w="0" w:type="dxa"/>
            <w:right w:w="0" w:type="dxa"/>
          </w:tblCellMar>
        </w:tblPrEx>
        <w:trPr>
          <w:trHeight w:val="316" w:hRule="atLeast"/>
          <w:jc w:val="center"/>
        </w:trPr>
        <w:tc>
          <w:tcPr>
            <w:tcW w:w="2740"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High</w:t>
            </w:r>
          </w:p>
        </w:tc>
        <w:tc>
          <w:tcPr>
            <w:tcW w:w="211" w:type="dxa"/>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24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3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42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r>
      <w:tr>
        <w:tblPrEx>
          <w:tblCellMar>
            <w:top w:w="0" w:type="dxa"/>
            <w:left w:w="0" w:type="dxa"/>
            <w:bottom w:w="0" w:type="dxa"/>
            <w:right w:w="0" w:type="dxa"/>
          </w:tblCellMar>
        </w:tblPrEx>
        <w:trPr>
          <w:trHeight w:val="316" w:hRule="atLeast"/>
          <w:jc w:val="center"/>
        </w:trPr>
        <w:tc>
          <w:tcPr>
            <w:tcW w:w="2740"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b/>
                <w:color w:val="000000"/>
                <w:sz w:val="21"/>
                <w:szCs w:val="21"/>
              </w:rPr>
            </w:pPr>
            <w:r>
              <w:rPr>
                <w:rFonts w:hint="default" w:ascii="Arial" w:hAnsi="Arial" w:eastAsia="宋体" w:cs="Arial"/>
                <w:b/>
                <w:color w:val="000000"/>
                <w:kern w:val="0"/>
                <w:sz w:val="21"/>
                <w:szCs w:val="21"/>
                <w:lang w:bidi="ar"/>
              </w:rPr>
              <w:t>CD68 expression</w:t>
            </w:r>
          </w:p>
        </w:tc>
        <w:tc>
          <w:tcPr>
            <w:tcW w:w="211" w:type="dxa"/>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1.959</w:t>
            </w:r>
          </w:p>
        </w:tc>
        <w:tc>
          <w:tcPr>
            <w:tcW w:w="12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1.214-3.162</w:t>
            </w:r>
          </w:p>
        </w:tc>
        <w:tc>
          <w:tcPr>
            <w:tcW w:w="83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b/>
                <w:color w:val="000000"/>
                <w:sz w:val="21"/>
                <w:szCs w:val="21"/>
              </w:rPr>
            </w:pPr>
            <w:r>
              <w:rPr>
                <w:rFonts w:hint="default" w:ascii="Arial" w:hAnsi="Arial" w:eastAsia="宋体" w:cs="Arial"/>
                <w:b/>
                <w:bCs/>
                <w:color w:val="000000"/>
                <w:kern w:val="0"/>
                <w:sz w:val="21"/>
                <w:szCs w:val="21"/>
                <w:lang w:bidi="ar"/>
              </w:rPr>
              <w:t>0.006</w:t>
            </w:r>
            <w:r>
              <w:rPr>
                <w:rFonts w:hint="default" w:ascii="Arial" w:hAnsi="Arial" w:eastAsia="宋体" w:cs="Arial"/>
                <w:b/>
                <w:bCs/>
                <w:color w:val="000000"/>
                <w:kern w:val="0"/>
                <w:sz w:val="21"/>
                <w:szCs w:val="21"/>
                <w:vertAlign w:val="superscript"/>
                <w:lang w:bidi="ar"/>
              </w:rPr>
              <w:t>**</w:t>
            </w: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p>
        </w:tc>
        <w:tc>
          <w:tcPr>
            <w:tcW w:w="142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color w:val="000000"/>
                <w:sz w:val="21"/>
                <w:szCs w:val="21"/>
              </w:rPr>
            </w:pPr>
          </w:p>
        </w:tc>
        <w:tc>
          <w:tcPr>
            <w:tcW w:w="86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hint="default" w:ascii="Arial" w:hAnsi="Arial" w:eastAsia="宋体" w:cs="Arial"/>
                <w:b/>
                <w:color w:val="000000"/>
                <w:sz w:val="21"/>
                <w:szCs w:val="21"/>
              </w:rPr>
            </w:pPr>
          </w:p>
        </w:tc>
      </w:tr>
      <w:tr>
        <w:tblPrEx>
          <w:tblCellMar>
            <w:top w:w="0" w:type="dxa"/>
            <w:left w:w="0" w:type="dxa"/>
            <w:bottom w:w="0" w:type="dxa"/>
            <w:right w:w="0" w:type="dxa"/>
          </w:tblCellMar>
        </w:tblPrEx>
        <w:trPr>
          <w:trHeight w:val="316" w:hRule="atLeast"/>
          <w:jc w:val="center"/>
        </w:trPr>
        <w:tc>
          <w:tcPr>
            <w:tcW w:w="2740"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Low</w:t>
            </w:r>
          </w:p>
        </w:tc>
        <w:tc>
          <w:tcPr>
            <w:tcW w:w="211" w:type="dxa"/>
            <w:tcBorders>
              <w:top w:val="nil"/>
              <w:left w:val="nil"/>
              <w:bottom w:val="nil"/>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24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3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5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6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142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c>
          <w:tcPr>
            <w:tcW w:w="86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Arial" w:hAnsi="Arial" w:eastAsia="宋体" w:cs="Arial"/>
                <w:color w:val="000000"/>
                <w:sz w:val="21"/>
                <w:szCs w:val="21"/>
              </w:rPr>
            </w:pPr>
          </w:p>
        </w:tc>
      </w:tr>
      <w:tr>
        <w:tblPrEx>
          <w:tblCellMar>
            <w:top w:w="0" w:type="dxa"/>
            <w:left w:w="0" w:type="dxa"/>
            <w:bottom w:w="0" w:type="dxa"/>
            <w:right w:w="0" w:type="dxa"/>
          </w:tblCellMar>
        </w:tblPrEx>
        <w:trPr>
          <w:trHeight w:val="335" w:hRule="atLeast"/>
          <w:jc w:val="center"/>
        </w:trPr>
        <w:tc>
          <w:tcPr>
            <w:tcW w:w="2740" w:type="dxa"/>
            <w:tcBorders>
              <w:top w:val="nil"/>
              <w:left w:val="nil"/>
              <w:bottom w:val="single" w:color="auto" w:sz="4" w:space="0"/>
              <w:right w:val="nil"/>
            </w:tcBorders>
            <w:shd w:val="clear" w:color="auto" w:fill="auto"/>
            <w:noWrap/>
            <w:tcMar>
              <w:top w:w="12" w:type="dxa"/>
              <w:left w:w="12" w:type="dxa"/>
              <w:right w:w="12" w:type="dxa"/>
            </w:tcMar>
            <w:vAlign w:val="center"/>
          </w:tcPr>
          <w:p>
            <w:pPr>
              <w:widowControl/>
              <w:jc w:val="left"/>
              <w:textAlignment w:val="center"/>
              <w:rPr>
                <w:rFonts w:hint="default" w:ascii="Arial" w:hAnsi="Arial" w:eastAsia="宋体" w:cs="Arial"/>
                <w:color w:val="000000"/>
                <w:sz w:val="21"/>
                <w:szCs w:val="21"/>
              </w:rPr>
            </w:pPr>
            <w:r>
              <w:rPr>
                <w:rFonts w:hint="default" w:ascii="Arial" w:hAnsi="Arial" w:eastAsia="宋体" w:cs="Arial"/>
                <w:color w:val="000000"/>
                <w:kern w:val="0"/>
                <w:sz w:val="21"/>
                <w:szCs w:val="21"/>
                <w:lang w:bidi="ar"/>
              </w:rPr>
              <w:t>High</w:t>
            </w:r>
          </w:p>
        </w:tc>
        <w:tc>
          <w:tcPr>
            <w:tcW w:w="211" w:type="dxa"/>
            <w:tcBorders>
              <w:top w:val="nil"/>
              <w:left w:val="nil"/>
              <w:bottom w:val="single" w:color="auto" w:sz="4" w:space="0"/>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782" w:type="dxa"/>
            <w:tcBorders>
              <w:top w:val="nil"/>
              <w:left w:val="nil"/>
              <w:bottom w:val="single" w:color="auto" w:sz="4" w:space="0"/>
              <w:right w:val="nil"/>
            </w:tcBorders>
            <w:shd w:val="clear" w:color="auto" w:fill="auto"/>
            <w:noWrap/>
            <w:tcMar>
              <w:top w:w="12" w:type="dxa"/>
              <w:left w:w="12" w:type="dxa"/>
              <w:right w:w="12" w:type="dxa"/>
            </w:tcMar>
            <w:vAlign w:val="center"/>
          </w:tcPr>
          <w:p>
            <w:pPr>
              <w:jc w:val="left"/>
              <w:rPr>
                <w:rFonts w:hint="default" w:ascii="Arial" w:hAnsi="Arial" w:eastAsia="宋体" w:cs="Arial"/>
                <w:color w:val="000000"/>
                <w:sz w:val="21"/>
                <w:szCs w:val="21"/>
              </w:rPr>
            </w:pPr>
          </w:p>
        </w:tc>
        <w:tc>
          <w:tcPr>
            <w:tcW w:w="1242" w:type="dxa"/>
            <w:tcBorders>
              <w:top w:val="nil"/>
              <w:left w:val="nil"/>
              <w:bottom w:val="single" w:color="auto" w:sz="4" w:space="0"/>
              <w:right w:val="nil"/>
            </w:tcBorders>
            <w:shd w:val="clear" w:color="auto" w:fill="auto"/>
            <w:noWrap/>
            <w:tcMar>
              <w:top w:w="12" w:type="dxa"/>
              <w:left w:w="12" w:type="dxa"/>
              <w:right w:w="12" w:type="dxa"/>
            </w:tcMar>
            <w:vAlign w:val="center"/>
          </w:tcPr>
          <w:p>
            <w:pPr>
              <w:jc w:val="left"/>
              <w:rPr>
                <w:rFonts w:hint="default" w:ascii="Arial" w:hAnsi="Arial" w:eastAsia="宋体" w:cs="Arial"/>
                <w:color w:val="000000"/>
                <w:sz w:val="21"/>
                <w:szCs w:val="21"/>
              </w:rPr>
            </w:pPr>
          </w:p>
        </w:tc>
        <w:tc>
          <w:tcPr>
            <w:tcW w:w="836" w:type="dxa"/>
            <w:tcBorders>
              <w:top w:val="nil"/>
              <w:left w:val="nil"/>
              <w:bottom w:val="single" w:color="auto" w:sz="4" w:space="0"/>
              <w:right w:val="nil"/>
            </w:tcBorders>
            <w:shd w:val="clear" w:color="auto" w:fill="auto"/>
            <w:noWrap/>
            <w:tcMar>
              <w:top w:w="12" w:type="dxa"/>
              <w:left w:w="12" w:type="dxa"/>
              <w:right w:w="12" w:type="dxa"/>
            </w:tcMar>
            <w:vAlign w:val="center"/>
          </w:tcPr>
          <w:p>
            <w:pPr>
              <w:jc w:val="left"/>
              <w:rPr>
                <w:rFonts w:hint="default" w:ascii="Arial" w:hAnsi="Arial" w:eastAsia="宋体" w:cs="Arial"/>
                <w:color w:val="000000"/>
                <w:sz w:val="21"/>
                <w:szCs w:val="21"/>
              </w:rPr>
            </w:pPr>
          </w:p>
        </w:tc>
        <w:tc>
          <w:tcPr>
            <w:tcW w:w="851" w:type="dxa"/>
            <w:tcBorders>
              <w:top w:val="nil"/>
              <w:left w:val="nil"/>
              <w:bottom w:val="single" w:color="auto" w:sz="4" w:space="0"/>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664" w:type="dxa"/>
            <w:tcBorders>
              <w:top w:val="nil"/>
              <w:left w:val="nil"/>
              <w:bottom w:val="single" w:color="auto" w:sz="4" w:space="0"/>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1427" w:type="dxa"/>
            <w:tcBorders>
              <w:top w:val="nil"/>
              <w:left w:val="nil"/>
              <w:bottom w:val="single" w:color="auto" w:sz="4" w:space="0"/>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c>
          <w:tcPr>
            <w:tcW w:w="864" w:type="dxa"/>
            <w:tcBorders>
              <w:top w:val="nil"/>
              <w:left w:val="nil"/>
              <w:bottom w:val="single" w:color="auto" w:sz="4" w:space="0"/>
              <w:right w:val="nil"/>
            </w:tcBorders>
            <w:shd w:val="clear" w:color="auto" w:fill="auto"/>
            <w:noWrap/>
            <w:tcMar>
              <w:top w:w="12" w:type="dxa"/>
              <w:left w:w="12" w:type="dxa"/>
              <w:right w:w="12" w:type="dxa"/>
            </w:tcMar>
            <w:vAlign w:val="center"/>
          </w:tcPr>
          <w:p>
            <w:pPr>
              <w:rPr>
                <w:rFonts w:hint="default" w:ascii="Arial" w:hAnsi="Arial" w:eastAsia="宋体" w:cs="Arial"/>
                <w:color w:val="000000"/>
                <w:sz w:val="21"/>
                <w:szCs w:val="21"/>
              </w:rPr>
            </w:pPr>
          </w:p>
        </w:tc>
      </w:tr>
    </w:tbl>
    <w:p>
      <w:pPr>
        <w:spacing w:line="240" w:lineRule="auto"/>
        <w:ind w:left="0" w:leftChars="0"/>
        <w:jc w:val="left"/>
        <w:rPr>
          <w:rFonts w:hint="eastAsia" w:ascii="Arial" w:hAnsi="Arial" w:cs="Arial"/>
          <w:b w:val="0"/>
          <w:bCs/>
          <w:sz w:val="21"/>
          <w:szCs w:val="21"/>
          <w:lang w:val="en-US" w:eastAsia="zh-CN"/>
        </w:rPr>
      </w:pPr>
      <w:r>
        <w:rPr>
          <w:rFonts w:hint="default" w:ascii="Arial" w:hAnsi="Arial" w:cs="Arial"/>
          <w:b/>
        </w:rPr>
        <w:t xml:space="preserve">Supplementary Table </w:t>
      </w:r>
      <w:r>
        <w:rPr>
          <w:rFonts w:hint="eastAsia" w:ascii="Arial" w:hAnsi="Arial" w:cs="Arial"/>
          <w:b/>
          <w:lang w:val="en-US" w:eastAsia="zh-CN"/>
        </w:rPr>
        <w:t>2</w:t>
      </w:r>
      <w:r>
        <w:rPr>
          <w:rFonts w:hint="default" w:ascii="Arial" w:hAnsi="Arial" w:cs="Arial"/>
          <w:b/>
          <w:sz w:val="21"/>
          <w:szCs w:val="21"/>
        </w:rPr>
        <w:t xml:space="preserve">. </w:t>
      </w:r>
      <w:r>
        <w:rPr>
          <w:rFonts w:hint="default" w:ascii="Arial" w:hAnsi="Arial" w:cs="Arial"/>
          <w:b w:val="0"/>
          <w:bCs/>
          <w:sz w:val="20"/>
          <w:szCs w:val="20"/>
        </w:rPr>
        <w:t xml:space="preserve">Univariate and multivariate analysis of Overall Survival (OS) </w:t>
      </w:r>
      <w:r>
        <w:rPr>
          <w:rFonts w:hint="eastAsia" w:ascii="Arial" w:hAnsi="Arial" w:cs="Arial"/>
          <w:b w:val="0"/>
          <w:bCs/>
          <w:sz w:val="20"/>
          <w:szCs w:val="20"/>
          <w:lang w:val="en-US" w:eastAsia="zh-CN"/>
        </w:rPr>
        <w:t xml:space="preserve">in </w:t>
      </w:r>
      <w:r>
        <w:rPr>
          <w:rFonts w:hint="default" w:ascii="Arial" w:hAnsi="Arial" w:cs="Arial"/>
          <w:b w:val="0"/>
          <w:bCs/>
          <w:sz w:val="20"/>
          <w:szCs w:val="20"/>
        </w:rPr>
        <w:t>PDACs</w:t>
      </w:r>
      <w:r>
        <w:rPr>
          <w:rFonts w:hint="eastAsia" w:ascii="Arial" w:hAnsi="Arial" w:cs="Arial"/>
          <w:b w:val="0"/>
          <w:bCs/>
          <w:sz w:val="20"/>
          <w:szCs w:val="20"/>
          <w:lang w:val="en-US" w:eastAsia="zh-CN"/>
        </w:rPr>
        <w:t xml:space="preserve"> patients</w:t>
      </w:r>
      <w:r>
        <w:rPr>
          <w:rFonts w:hint="default" w:ascii="Arial" w:hAnsi="Arial" w:cs="Arial"/>
          <w:b w:val="0"/>
          <w:bCs/>
          <w:sz w:val="20"/>
          <w:szCs w:val="20"/>
        </w:rPr>
        <w:t>.</w:t>
      </w:r>
    </w:p>
    <w:p>
      <w:pPr>
        <w:spacing w:line="360" w:lineRule="auto"/>
        <w:ind w:left="-485" w:leftChars="-202"/>
        <w:jc w:val="left"/>
        <w:rPr>
          <w:rFonts w:hint="default" w:ascii="Arial" w:hAnsi="Arial" w:cs="Arial"/>
          <w:b w:val="0"/>
          <w:bCs/>
          <w:sz w:val="21"/>
          <w:szCs w:val="21"/>
        </w:rPr>
      </w:pPr>
      <w:r>
        <w:rPr>
          <w:rFonts w:hint="default" w:ascii="Arial" w:hAnsi="Arial" w:cs="Arial"/>
          <w:sz w:val="21"/>
          <w:szCs w:val="21"/>
        </w:rPr>
        <w:t xml:space="preserve">Abbreviations: HR = hazard ratio; 95%CI =95% confidence interval; Cox regression analysis, </w:t>
      </w:r>
      <w:r>
        <w:rPr>
          <w:rFonts w:hint="default" w:ascii="Arial" w:hAnsi="Arial" w:eastAsia="等线" w:cs="Arial"/>
          <w:color w:val="000000"/>
          <w:kern w:val="0"/>
          <w:sz w:val="21"/>
          <w:szCs w:val="21"/>
          <w:vertAlign w:val="superscript"/>
        </w:rPr>
        <w:t xml:space="preserve">* </w:t>
      </w:r>
      <w:r>
        <w:rPr>
          <w:rFonts w:hint="default" w:ascii="Arial" w:hAnsi="Arial" w:cs="Arial"/>
          <w:sz w:val="21"/>
          <w:szCs w:val="21"/>
        </w:rPr>
        <w:t xml:space="preserve">P&lt;0.05, </w:t>
      </w:r>
      <w:r>
        <w:rPr>
          <w:rFonts w:hint="default" w:ascii="Arial" w:hAnsi="Arial" w:eastAsia="等线" w:cs="Arial"/>
          <w:color w:val="000000"/>
          <w:kern w:val="0"/>
          <w:sz w:val="21"/>
          <w:szCs w:val="21"/>
          <w:vertAlign w:val="superscript"/>
        </w:rPr>
        <w:t>**</w:t>
      </w:r>
      <w:r>
        <w:rPr>
          <w:rFonts w:hint="default" w:ascii="Arial" w:hAnsi="Arial" w:cs="Arial"/>
          <w:sz w:val="21"/>
          <w:szCs w:val="21"/>
        </w:rPr>
        <w:t xml:space="preserve"> P&lt;0.01.</w:t>
      </w:r>
    </w:p>
    <w:p>
      <w:pPr>
        <w:spacing w:line="360" w:lineRule="auto"/>
        <w:jc w:val="both"/>
        <w:rPr>
          <w:rFonts w:hint="default" w:ascii="Arial" w:hAnsi="Arial" w:cs="Arial"/>
          <w:b/>
        </w:rPr>
      </w:pPr>
      <w:r>
        <w:rPr>
          <w:rFonts w:hint="default" w:ascii="Arial" w:hAnsi="Arial" w:cs="Arial"/>
          <w:b/>
        </w:rPr>
        <w:br w:type="page"/>
      </w:r>
    </w:p>
    <w:p>
      <w:pPr>
        <w:spacing w:line="360" w:lineRule="auto"/>
        <w:jc w:val="both"/>
        <w:rPr>
          <w:rFonts w:hint="default" w:ascii="Arial" w:hAnsi="Arial" w:cs="Arial"/>
          <w:color w:val="000000"/>
          <w:sz w:val="20"/>
          <w:lang w:val="en-US" w:eastAsia="zh-CN"/>
        </w:rPr>
      </w:pPr>
      <w:r>
        <w:rPr>
          <w:rFonts w:hint="default" w:ascii="Arial" w:hAnsi="Arial" w:cs="Arial"/>
          <w:b/>
        </w:rPr>
        <w:t xml:space="preserve">Supplementary Table </w:t>
      </w:r>
      <w:r>
        <w:rPr>
          <w:rFonts w:hint="eastAsia" w:ascii="Arial" w:hAnsi="Arial" w:cs="Arial"/>
          <w:b/>
          <w:lang w:val="en-US" w:eastAsia="zh-CN"/>
        </w:rPr>
        <w:t>3</w:t>
      </w:r>
      <w:r>
        <w:rPr>
          <w:rFonts w:hint="default" w:ascii="Arial" w:hAnsi="Arial" w:cs="Arial"/>
          <w:b/>
        </w:rPr>
        <w:t>.</w:t>
      </w:r>
      <w:r>
        <w:rPr>
          <w:rFonts w:hint="default" w:ascii="Arial" w:hAnsi="Arial" w:cs="Arial"/>
        </w:rPr>
        <w:t xml:space="preserve"> </w:t>
      </w:r>
      <w:r>
        <w:rPr>
          <w:rFonts w:hint="default" w:ascii="Arial" w:hAnsi="Arial" w:cs="Arial"/>
          <w:color w:val="000000"/>
          <w:sz w:val="20"/>
        </w:rPr>
        <w:t xml:space="preserve">Primary and secondary antibodies </w:t>
      </w:r>
      <w:r>
        <w:rPr>
          <w:rFonts w:hint="default" w:ascii="Arial" w:hAnsi="Arial" w:cs="Arial"/>
          <w:color w:val="000000"/>
          <w:sz w:val="20"/>
          <w:lang w:val="en-US" w:eastAsia="zh-CN"/>
        </w:rPr>
        <w:t>and b</w:t>
      </w:r>
      <w:r>
        <w:rPr>
          <w:rFonts w:hint="default" w:ascii="Arial" w:hAnsi="Arial" w:cs="Arial"/>
          <w:color w:val="000000"/>
          <w:sz w:val="20"/>
        </w:rPr>
        <w:t xml:space="preserve">iological </w:t>
      </w:r>
      <w:r>
        <w:rPr>
          <w:rFonts w:hint="default" w:ascii="Arial" w:hAnsi="Arial" w:cs="Arial"/>
          <w:color w:val="000000"/>
          <w:sz w:val="20"/>
          <w:lang w:val="en-US" w:eastAsia="zh-CN"/>
        </w:rPr>
        <w:t>s</w:t>
      </w:r>
      <w:r>
        <w:rPr>
          <w:rFonts w:hint="default" w:ascii="Arial" w:hAnsi="Arial" w:cs="Arial"/>
          <w:color w:val="000000"/>
          <w:sz w:val="20"/>
        </w:rPr>
        <w:t>amples</w:t>
      </w:r>
    </w:p>
    <w:tbl>
      <w:tblPr>
        <w:tblStyle w:val="6"/>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2"/>
        <w:gridCol w:w="3402"/>
        <w:gridCol w:w="2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REAGENT or RESOURCE</w:t>
            </w: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SOURCE</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IDENTIFIER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7" w:type="dxa"/>
            <w:gridSpan w:val="3"/>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Antibodies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sz w:val="21"/>
                <w:szCs w:val="21"/>
              </w:rPr>
              <w:t>CD68</w:t>
            </w: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abcam</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ab955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000000"/>
                <w:sz w:val="21"/>
                <w:szCs w:val="21"/>
              </w:rPr>
            </w:pP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Cell Signaling Technology, CST</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#76437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sz w:val="21"/>
                <w:szCs w:val="21"/>
              </w:rPr>
              <w:t>S100</w:t>
            </w: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abcam</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ab4066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000000"/>
                <w:sz w:val="21"/>
                <w:szCs w:val="21"/>
              </w:rPr>
            </w:pPr>
          </w:p>
        </w:tc>
        <w:tc>
          <w:tcPr>
            <w:tcW w:w="3402" w:type="dxa"/>
          </w:tcPr>
          <w:p>
            <w:pPr>
              <w:autoSpaceDE w:val="0"/>
              <w:autoSpaceDN w:val="0"/>
              <w:adjustRightInd w:val="0"/>
              <w:spacing w:after="240" w:line="280" w:lineRule="atLeast"/>
              <w:rPr>
                <w:rFonts w:hint="default" w:ascii="Arial" w:hAnsi="Arial" w:eastAsia="等线" w:cs="Arial"/>
                <w:b/>
                <w:color w:val="000000"/>
                <w:sz w:val="21"/>
                <w:szCs w:val="21"/>
              </w:rPr>
            </w:pPr>
            <w:r>
              <w:rPr>
                <w:rFonts w:hint="default" w:ascii="Arial" w:hAnsi="Arial" w:eastAsia="等线" w:cs="Arial"/>
                <w:color w:val="000000"/>
                <w:sz w:val="21"/>
                <w:szCs w:val="21"/>
              </w:rPr>
              <w:t>abcam</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ab52642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S100P</w:t>
            </w: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Sigma-Aldrich</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SAB1404352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sz w:val="21"/>
                <w:szCs w:val="21"/>
              </w:rPr>
            </w:pPr>
            <w:r>
              <w:rPr>
                <w:rFonts w:hint="default" w:ascii="Arial" w:hAnsi="Arial" w:eastAsia="等线" w:cs="Arial"/>
                <w:sz w:val="21"/>
                <w:szCs w:val="21"/>
              </w:rPr>
              <w:t>S100A16</w:t>
            </w:r>
          </w:p>
        </w:tc>
        <w:tc>
          <w:tcPr>
            <w:tcW w:w="3402" w:type="dxa"/>
          </w:tcPr>
          <w:p>
            <w:pPr>
              <w:autoSpaceDE w:val="0"/>
              <w:autoSpaceDN w:val="0"/>
              <w:adjustRightInd w:val="0"/>
              <w:spacing w:after="240" w:line="280" w:lineRule="atLeast"/>
              <w:rPr>
                <w:rFonts w:hint="default" w:ascii="Arial" w:hAnsi="Arial" w:eastAsia="等线" w:cs="Arial"/>
                <w:sz w:val="21"/>
                <w:szCs w:val="21"/>
              </w:rPr>
            </w:pPr>
            <w:r>
              <w:rPr>
                <w:rFonts w:hint="default" w:ascii="Arial" w:hAnsi="Arial" w:eastAsia="等线" w:cs="Arial"/>
                <w:sz w:val="21"/>
                <w:szCs w:val="21"/>
              </w:rPr>
              <w:t>ATLAS ANTIBODIES</w:t>
            </w:r>
          </w:p>
        </w:tc>
        <w:tc>
          <w:tcPr>
            <w:tcW w:w="2693" w:type="dxa"/>
          </w:tcPr>
          <w:p>
            <w:pPr>
              <w:tabs>
                <w:tab w:val="left" w:pos="1044"/>
              </w:tabs>
              <w:autoSpaceDE w:val="0"/>
              <w:autoSpaceDN w:val="0"/>
              <w:adjustRightInd w:val="0"/>
              <w:spacing w:after="240" w:line="280" w:lineRule="atLeast"/>
              <w:rPr>
                <w:rFonts w:hint="default" w:ascii="Arial" w:hAnsi="Arial" w:eastAsia="等线" w:cs="Arial"/>
                <w:sz w:val="21"/>
                <w:szCs w:val="21"/>
              </w:rPr>
            </w:pPr>
            <w:r>
              <w:rPr>
                <w:rFonts w:hint="default" w:ascii="Arial" w:hAnsi="Arial" w:eastAsia="等线" w:cs="Arial"/>
                <w:sz w:val="21"/>
                <w:szCs w:val="21"/>
              </w:rPr>
              <w:t>HPA045841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sz w:val="21"/>
                <w:szCs w:val="21"/>
              </w:rPr>
              <w:t>GFAP</w:t>
            </w: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ABclonal</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A14673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000000"/>
                <w:sz w:val="21"/>
                <w:szCs w:val="21"/>
              </w:rPr>
            </w:pP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Sigma-Aldrich</w:t>
            </w:r>
          </w:p>
        </w:tc>
        <w:tc>
          <w:tcPr>
            <w:tcW w:w="2693" w:type="dxa"/>
          </w:tcPr>
          <w:p>
            <w:pPr>
              <w:autoSpaceDE w:val="0"/>
              <w:autoSpaceDN w:val="0"/>
              <w:adjustRightInd w:val="0"/>
              <w:spacing w:after="240" w:line="280" w:lineRule="atLeast"/>
              <w:rPr>
                <w:rFonts w:hint="default" w:ascii="Arial" w:hAnsi="Arial" w:eastAsia="等线" w:cs="Arial"/>
                <w:sz w:val="21"/>
                <w:szCs w:val="21"/>
              </w:rPr>
            </w:pPr>
            <w:r>
              <w:rPr>
                <w:rFonts w:hint="default" w:ascii="Arial" w:hAnsi="Arial" w:eastAsia="等线" w:cs="Arial"/>
                <w:sz w:val="21"/>
                <w:szCs w:val="21"/>
              </w:rPr>
              <w:t>MAB360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FF0000"/>
                <w:sz w:val="21"/>
                <w:szCs w:val="21"/>
              </w:rPr>
            </w:pP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abcam</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ab4674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FF0000"/>
                <w:sz w:val="21"/>
                <w:szCs w:val="21"/>
              </w:rPr>
            </w:pP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abcam</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ab53554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FF0000"/>
                <w:sz w:val="21"/>
                <w:szCs w:val="21"/>
              </w:rPr>
            </w:pPr>
            <w:r>
              <w:rPr>
                <w:rFonts w:hint="default" w:ascii="Arial" w:hAnsi="Arial" w:eastAsia="等线" w:cs="Arial"/>
                <w:color w:val="000000"/>
                <w:sz w:val="21"/>
                <w:szCs w:val="21"/>
              </w:rPr>
              <w:t>NGFR</w:t>
            </w: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abcam</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ab52987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L1CAM</w:t>
            </w: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abcam</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ab270455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NCAM</w:t>
            </w: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abcam</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Ab220360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Vimentin</w:t>
            </w: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Cell Signaling Technology, CST</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#5741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sz w:val="21"/>
                <w:szCs w:val="21"/>
              </w:rPr>
              <w:t>GAPDH</w:t>
            </w: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Beijing Ray Antibody Biotech</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RM2002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sz w:val="21"/>
                <w:szCs w:val="21"/>
              </w:rPr>
              <w:t>CK19</w:t>
            </w: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abcam</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ab7754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000000"/>
                <w:sz w:val="21"/>
                <w:szCs w:val="21"/>
              </w:rPr>
            </w:pP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abcam</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ab53119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eastAsia" w:ascii="Arial" w:hAnsi="Arial" w:eastAsia="等线" w:cs="Arial"/>
                <w:color w:val="FF0000"/>
                <w:sz w:val="21"/>
                <w:szCs w:val="21"/>
                <w:lang w:eastAsia="zh-CN"/>
              </w:rPr>
            </w:pPr>
            <w:r>
              <w:rPr>
                <w:rFonts w:hint="eastAsia" w:ascii="Arial" w:hAnsi="Arial" w:eastAsia="等线" w:cs="Arial"/>
                <w:sz w:val="21"/>
                <w:szCs w:val="21"/>
                <w:lang w:eastAsia="zh-CN"/>
              </w:rPr>
              <w:t>bFGF</w:t>
            </w: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abcam</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ab126763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PI3K</w:t>
            </w: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Cell Signaling Technology, CST</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#4249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AKT</w:t>
            </w: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Cell Signaling Technology, CST</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#4691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p-AKT</w:t>
            </w: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Cell Signaling Technology, CST</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#4060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sz w:val="21"/>
                <w:szCs w:val="21"/>
              </w:rPr>
            </w:pPr>
            <w:r>
              <w:rPr>
                <w:rFonts w:hint="default" w:ascii="Arial" w:hAnsi="Arial" w:eastAsia="等线" w:cs="Arial"/>
                <w:sz w:val="21"/>
                <w:szCs w:val="21"/>
              </w:rPr>
              <w:t>STAT3</w:t>
            </w: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Cell Signaling Technology, CST</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#9139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sz w:val="21"/>
                <w:szCs w:val="21"/>
              </w:rPr>
            </w:pPr>
            <w:r>
              <w:rPr>
                <w:rFonts w:hint="default" w:ascii="Arial" w:hAnsi="Arial" w:eastAsia="等线" w:cs="Arial"/>
                <w:sz w:val="21"/>
                <w:szCs w:val="21"/>
              </w:rPr>
              <w:t>p-STAT3</w:t>
            </w: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Cell Signaling Technology, CST</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#9145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p38</w:t>
            </w: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Cell Signaling Technology, CST</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#8690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ERK</w:t>
            </w: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Cell Signaling Technology, CST</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#4695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sz w:val="21"/>
                <w:szCs w:val="21"/>
              </w:rPr>
              <w:t>p-ERK</w:t>
            </w: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Cell Signaling Technology, CST</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#9101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sz w:val="21"/>
                <w:szCs w:val="21"/>
              </w:rPr>
              <w:t>Tubulin</w:t>
            </w: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Beijing Ray Antibody Biotech</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RM2003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sz w:val="21"/>
                <w:szCs w:val="21"/>
              </w:rPr>
              <w:t>Myc</w:t>
            </w: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abcam</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ab32072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bFGF</w:t>
            </w: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SANTA CRUZ BIOTECHNOLOGY</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sc-74412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000000"/>
                <w:sz w:val="21"/>
                <w:szCs w:val="21"/>
              </w:rPr>
            </w:pP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Cell Signaling Technology, CST</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#3196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7" w:type="dxa"/>
            <w:gridSpan w:val="3"/>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Biological Samples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PDAC patient specimen</w:t>
            </w: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Sun Yat-sen Memorial Hospital, Sun Yat-sen University</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Peripheral blood samples from healthy donors</w:t>
            </w:r>
          </w:p>
        </w:tc>
        <w:tc>
          <w:tcPr>
            <w:tcW w:w="3402"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Guangzhou Blood Center</w:t>
            </w:r>
          </w:p>
        </w:tc>
        <w:tc>
          <w:tcPr>
            <w:tcW w:w="2693" w:type="dxa"/>
          </w:tcPr>
          <w:p>
            <w:pPr>
              <w:autoSpaceDE w:val="0"/>
              <w:autoSpaceDN w:val="0"/>
              <w:adjustRightInd w:val="0"/>
              <w:spacing w:after="240" w:line="280" w:lineRule="atLeast"/>
              <w:rPr>
                <w:rFonts w:hint="default" w:ascii="Arial" w:hAnsi="Arial" w:eastAsia="等线" w:cs="Arial"/>
                <w:color w:val="000000"/>
                <w:sz w:val="21"/>
                <w:szCs w:val="21"/>
              </w:rPr>
            </w:pPr>
            <w:r>
              <w:rPr>
                <w:rFonts w:hint="default" w:ascii="Arial" w:hAnsi="Arial" w:eastAsia="等线" w:cs="Arial"/>
                <w:color w:val="000000"/>
                <w:sz w:val="21"/>
                <w:szCs w:val="21"/>
              </w:rPr>
              <w:t>N/A</w:t>
            </w:r>
          </w:p>
        </w:tc>
      </w:tr>
    </w:tbl>
    <w:p>
      <w:pPr>
        <w:rPr>
          <w:rFonts w:hint="default" w:ascii="Arial" w:hAnsi="Arial" w:cs="Arial"/>
        </w:rPr>
      </w:pPr>
    </w:p>
    <w:p>
      <w:pPr>
        <w:rPr>
          <w:rFonts w:hint="default" w:ascii="Arial" w:hAnsi="Arial" w:cs="Arial"/>
        </w:rPr>
      </w:pPr>
    </w:p>
    <w:p>
      <w:pPr>
        <w:rPr>
          <w:rFonts w:hint="default" w:ascii="Arial" w:hAnsi="Arial" w:cs="Arial"/>
        </w:rPr>
      </w:pPr>
      <w:r>
        <w:rPr>
          <w:rFonts w:hint="default" w:ascii="Arial" w:hAnsi="Arial" w:cs="Arial"/>
        </w:rPr>
        <w:br w:type="page"/>
      </w:r>
    </w:p>
    <w:p>
      <w:pPr>
        <w:rPr>
          <w:rFonts w:hint="default" w:ascii="Arial" w:hAnsi="Arial" w:cs="Arial"/>
          <w:color w:val="2E2E2E"/>
          <w:sz w:val="20"/>
          <w:szCs w:val="20"/>
        </w:rPr>
      </w:pPr>
      <w:r>
        <w:rPr>
          <w:rFonts w:hint="default" w:ascii="Arial" w:hAnsi="Arial" w:cs="Arial"/>
          <w:b/>
          <w:sz w:val="24"/>
          <w:szCs w:val="24"/>
        </w:rPr>
        <w:t xml:space="preserve">Supplementary Table </w:t>
      </w:r>
      <w:r>
        <w:rPr>
          <w:rFonts w:hint="eastAsia" w:ascii="Arial" w:hAnsi="Arial" w:cs="Arial"/>
          <w:b/>
          <w:sz w:val="24"/>
          <w:szCs w:val="24"/>
          <w:lang w:val="en-US" w:eastAsia="zh-CN"/>
        </w:rPr>
        <w:t>4</w:t>
      </w:r>
      <w:r>
        <w:rPr>
          <w:rFonts w:hint="default" w:ascii="Arial" w:hAnsi="Arial" w:eastAsia="Times New Roman" w:cs="Arial"/>
          <w:b/>
          <w:color w:val="2E2E2E"/>
          <w:sz w:val="24"/>
          <w:szCs w:val="24"/>
        </w:rPr>
        <w:t>.</w:t>
      </w:r>
      <w:r>
        <w:rPr>
          <w:rFonts w:hint="default" w:ascii="Arial" w:hAnsi="Arial" w:cs="Arial"/>
          <w:b/>
          <w:color w:val="2E2E2E"/>
          <w:sz w:val="24"/>
          <w:szCs w:val="24"/>
        </w:rPr>
        <w:t xml:space="preserve"> </w:t>
      </w:r>
      <w:r>
        <w:rPr>
          <w:rFonts w:hint="default" w:ascii="Arial" w:hAnsi="Arial" w:eastAsia="Times New Roman" w:cs="Arial"/>
          <w:color w:val="2E2E2E"/>
          <w:sz w:val="20"/>
          <w:szCs w:val="20"/>
        </w:rPr>
        <w:t xml:space="preserve">Primer </w:t>
      </w:r>
      <w:r>
        <w:rPr>
          <w:rFonts w:hint="default" w:ascii="Arial" w:hAnsi="Arial" w:cs="Arial"/>
          <w:color w:val="2E2E2E"/>
          <w:sz w:val="20"/>
          <w:szCs w:val="20"/>
        </w:rPr>
        <w:t>used to amplify the human transcripts during real-time quantitative PCR</w:t>
      </w:r>
      <w:r>
        <w:rPr>
          <w:rFonts w:hint="default" w:ascii="Arial" w:hAnsi="Arial" w:cs="Arial"/>
          <w:color w:val="2E2E2E"/>
          <w:sz w:val="20"/>
          <w:szCs w:val="20"/>
          <w:lang w:val="en-US" w:eastAsia="zh-CN"/>
        </w:rPr>
        <w:t xml:space="preserve"> and CHIP</w:t>
      </w:r>
      <w:r>
        <w:rPr>
          <w:rFonts w:hint="default" w:ascii="Arial" w:hAnsi="Arial" w:cs="Arial"/>
          <w:color w:val="2E2E2E"/>
          <w:sz w:val="20"/>
          <w:szCs w:val="20"/>
        </w:rPr>
        <w:t>.</w:t>
      </w:r>
    </w:p>
    <w:p>
      <w:pPr>
        <w:rPr>
          <w:rFonts w:hint="default" w:ascii="Arial" w:hAnsi="Arial" w:cs="Arial"/>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1"/>
        <w:gridCol w:w="3597"/>
        <w:gridCol w:w="3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8522" w:type="dxa"/>
            <w:gridSpan w:val="3"/>
          </w:tcPr>
          <w:p>
            <w:pPr>
              <w:rPr>
                <w:rFonts w:hint="default" w:ascii="Arial" w:hAnsi="Arial" w:eastAsia="宋体" w:cs="Arial"/>
                <w:sz w:val="21"/>
                <w:szCs w:val="21"/>
                <w:lang w:val="en-US" w:eastAsia="zh-CN"/>
              </w:rPr>
            </w:pPr>
            <w:r>
              <w:rPr>
                <w:rFonts w:hint="default" w:ascii="Arial" w:hAnsi="Arial" w:cs="Arial"/>
                <w:sz w:val="21"/>
                <w:szCs w:val="21"/>
              </w:rPr>
              <w:t>Primer</w:t>
            </w:r>
            <w:r>
              <w:rPr>
                <w:rFonts w:hint="default" w:ascii="Arial" w:hAnsi="Arial" w:cs="Arial"/>
                <w:sz w:val="21"/>
                <w:szCs w:val="21"/>
                <w:lang w:val="en-US" w:eastAsia="zh-CN"/>
              </w:rPr>
              <w:t xml:space="preserve"> table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311" w:type="dxa"/>
          </w:tcPr>
          <w:p>
            <w:pPr>
              <w:rPr>
                <w:rFonts w:hint="default" w:ascii="Arial" w:hAnsi="Arial" w:cs="Arial"/>
              </w:rPr>
            </w:pPr>
            <w:r>
              <w:rPr>
                <w:rFonts w:hint="default" w:ascii="Arial" w:hAnsi="Arial" w:cs="Arial"/>
                <w:color w:val="000000"/>
                <w:sz w:val="21"/>
                <w:szCs w:val="21"/>
              </w:rPr>
              <w:t>Gene</w:t>
            </w:r>
          </w:p>
        </w:tc>
        <w:tc>
          <w:tcPr>
            <w:tcW w:w="3597" w:type="dxa"/>
          </w:tcPr>
          <w:p>
            <w:pPr>
              <w:rPr>
                <w:rFonts w:hint="default" w:ascii="Arial" w:hAnsi="Arial" w:cs="Arial"/>
              </w:rPr>
            </w:pPr>
            <w:r>
              <w:rPr>
                <w:rFonts w:hint="default" w:ascii="Arial" w:hAnsi="Arial" w:cs="Arial"/>
                <w:color w:val="000000"/>
                <w:sz w:val="21"/>
                <w:szCs w:val="21"/>
              </w:rPr>
              <w:t>Forward primer</w:t>
            </w:r>
          </w:p>
        </w:tc>
        <w:tc>
          <w:tcPr>
            <w:tcW w:w="3614" w:type="dxa"/>
          </w:tcPr>
          <w:p>
            <w:pPr>
              <w:rPr>
                <w:rFonts w:hint="default" w:ascii="Arial" w:hAnsi="Arial" w:cs="Arial"/>
              </w:rPr>
            </w:pPr>
            <w:r>
              <w:rPr>
                <w:rFonts w:hint="default" w:ascii="Arial" w:hAnsi="Arial" w:cs="Arial"/>
                <w:color w:val="000000"/>
                <w:sz w:val="21"/>
                <w:szCs w:val="21"/>
              </w:rPr>
              <w:t>Reverse primer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311" w:type="dxa"/>
          </w:tcPr>
          <w:p>
            <w:pPr>
              <w:rPr>
                <w:rFonts w:hint="default" w:ascii="Arial" w:hAnsi="Arial" w:cs="Arial"/>
              </w:rPr>
            </w:pPr>
            <w:r>
              <w:rPr>
                <w:rFonts w:hint="default" w:ascii="Arial" w:hAnsi="Arial" w:cs="Arial"/>
                <w:color w:val="000000"/>
                <w:sz w:val="21"/>
                <w:szCs w:val="21"/>
              </w:rPr>
              <w:t>NGFR</w:t>
            </w:r>
          </w:p>
        </w:tc>
        <w:tc>
          <w:tcPr>
            <w:tcW w:w="3597" w:type="dxa"/>
          </w:tcPr>
          <w:p>
            <w:pPr>
              <w:rPr>
                <w:rFonts w:hint="default" w:ascii="Arial" w:hAnsi="Arial" w:cs="Arial"/>
              </w:rPr>
            </w:pPr>
            <w:r>
              <w:rPr>
                <w:rFonts w:hint="default" w:ascii="Arial" w:hAnsi="Arial" w:eastAsia="Times New Roman" w:cs="Arial"/>
                <w:color w:val="000000"/>
                <w:sz w:val="21"/>
                <w:szCs w:val="21"/>
                <w:shd w:val="clear" w:color="auto" w:fill="FFFFFF"/>
              </w:rPr>
              <w:t>CCTACGGCTACTACCAGGATG</w:t>
            </w:r>
          </w:p>
        </w:tc>
        <w:tc>
          <w:tcPr>
            <w:tcW w:w="3614" w:type="dxa"/>
          </w:tcPr>
          <w:p>
            <w:pPr>
              <w:rPr>
                <w:rFonts w:hint="default" w:ascii="Arial" w:hAnsi="Arial" w:cs="Arial"/>
              </w:rPr>
            </w:pPr>
            <w:r>
              <w:rPr>
                <w:rFonts w:hint="default" w:ascii="Arial" w:hAnsi="Arial" w:eastAsia="Times New Roman" w:cs="Arial"/>
                <w:color w:val="000000"/>
                <w:sz w:val="21"/>
                <w:szCs w:val="21"/>
                <w:shd w:val="clear" w:color="auto" w:fill="FFFFFF"/>
              </w:rPr>
              <w:t>CACACGGTGTTCTGCTTGT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311" w:type="dxa"/>
          </w:tcPr>
          <w:p>
            <w:pPr>
              <w:rPr>
                <w:rFonts w:hint="default" w:ascii="Arial" w:hAnsi="Arial" w:cs="Arial"/>
                <w:color w:val="000000"/>
                <w:sz w:val="21"/>
                <w:szCs w:val="21"/>
              </w:rPr>
            </w:pPr>
            <w:r>
              <w:rPr>
                <w:rFonts w:hint="default" w:ascii="Arial" w:hAnsi="Arial" w:cs="Arial"/>
                <w:color w:val="000000"/>
                <w:sz w:val="21"/>
                <w:szCs w:val="21"/>
              </w:rPr>
              <w:t>L1CAM</w:t>
            </w:r>
          </w:p>
        </w:tc>
        <w:tc>
          <w:tcPr>
            <w:tcW w:w="3597"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000000"/>
                <w:sz w:val="21"/>
                <w:szCs w:val="21"/>
                <w:shd w:val="clear" w:color="auto" w:fill="FFFFFF"/>
              </w:rPr>
              <w:t>TGTCATCACGGAACAGTCTCC</w:t>
            </w:r>
          </w:p>
        </w:tc>
        <w:tc>
          <w:tcPr>
            <w:tcW w:w="3614"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000000"/>
                <w:sz w:val="21"/>
                <w:szCs w:val="21"/>
                <w:shd w:val="clear" w:color="auto" w:fill="FFFFFF"/>
              </w:rPr>
              <w:t>CTGGCAAAGCAGCGGTAGAT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311" w:type="dxa"/>
          </w:tcPr>
          <w:p>
            <w:pPr>
              <w:rPr>
                <w:rFonts w:hint="default" w:ascii="Arial" w:hAnsi="Arial" w:cs="Arial"/>
                <w:color w:val="000000"/>
                <w:sz w:val="21"/>
                <w:szCs w:val="21"/>
              </w:rPr>
            </w:pPr>
            <w:r>
              <w:rPr>
                <w:rFonts w:hint="default" w:ascii="Arial" w:hAnsi="Arial" w:cs="Arial"/>
                <w:color w:val="000000"/>
                <w:sz w:val="21"/>
                <w:szCs w:val="21"/>
              </w:rPr>
              <w:t>S100B</w:t>
            </w:r>
          </w:p>
        </w:tc>
        <w:tc>
          <w:tcPr>
            <w:tcW w:w="3597"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000000"/>
                <w:sz w:val="21"/>
                <w:szCs w:val="21"/>
                <w:shd w:val="clear" w:color="auto" w:fill="FFFFFF"/>
              </w:rPr>
              <w:t>TGGCCCTCATCGACGTTTTC</w:t>
            </w:r>
          </w:p>
        </w:tc>
        <w:tc>
          <w:tcPr>
            <w:tcW w:w="3614"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000000"/>
                <w:sz w:val="21"/>
                <w:szCs w:val="21"/>
                <w:shd w:val="clear" w:color="auto" w:fill="FFFFFF"/>
              </w:rPr>
              <w:t>ATGTTCAAAGAACTCGTGGCA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311" w:type="dxa"/>
          </w:tcPr>
          <w:p>
            <w:pPr>
              <w:rPr>
                <w:rFonts w:hint="default" w:ascii="Arial" w:hAnsi="Arial" w:cs="Arial"/>
                <w:color w:val="000000"/>
                <w:sz w:val="21"/>
                <w:szCs w:val="21"/>
              </w:rPr>
            </w:pPr>
            <w:r>
              <w:rPr>
                <w:rFonts w:hint="default" w:ascii="Arial" w:hAnsi="Arial" w:cs="Arial"/>
                <w:color w:val="000000"/>
                <w:sz w:val="21"/>
                <w:szCs w:val="21"/>
              </w:rPr>
              <w:t>NCAM1</w:t>
            </w:r>
          </w:p>
        </w:tc>
        <w:tc>
          <w:tcPr>
            <w:tcW w:w="3597"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000000"/>
                <w:sz w:val="21"/>
                <w:szCs w:val="21"/>
                <w:shd w:val="clear" w:color="auto" w:fill="FFFFFF"/>
              </w:rPr>
              <w:t>GGCATTTACAAGTGTGTGGTTAC</w:t>
            </w:r>
          </w:p>
        </w:tc>
        <w:tc>
          <w:tcPr>
            <w:tcW w:w="3614"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000000"/>
                <w:sz w:val="21"/>
                <w:szCs w:val="21"/>
                <w:shd w:val="clear" w:color="auto" w:fill="FFFFFF"/>
              </w:rPr>
              <w:t>TTGGCGCATTCTTGAACATGA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311" w:type="dxa"/>
          </w:tcPr>
          <w:p>
            <w:pPr>
              <w:rPr>
                <w:rFonts w:hint="default" w:ascii="Arial" w:hAnsi="Arial" w:cs="Arial"/>
                <w:color w:val="000000"/>
                <w:sz w:val="21"/>
                <w:szCs w:val="21"/>
              </w:rPr>
            </w:pPr>
            <w:r>
              <w:rPr>
                <w:rFonts w:hint="default" w:ascii="Arial" w:hAnsi="Arial" w:cs="Arial"/>
                <w:color w:val="000000"/>
                <w:sz w:val="21"/>
                <w:szCs w:val="21"/>
              </w:rPr>
              <w:t>GFAP</w:t>
            </w:r>
          </w:p>
        </w:tc>
        <w:tc>
          <w:tcPr>
            <w:tcW w:w="3597"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000000"/>
                <w:sz w:val="21"/>
                <w:szCs w:val="21"/>
                <w:shd w:val="clear" w:color="auto" w:fill="FFFFFF"/>
              </w:rPr>
              <w:t>CTGCGGCTCGATCAACTCA</w:t>
            </w:r>
          </w:p>
        </w:tc>
        <w:tc>
          <w:tcPr>
            <w:tcW w:w="3614" w:type="dxa"/>
          </w:tcPr>
          <w:p>
            <w:pPr>
              <w:rPr>
                <w:rFonts w:hint="default" w:ascii="Arial" w:hAnsi="Arial" w:cs="Arial" w:eastAsiaTheme="minorEastAsia"/>
                <w:color w:val="000000"/>
                <w:sz w:val="21"/>
                <w:szCs w:val="21"/>
                <w:shd w:val="clear" w:color="auto" w:fill="FFFFFF"/>
              </w:rPr>
            </w:pPr>
            <w:r>
              <w:rPr>
                <w:rFonts w:hint="default" w:ascii="Arial" w:hAnsi="Arial" w:eastAsia="Times New Roman" w:cs="Arial"/>
                <w:color w:val="000000"/>
                <w:sz w:val="21"/>
                <w:szCs w:val="21"/>
                <w:shd w:val="clear" w:color="auto" w:fill="FFFFFF"/>
              </w:rPr>
              <w:t>TCCAGCGACTCAATCTTCCTC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311" w:type="dxa"/>
          </w:tcPr>
          <w:p>
            <w:pPr>
              <w:rPr>
                <w:rFonts w:hint="default" w:ascii="Arial" w:hAnsi="Arial" w:cs="Arial"/>
                <w:color w:val="000000"/>
                <w:sz w:val="21"/>
                <w:szCs w:val="21"/>
              </w:rPr>
            </w:pPr>
            <w:r>
              <w:rPr>
                <w:rFonts w:hint="default" w:ascii="Arial" w:hAnsi="Arial" w:cs="Arial"/>
                <w:color w:val="000000"/>
                <w:sz w:val="21"/>
                <w:szCs w:val="21"/>
              </w:rPr>
              <w:t>FGF9</w:t>
            </w:r>
          </w:p>
        </w:tc>
        <w:tc>
          <w:tcPr>
            <w:tcW w:w="3597"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000000"/>
                <w:sz w:val="21"/>
                <w:szCs w:val="21"/>
                <w:shd w:val="clear" w:color="auto" w:fill="FFFFFF"/>
              </w:rPr>
              <w:t>ATGGCTCCCTTAGGTGAAGTT</w:t>
            </w:r>
          </w:p>
        </w:tc>
        <w:tc>
          <w:tcPr>
            <w:tcW w:w="3614"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000000"/>
                <w:sz w:val="21"/>
                <w:szCs w:val="21"/>
                <w:shd w:val="clear" w:color="auto" w:fill="FFFFFF"/>
              </w:rPr>
              <w:t>CCCAGGTGGTCACTTAACAAAAC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311" w:type="dxa"/>
          </w:tcPr>
          <w:p>
            <w:pPr>
              <w:rPr>
                <w:rFonts w:hint="default" w:ascii="Arial" w:hAnsi="Arial" w:cs="Arial"/>
                <w:color w:val="000000"/>
                <w:sz w:val="21"/>
                <w:szCs w:val="21"/>
              </w:rPr>
            </w:pPr>
            <w:r>
              <w:rPr>
                <w:rFonts w:hint="default" w:ascii="Arial" w:hAnsi="Arial" w:cs="Arial"/>
                <w:color w:val="000000"/>
                <w:sz w:val="21"/>
                <w:szCs w:val="21"/>
              </w:rPr>
              <w:t>CSF3</w:t>
            </w:r>
          </w:p>
        </w:tc>
        <w:tc>
          <w:tcPr>
            <w:tcW w:w="3597"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000000"/>
                <w:sz w:val="21"/>
                <w:szCs w:val="21"/>
                <w:shd w:val="clear" w:color="auto" w:fill="FFFFFF"/>
              </w:rPr>
              <w:t>GCTGCTTGAGCCAACTCCATA</w:t>
            </w:r>
          </w:p>
        </w:tc>
        <w:tc>
          <w:tcPr>
            <w:tcW w:w="3614"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000000"/>
                <w:sz w:val="21"/>
                <w:szCs w:val="21"/>
                <w:shd w:val="clear" w:color="auto" w:fill="FFFFFF"/>
              </w:rPr>
              <w:t>GAACGCGGTACGACACCTC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311" w:type="dxa"/>
          </w:tcPr>
          <w:p>
            <w:pPr>
              <w:rPr>
                <w:rFonts w:hint="default" w:ascii="Arial" w:hAnsi="Arial" w:cs="Arial"/>
                <w:color w:val="000000"/>
                <w:sz w:val="21"/>
                <w:szCs w:val="21"/>
              </w:rPr>
            </w:pPr>
            <w:r>
              <w:rPr>
                <w:rFonts w:hint="default" w:ascii="Arial" w:hAnsi="Arial" w:cs="Arial"/>
                <w:color w:val="000000"/>
                <w:sz w:val="21"/>
                <w:szCs w:val="21"/>
              </w:rPr>
              <w:t>IL24</w:t>
            </w:r>
          </w:p>
        </w:tc>
        <w:tc>
          <w:tcPr>
            <w:tcW w:w="3597"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000000"/>
                <w:sz w:val="21"/>
                <w:szCs w:val="21"/>
                <w:shd w:val="clear" w:color="auto" w:fill="FFFFFF"/>
              </w:rPr>
              <w:t>TTGCCTGGGTTTTACCCTGC</w:t>
            </w:r>
          </w:p>
        </w:tc>
        <w:tc>
          <w:tcPr>
            <w:tcW w:w="3614"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000000"/>
                <w:sz w:val="21"/>
                <w:szCs w:val="21"/>
                <w:shd w:val="clear" w:color="auto" w:fill="FFFFFF"/>
              </w:rPr>
              <w:t>AAGGCTTCCCACAGTTTCTGG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311" w:type="dxa"/>
          </w:tcPr>
          <w:p>
            <w:pPr>
              <w:rPr>
                <w:rFonts w:hint="default" w:ascii="Arial" w:hAnsi="Arial" w:cs="Arial"/>
                <w:color w:val="000000"/>
                <w:sz w:val="21"/>
                <w:szCs w:val="21"/>
              </w:rPr>
            </w:pPr>
            <w:r>
              <w:rPr>
                <w:rFonts w:hint="default" w:ascii="Arial" w:hAnsi="Arial" w:cs="Arial"/>
                <w:color w:val="000000"/>
                <w:sz w:val="21"/>
                <w:szCs w:val="21"/>
              </w:rPr>
              <w:t>FGF2</w:t>
            </w:r>
          </w:p>
        </w:tc>
        <w:tc>
          <w:tcPr>
            <w:tcW w:w="3597"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000000"/>
                <w:sz w:val="21"/>
                <w:szCs w:val="21"/>
                <w:shd w:val="clear" w:color="auto" w:fill="FFFFFF"/>
              </w:rPr>
              <w:t>AGAAGAGCGACCCTCACATCA</w:t>
            </w:r>
          </w:p>
        </w:tc>
        <w:tc>
          <w:tcPr>
            <w:tcW w:w="3614"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000000"/>
                <w:sz w:val="21"/>
                <w:szCs w:val="21"/>
                <w:shd w:val="clear" w:color="auto" w:fill="FFFFFF"/>
              </w:rPr>
              <w:t>CGGTTAGCACACACTCCTTTG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311" w:type="dxa"/>
          </w:tcPr>
          <w:p>
            <w:pPr>
              <w:rPr>
                <w:rFonts w:hint="default" w:ascii="Arial" w:hAnsi="Arial" w:cs="Arial"/>
                <w:color w:val="000000"/>
                <w:sz w:val="21"/>
                <w:szCs w:val="21"/>
              </w:rPr>
            </w:pPr>
            <w:r>
              <w:rPr>
                <w:rFonts w:hint="default" w:ascii="Arial" w:hAnsi="Arial" w:cs="Arial"/>
                <w:color w:val="000000"/>
                <w:sz w:val="21"/>
                <w:szCs w:val="21"/>
              </w:rPr>
              <w:t>CXCL2</w:t>
            </w:r>
          </w:p>
        </w:tc>
        <w:tc>
          <w:tcPr>
            <w:tcW w:w="3597"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212529"/>
                <w:sz w:val="21"/>
                <w:szCs w:val="21"/>
                <w:shd w:val="clear" w:color="auto" w:fill="FFFFFF"/>
              </w:rPr>
              <w:t>CTCAAGAACATCCAAAGTGTG</w:t>
            </w:r>
          </w:p>
        </w:tc>
        <w:tc>
          <w:tcPr>
            <w:tcW w:w="3614"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212529"/>
                <w:sz w:val="21"/>
                <w:szCs w:val="21"/>
                <w:shd w:val="clear" w:color="auto" w:fill="FFFFFF"/>
              </w:rPr>
              <w:t>ATTCTTGAGTGTGGCTATGAC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311" w:type="dxa"/>
          </w:tcPr>
          <w:p>
            <w:pPr>
              <w:rPr>
                <w:rFonts w:hint="default" w:ascii="Arial" w:hAnsi="Arial" w:cs="Arial"/>
                <w:color w:val="000000"/>
                <w:sz w:val="21"/>
                <w:szCs w:val="21"/>
              </w:rPr>
            </w:pPr>
            <w:r>
              <w:rPr>
                <w:rFonts w:hint="default" w:ascii="Arial" w:hAnsi="Arial" w:cs="Arial"/>
                <w:color w:val="000000"/>
                <w:sz w:val="21"/>
                <w:szCs w:val="21"/>
              </w:rPr>
              <w:t>CXCL3</w:t>
            </w:r>
          </w:p>
        </w:tc>
        <w:tc>
          <w:tcPr>
            <w:tcW w:w="3597" w:type="dxa"/>
          </w:tcPr>
          <w:p>
            <w:pPr>
              <w:rPr>
                <w:rFonts w:hint="default" w:ascii="Arial" w:hAnsi="Arial" w:eastAsia="Times New Roman" w:cs="Arial"/>
                <w:color w:val="212529"/>
                <w:sz w:val="21"/>
                <w:szCs w:val="21"/>
                <w:shd w:val="clear" w:color="auto" w:fill="FFFFFF"/>
              </w:rPr>
            </w:pPr>
            <w:r>
              <w:rPr>
                <w:rFonts w:hint="default" w:ascii="Arial" w:hAnsi="Arial" w:eastAsia="Times New Roman" w:cs="Arial"/>
                <w:color w:val="212529"/>
                <w:sz w:val="21"/>
                <w:szCs w:val="21"/>
                <w:shd w:val="clear" w:color="auto" w:fill="FFFFFF"/>
              </w:rPr>
              <w:t>CTCAAGAACATCCAAAGTGTG</w:t>
            </w:r>
          </w:p>
        </w:tc>
        <w:tc>
          <w:tcPr>
            <w:tcW w:w="3614" w:type="dxa"/>
          </w:tcPr>
          <w:p>
            <w:pPr>
              <w:rPr>
                <w:rFonts w:hint="default" w:ascii="Arial" w:hAnsi="Arial" w:eastAsia="Times New Roman" w:cs="Arial"/>
                <w:color w:val="212529"/>
                <w:sz w:val="21"/>
                <w:szCs w:val="21"/>
                <w:shd w:val="clear" w:color="auto" w:fill="FFFFFF"/>
              </w:rPr>
            </w:pPr>
            <w:r>
              <w:rPr>
                <w:rFonts w:hint="default" w:ascii="Arial" w:hAnsi="Arial" w:eastAsia="Times New Roman" w:cs="Arial"/>
                <w:color w:val="212529"/>
                <w:sz w:val="21"/>
                <w:szCs w:val="21"/>
                <w:shd w:val="clear" w:color="auto" w:fill="FFFFFF"/>
              </w:rPr>
              <w:t>ATTCTTGAGTGTGGCTATGAC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311" w:type="dxa"/>
          </w:tcPr>
          <w:p>
            <w:pPr>
              <w:rPr>
                <w:rFonts w:hint="eastAsia" w:ascii="Arial" w:hAnsi="Arial" w:eastAsia="宋体" w:cs="Arial"/>
                <w:color w:val="000000"/>
                <w:sz w:val="21"/>
                <w:szCs w:val="21"/>
                <w:lang w:eastAsia="zh-CN"/>
              </w:rPr>
            </w:pPr>
            <w:r>
              <w:rPr>
                <w:rFonts w:hint="eastAsia" w:ascii="Arial" w:hAnsi="Arial" w:cs="Arial"/>
                <w:color w:val="000000"/>
                <w:sz w:val="21"/>
                <w:szCs w:val="21"/>
                <w:lang w:eastAsia="zh-CN"/>
              </w:rPr>
              <w:t>bFGF</w:t>
            </w:r>
          </w:p>
        </w:tc>
        <w:tc>
          <w:tcPr>
            <w:tcW w:w="3597" w:type="dxa"/>
          </w:tcPr>
          <w:p>
            <w:pPr>
              <w:rPr>
                <w:rFonts w:hint="default" w:ascii="Arial" w:hAnsi="Arial" w:eastAsia="Times New Roman" w:cs="Arial"/>
                <w:color w:val="212529"/>
                <w:sz w:val="21"/>
                <w:szCs w:val="21"/>
                <w:shd w:val="clear" w:color="auto" w:fill="FFFFFF"/>
              </w:rPr>
            </w:pPr>
            <w:r>
              <w:rPr>
                <w:rFonts w:hint="default" w:ascii="Arial" w:hAnsi="Arial" w:eastAsia="Times New Roman" w:cs="Arial"/>
                <w:color w:val="212529"/>
                <w:sz w:val="21"/>
                <w:szCs w:val="21"/>
                <w:shd w:val="clear" w:color="auto" w:fill="FFFFFF"/>
              </w:rPr>
              <w:t>GGAAGGAAATTTGTCTTGATCC</w:t>
            </w:r>
          </w:p>
        </w:tc>
        <w:tc>
          <w:tcPr>
            <w:tcW w:w="3614" w:type="dxa"/>
          </w:tcPr>
          <w:p>
            <w:pPr>
              <w:rPr>
                <w:rFonts w:hint="default" w:ascii="Arial" w:hAnsi="Arial" w:eastAsia="Times New Roman" w:cs="Arial"/>
                <w:color w:val="212529"/>
                <w:sz w:val="21"/>
                <w:szCs w:val="21"/>
                <w:shd w:val="clear" w:color="auto" w:fill="FFFFFF"/>
              </w:rPr>
            </w:pPr>
            <w:r>
              <w:rPr>
                <w:rFonts w:hint="default" w:ascii="Arial" w:hAnsi="Arial" w:eastAsia="Times New Roman" w:cs="Arial"/>
                <w:color w:val="212529"/>
                <w:sz w:val="21"/>
                <w:szCs w:val="21"/>
                <w:shd w:val="clear" w:color="auto" w:fill="FFFFFF"/>
              </w:rPr>
              <w:t>TTTCCTTGTTTCCACCGTC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311" w:type="dxa"/>
          </w:tcPr>
          <w:p>
            <w:pPr>
              <w:rPr>
                <w:rFonts w:hint="default" w:ascii="Arial" w:hAnsi="Arial" w:cs="Arial"/>
                <w:color w:val="000000"/>
                <w:sz w:val="21"/>
                <w:szCs w:val="21"/>
              </w:rPr>
            </w:pPr>
            <w:r>
              <w:rPr>
                <w:rFonts w:hint="default" w:ascii="Arial" w:hAnsi="Arial" w:cs="Arial"/>
                <w:color w:val="000000"/>
                <w:sz w:val="21"/>
                <w:szCs w:val="21"/>
              </w:rPr>
              <w:t>PDGFc</w:t>
            </w:r>
          </w:p>
        </w:tc>
        <w:tc>
          <w:tcPr>
            <w:tcW w:w="3597" w:type="dxa"/>
          </w:tcPr>
          <w:p>
            <w:pPr>
              <w:rPr>
                <w:rFonts w:hint="default" w:ascii="Arial" w:hAnsi="Arial" w:eastAsia="Times New Roman" w:cs="Arial"/>
                <w:color w:val="212529"/>
                <w:sz w:val="21"/>
                <w:szCs w:val="21"/>
                <w:shd w:val="clear" w:color="auto" w:fill="FFFFFF"/>
              </w:rPr>
            </w:pPr>
            <w:r>
              <w:rPr>
                <w:rFonts w:hint="default" w:ascii="Arial" w:hAnsi="Arial" w:eastAsia="Times New Roman" w:cs="Arial"/>
                <w:color w:val="000000"/>
                <w:sz w:val="21"/>
                <w:szCs w:val="21"/>
                <w:shd w:val="clear" w:color="auto" w:fill="FFFFFF"/>
              </w:rPr>
              <w:t>GACTCAGGCGGAATCCAACC</w:t>
            </w:r>
          </w:p>
        </w:tc>
        <w:tc>
          <w:tcPr>
            <w:tcW w:w="3614" w:type="dxa"/>
          </w:tcPr>
          <w:p>
            <w:pPr>
              <w:rPr>
                <w:rFonts w:hint="default" w:ascii="Arial" w:hAnsi="Arial" w:eastAsia="Times New Roman" w:cs="Arial"/>
                <w:color w:val="212529"/>
                <w:sz w:val="21"/>
                <w:szCs w:val="21"/>
                <w:shd w:val="clear" w:color="auto" w:fill="FFFFFF"/>
              </w:rPr>
            </w:pPr>
            <w:r>
              <w:rPr>
                <w:rFonts w:hint="default" w:ascii="Arial" w:hAnsi="Arial" w:eastAsia="Times New Roman" w:cs="Arial"/>
                <w:color w:val="000000"/>
                <w:sz w:val="21"/>
                <w:szCs w:val="21"/>
                <w:shd w:val="clear" w:color="auto" w:fill="FFFFFF"/>
              </w:rPr>
              <w:t>CTTGGGCTGTGAATACTTCCATT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311" w:type="dxa"/>
          </w:tcPr>
          <w:p>
            <w:pPr>
              <w:rPr>
                <w:rFonts w:hint="default" w:ascii="Arial" w:hAnsi="Arial" w:cs="Arial"/>
                <w:color w:val="000000"/>
                <w:sz w:val="21"/>
                <w:szCs w:val="21"/>
              </w:rPr>
            </w:pPr>
            <w:r>
              <w:rPr>
                <w:rFonts w:hint="default" w:ascii="Arial" w:hAnsi="Arial" w:cs="Arial"/>
                <w:color w:val="000000"/>
                <w:sz w:val="21"/>
                <w:szCs w:val="21"/>
              </w:rPr>
              <w:t>VEGFa</w:t>
            </w:r>
          </w:p>
        </w:tc>
        <w:tc>
          <w:tcPr>
            <w:tcW w:w="3597"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000000"/>
                <w:sz w:val="21"/>
                <w:szCs w:val="21"/>
                <w:shd w:val="clear" w:color="auto" w:fill="FFFFFF"/>
              </w:rPr>
              <w:t>AGGGCAGAATCATCACGAAGT</w:t>
            </w:r>
          </w:p>
        </w:tc>
        <w:tc>
          <w:tcPr>
            <w:tcW w:w="3614"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000000"/>
                <w:sz w:val="21"/>
                <w:szCs w:val="21"/>
                <w:shd w:val="clear" w:color="auto" w:fill="FFFFFF"/>
              </w:rPr>
              <w:t>AGGGTCTCGATTGGATGGCA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311" w:type="dxa"/>
          </w:tcPr>
          <w:p>
            <w:pPr>
              <w:rPr>
                <w:rFonts w:hint="default" w:ascii="Arial" w:hAnsi="Arial" w:cs="Arial"/>
                <w:color w:val="000000"/>
                <w:sz w:val="21"/>
                <w:szCs w:val="21"/>
              </w:rPr>
            </w:pPr>
            <w:r>
              <w:rPr>
                <w:rFonts w:hint="default" w:ascii="Arial" w:hAnsi="Arial" w:cs="Arial"/>
                <w:color w:val="000000"/>
                <w:sz w:val="21"/>
                <w:szCs w:val="21"/>
              </w:rPr>
              <w:t>PF4</w:t>
            </w:r>
          </w:p>
        </w:tc>
        <w:tc>
          <w:tcPr>
            <w:tcW w:w="3597"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212529"/>
                <w:sz w:val="21"/>
                <w:szCs w:val="21"/>
                <w:shd w:val="clear" w:color="auto" w:fill="FFFFFF"/>
              </w:rPr>
              <w:t>GCTGAAGCTGAAGAAGATGG</w:t>
            </w:r>
          </w:p>
        </w:tc>
        <w:tc>
          <w:tcPr>
            <w:tcW w:w="3614"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212529"/>
                <w:sz w:val="21"/>
                <w:szCs w:val="21"/>
                <w:shd w:val="clear" w:color="auto" w:fill="FFFFFF"/>
              </w:rPr>
              <w:t>TCTTCAGCGTGGCTATCAG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311" w:type="dxa"/>
          </w:tcPr>
          <w:p>
            <w:pPr>
              <w:rPr>
                <w:rFonts w:hint="default" w:ascii="Arial" w:hAnsi="Arial" w:cs="Arial"/>
                <w:color w:val="000000"/>
                <w:sz w:val="21"/>
                <w:szCs w:val="21"/>
              </w:rPr>
            </w:pPr>
            <w:r>
              <w:rPr>
                <w:rFonts w:hint="default" w:ascii="Arial" w:hAnsi="Arial" w:cs="Arial"/>
                <w:color w:val="000000"/>
                <w:sz w:val="21"/>
                <w:szCs w:val="21"/>
              </w:rPr>
              <w:t>LIF</w:t>
            </w:r>
          </w:p>
        </w:tc>
        <w:tc>
          <w:tcPr>
            <w:tcW w:w="3597" w:type="dxa"/>
          </w:tcPr>
          <w:p>
            <w:pPr>
              <w:rPr>
                <w:rFonts w:hint="default" w:ascii="Arial" w:hAnsi="Arial" w:eastAsia="Times New Roman" w:cs="Arial"/>
                <w:color w:val="212529"/>
                <w:sz w:val="21"/>
                <w:szCs w:val="21"/>
                <w:shd w:val="clear" w:color="auto" w:fill="FFFFFF"/>
              </w:rPr>
            </w:pPr>
            <w:r>
              <w:rPr>
                <w:rFonts w:hint="default" w:ascii="Arial" w:hAnsi="Arial" w:eastAsia="Times New Roman" w:cs="Arial"/>
                <w:color w:val="000000"/>
                <w:sz w:val="21"/>
                <w:szCs w:val="21"/>
                <w:shd w:val="clear" w:color="auto" w:fill="FFFFFF"/>
              </w:rPr>
              <w:t>CCAACGTGACGGACTTCCC</w:t>
            </w:r>
          </w:p>
        </w:tc>
        <w:tc>
          <w:tcPr>
            <w:tcW w:w="3614" w:type="dxa"/>
          </w:tcPr>
          <w:p>
            <w:pPr>
              <w:rPr>
                <w:rFonts w:hint="default" w:ascii="Arial" w:hAnsi="Arial" w:eastAsia="Times New Roman" w:cs="Arial"/>
                <w:color w:val="212529"/>
                <w:sz w:val="21"/>
                <w:szCs w:val="21"/>
                <w:shd w:val="clear" w:color="auto" w:fill="FFFFFF"/>
              </w:rPr>
            </w:pPr>
            <w:r>
              <w:rPr>
                <w:rFonts w:hint="default" w:ascii="Arial" w:hAnsi="Arial" w:eastAsia="Times New Roman" w:cs="Arial"/>
                <w:color w:val="000000"/>
                <w:sz w:val="21"/>
                <w:szCs w:val="21"/>
                <w:shd w:val="clear" w:color="auto" w:fill="FFFFFF"/>
              </w:rPr>
              <w:t>TACACGACTATGCGGTACAGC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311" w:type="dxa"/>
          </w:tcPr>
          <w:p>
            <w:pPr>
              <w:rPr>
                <w:rFonts w:hint="default" w:ascii="Arial" w:hAnsi="Arial" w:cs="Arial"/>
                <w:color w:val="000000"/>
                <w:sz w:val="21"/>
                <w:szCs w:val="21"/>
              </w:rPr>
            </w:pPr>
            <w:r>
              <w:rPr>
                <w:rFonts w:hint="default" w:ascii="Arial" w:hAnsi="Arial" w:cs="Arial"/>
                <w:color w:val="000000"/>
                <w:sz w:val="21"/>
                <w:szCs w:val="21"/>
              </w:rPr>
              <w:t>EBF1</w:t>
            </w:r>
          </w:p>
        </w:tc>
        <w:tc>
          <w:tcPr>
            <w:tcW w:w="3597"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000000"/>
                <w:sz w:val="21"/>
                <w:szCs w:val="21"/>
                <w:shd w:val="clear" w:color="auto" w:fill="FFFFFF"/>
              </w:rPr>
              <w:t>AAAGCATCCAACGGAGTGGAA</w:t>
            </w:r>
          </w:p>
        </w:tc>
        <w:tc>
          <w:tcPr>
            <w:tcW w:w="3614"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000000"/>
                <w:sz w:val="21"/>
                <w:szCs w:val="21"/>
                <w:shd w:val="clear" w:color="auto" w:fill="FFFFFF"/>
              </w:rPr>
              <w:t>GCCCTGTCTGTCGTAGAGG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311" w:type="dxa"/>
          </w:tcPr>
          <w:p>
            <w:pPr>
              <w:rPr>
                <w:rFonts w:hint="default" w:ascii="Arial" w:hAnsi="Arial" w:cs="Arial"/>
                <w:color w:val="000000"/>
                <w:sz w:val="21"/>
                <w:szCs w:val="21"/>
              </w:rPr>
            </w:pPr>
            <w:r>
              <w:rPr>
                <w:rFonts w:hint="default" w:ascii="Arial" w:hAnsi="Arial" w:cs="Arial"/>
                <w:color w:val="000000"/>
                <w:sz w:val="21"/>
                <w:szCs w:val="21"/>
              </w:rPr>
              <w:t>IL2</w:t>
            </w:r>
          </w:p>
        </w:tc>
        <w:tc>
          <w:tcPr>
            <w:tcW w:w="3597"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000000"/>
                <w:sz w:val="21"/>
                <w:szCs w:val="21"/>
                <w:shd w:val="clear" w:color="auto" w:fill="FFFFFF"/>
              </w:rPr>
              <w:t>TACAAGAACCCGAAACTGACTCG</w:t>
            </w:r>
          </w:p>
        </w:tc>
        <w:tc>
          <w:tcPr>
            <w:tcW w:w="3614"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000000"/>
                <w:sz w:val="21"/>
                <w:szCs w:val="21"/>
                <w:shd w:val="clear" w:color="auto" w:fill="FFFFFF"/>
              </w:rPr>
              <w:t>ACATGAAGGTAGTCTCACTGCC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311" w:type="dxa"/>
          </w:tcPr>
          <w:p>
            <w:pPr>
              <w:rPr>
                <w:rFonts w:hint="default" w:ascii="Arial" w:hAnsi="Arial" w:cs="Arial"/>
                <w:color w:val="000000"/>
                <w:sz w:val="21"/>
                <w:szCs w:val="21"/>
              </w:rPr>
            </w:pPr>
            <w:r>
              <w:rPr>
                <w:rFonts w:hint="default" w:ascii="Arial" w:hAnsi="Arial" w:cs="Arial"/>
                <w:color w:val="000000"/>
                <w:sz w:val="21"/>
                <w:szCs w:val="21"/>
              </w:rPr>
              <w:t>PDGFa</w:t>
            </w:r>
          </w:p>
        </w:tc>
        <w:tc>
          <w:tcPr>
            <w:tcW w:w="3597"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000000"/>
                <w:sz w:val="21"/>
                <w:szCs w:val="21"/>
                <w:shd w:val="clear" w:color="auto" w:fill="FFFFFF"/>
              </w:rPr>
              <w:t>GCAAGACCAGGACGGTCATTT</w:t>
            </w:r>
          </w:p>
        </w:tc>
        <w:tc>
          <w:tcPr>
            <w:tcW w:w="3614"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000000"/>
                <w:sz w:val="21"/>
                <w:szCs w:val="21"/>
                <w:shd w:val="clear" w:color="auto" w:fill="FFFFFF"/>
              </w:rPr>
              <w:t>GGCACTTGACACTGCTCGT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311" w:type="dxa"/>
          </w:tcPr>
          <w:p>
            <w:pPr>
              <w:rPr>
                <w:rFonts w:hint="default" w:ascii="Arial" w:hAnsi="Arial" w:cs="Arial"/>
                <w:color w:val="000000"/>
                <w:sz w:val="21"/>
                <w:szCs w:val="21"/>
              </w:rPr>
            </w:pPr>
            <w:r>
              <w:rPr>
                <w:rFonts w:hint="default" w:ascii="Arial" w:hAnsi="Arial" w:cs="Arial"/>
                <w:color w:val="000000"/>
                <w:sz w:val="21"/>
                <w:szCs w:val="21"/>
              </w:rPr>
              <w:t>CCL20</w:t>
            </w:r>
          </w:p>
        </w:tc>
        <w:tc>
          <w:tcPr>
            <w:tcW w:w="3597"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212529"/>
                <w:sz w:val="21"/>
                <w:szCs w:val="21"/>
                <w:shd w:val="clear" w:color="auto" w:fill="FFFFFF"/>
              </w:rPr>
              <w:t>GCTGTACCAAGAGTTTGCTC</w:t>
            </w:r>
          </w:p>
        </w:tc>
        <w:tc>
          <w:tcPr>
            <w:tcW w:w="3614"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212529"/>
                <w:sz w:val="21"/>
                <w:szCs w:val="21"/>
                <w:shd w:val="clear" w:color="auto" w:fill="FFFFFF"/>
              </w:rPr>
              <w:t>AGTTGCTTGCTTCTGATTCG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311" w:type="dxa"/>
          </w:tcPr>
          <w:p>
            <w:pPr>
              <w:rPr>
                <w:rFonts w:hint="default" w:ascii="Arial" w:hAnsi="Arial" w:cs="Arial"/>
                <w:color w:val="000000"/>
                <w:sz w:val="21"/>
                <w:szCs w:val="21"/>
              </w:rPr>
            </w:pPr>
            <w:r>
              <w:rPr>
                <w:rFonts w:hint="default" w:ascii="Arial" w:hAnsi="Arial" w:cs="Arial"/>
                <w:color w:val="000000"/>
                <w:sz w:val="21"/>
                <w:szCs w:val="21"/>
              </w:rPr>
              <w:t>CXCL8</w:t>
            </w:r>
          </w:p>
        </w:tc>
        <w:tc>
          <w:tcPr>
            <w:tcW w:w="3597" w:type="dxa"/>
          </w:tcPr>
          <w:p>
            <w:pPr>
              <w:rPr>
                <w:rFonts w:hint="default" w:ascii="Arial" w:hAnsi="Arial" w:eastAsia="Times New Roman" w:cs="Arial"/>
                <w:color w:val="212529"/>
                <w:sz w:val="21"/>
                <w:szCs w:val="21"/>
                <w:shd w:val="clear" w:color="auto" w:fill="FFFFFF"/>
              </w:rPr>
            </w:pPr>
            <w:r>
              <w:rPr>
                <w:rFonts w:hint="default" w:ascii="Arial" w:hAnsi="Arial" w:eastAsia="Times New Roman" w:cs="Arial"/>
                <w:color w:val="212529"/>
                <w:sz w:val="21"/>
                <w:szCs w:val="21"/>
                <w:shd w:val="clear" w:color="auto" w:fill="FFFFFF"/>
              </w:rPr>
              <w:t>ACTCCAAACCTTTCCACCC</w:t>
            </w:r>
          </w:p>
        </w:tc>
        <w:tc>
          <w:tcPr>
            <w:tcW w:w="3614" w:type="dxa"/>
          </w:tcPr>
          <w:p>
            <w:pPr>
              <w:rPr>
                <w:rFonts w:hint="default" w:ascii="Arial" w:hAnsi="Arial" w:eastAsia="Times New Roman" w:cs="Arial"/>
                <w:color w:val="212529"/>
                <w:sz w:val="21"/>
                <w:szCs w:val="21"/>
                <w:shd w:val="clear" w:color="auto" w:fill="FFFFFF"/>
              </w:rPr>
            </w:pPr>
            <w:r>
              <w:rPr>
                <w:rFonts w:hint="default" w:ascii="Arial" w:hAnsi="Arial" w:eastAsia="Times New Roman" w:cs="Arial"/>
                <w:color w:val="212529"/>
                <w:sz w:val="21"/>
                <w:szCs w:val="21"/>
                <w:shd w:val="clear" w:color="auto" w:fill="FFFFFF"/>
              </w:rPr>
              <w:t>CAATAATTTCTGTGTTGGCGC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311" w:type="dxa"/>
          </w:tcPr>
          <w:p>
            <w:pPr>
              <w:rPr>
                <w:rFonts w:hint="default" w:ascii="Arial" w:hAnsi="Arial" w:cs="Arial"/>
                <w:color w:val="000000"/>
                <w:sz w:val="21"/>
                <w:szCs w:val="21"/>
              </w:rPr>
            </w:pPr>
            <w:r>
              <w:rPr>
                <w:rFonts w:hint="default" w:ascii="Arial" w:hAnsi="Arial" w:cs="Arial"/>
                <w:color w:val="000000"/>
                <w:sz w:val="21"/>
                <w:szCs w:val="21"/>
              </w:rPr>
              <w:t>IL10</w:t>
            </w:r>
          </w:p>
        </w:tc>
        <w:tc>
          <w:tcPr>
            <w:tcW w:w="3597" w:type="dxa"/>
          </w:tcPr>
          <w:p>
            <w:pPr>
              <w:rPr>
                <w:rFonts w:hint="default" w:ascii="Arial" w:hAnsi="Arial" w:eastAsia="Times New Roman" w:cs="Arial"/>
                <w:color w:val="212529"/>
                <w:sz w:val="21"/>
                <w:szCs w:val="21"/>
                <w:shd w:val="clear" w:color="auto" w:fill="FFFFFF"/>
              </w:rPr>
            </w:pPr>
            <w:r>
              <w:rPr>
                <w:rFonts w:hint="default" w:ascii="Arial" w:hAnsi="Arial" w:eastAsia="Times New Roman" w:cs="Arial"/>
                <w:color w:val="000000"/>
                <w:sz w:val="21"/>
                <w:szCs w:val="21"/>
                <w:shd w:val="clear" w:color="auto" w:fill="FFFFFF"/>
              </w:rPr>
              <w:t>GACTTTAAGGGTTACCTGGGTTG</w:t>
            </w:r>
          </w:p>
        </w:tc>
        <w:tc>
          <w:tcPr>
            <w:tcW w:w="3614" w:type="dxa"/>
          </w:tcPr>
          <w:p>
            <w:pPr>
              <w:rPr>
                <w:rFonts w:hint="default" w:ascii="Arial" w:hAnsi="Arial" w:eastAsia="Times New Roman" w:cs="Arial"/>
                <w:color w:val="212529"/>
                <w:sz w:val="21"/>
                <w:szCs w:val="21"/>
                <w:shd w:val="clear" w:color="auto" w:fill="FFFFFF"/>
              </w:rPr>
            </w:pPr>
            <w:r>
              <w:rPr>
                <w:rFonts w:hint="default" w:ascii="Arial" w:hAnsi="Arial" w:eastAsia="Times New Roman" w:cs="Arial"/>
                <w:color w:val="000000"/>
                <w:sz w:val="21"/>
                <w:szCs w:val="21"/>
                <w:shd w:val="clear" w:color="auto" w:fill="FFFFFF"/>
              </w:rPr>
              <w:t>TCACATGCGCCTTGATGTCTG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311" w:type="dxa"/>
          </w:tcPr>
          <w:p>
            <w:pPr>
              <w:rPr>
                <w:rFonts w:hint="default" w:ascii="Arial" w:hAnsi="Arial" w:cs="Arial"/>
                <w:color w:val="000000"/>
                <w:sz w:val="21"/>
                <w:szCs w:val="21"/>
              </w:rPr>
            </w:pPr>
            <w:r>
              <w:rPr>
                <w:rFonts w:hint="default" w:ascii="Arial" w:hAnsi="Arial" w:cs="Arial"/>
                <w:color w:val="000000"/>
                <w:sz w:val="21"/>
                <w:szCs w:val="21"/>
              </w:rPr>
              <w:t>ChIP Primer</w:t>
            </w:r>
          </w:p>
        </w:tc>
        <w:tc>
          <w:tcPr>
            <w:tcW w:w="3597" w:type="dxa"/>
          </w:tcPr>
          <w:p>
            <w:pPr>
              <w:rPr>
                <w:rFonts w:hint="default" w:ascii="Arial" w:hAnsi="Arial" w:eastAsia="Times New Roman" w:cs="Arial"/>
                <w:color w:val="000000"/>
                <w:sz w:val="21"/>
                <w:szCs w:val="21"/>
                <w:shd w:val="clear" w:color="auto" w:fill="FFFFFF"/>
              </w:rPr>
            </w:pPr>
            <w:r>
              <w:rPr>
                <w:rFonts w:hint="default" w:ascii="Arial" w:hAnsi="Arial" w:cs="Arial"/>
                <w:color w:val="000000"/>
                <w:sz w:val="21"/>
                <w:szCs w:val="21"/>
              </w:rPr>
              <w:t>Forward primer</w:t>
            </w:r>
          </w:p>
        </w:tc>
        <w:tc>
          <w:tcPr>
            <w:tcW w:w="3614" w:type="dxa"/>
          </w:tcPr>
          <w:p>
            <w:pPr>
              <w:rPr>
                <w:rFonts w:hint="default" w:ascii="Arial" w:hAnsi="Arial" w:eastAsia="Times New Roman" w:cs="Arial"/>
                <w:color w:val="000000"/>
                <w:sz w:val="21"/>
                <w:szCs w:val="21"/>
                <w:shd w:val="clear" w:color="auto" w:fill="FFFFFF"/>
              </w:rPr>
            </w:pPr>
            <w:r>
              <w:rPr>
                <w:rFonts w:hint="default" w:ascii="Arial" w:hAnsi="Arial" w:cs="Arial"/>
                <w:color w:val="000000"/>
                <w:sz w:val="21"/>
                <w:szCs w:val="21"/>
              </w:rPr>
              <w:t>Reverse primer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311" w:type="dxa"/>
          </w:tcPr>
          <w:p>
            <w:pPr>
              <w:rPr>
                <w:rFonts w:hint="default" w:ascii="Arial" w:hAnsi="Arial" w:cs="Arial"/>
                <w:color w:val="000000"/>
                <w:sz w:val="21"/>
                <w:szCs w:val="21"/>
              </w:rPr>
            </w:pPr>
            <w:r>
              <w:rPr>
                <w:rFonts w:hint="default" w:ascii="Arial" w:hAnsi="Arial" w:cs="Arial"/>
                <w:color w:val="000000"/>
                <w:sz w:val="21"/>
                <w:szCs w:val="21"/>
              </w:rPr>
              <w:t>GFAP</w:t>
            </w:r>
          </w:p>
        </w:tc>
        <w:tc>
          <w:tcPr>
            <w:tcW w:w="3597" w:type="dxa"/>
          </w:tcPr>
          <w:p>
            <w:pPr>
              <w:rPr>
                <w:rFonts w:hint="default" w:ascii="Arial" w:hAnsi="Arial" w:cs="Arial"/>
                <w:color w:val="000000"/>
                <w:sz w:val="21"/>
                <w:szCs w:val="21"/>
              </w:rPr>
            </w:pPr>
            <w:r>
              <w:rPr>
                <w:rFonts w:hint="default" w:ascii="Arial" w:hAnsi="Arial" w:eastAsia="Times New Roman" w:cs="Arial"/>
                <w:color w:val="000000"/>
                <w:sz w:val="21"/>
                <w:szCs w:val="21"/>
                <w:shd w:val="clear" w:color="auto" w:fill="FFFFFF"/>
              </w:rPr>
              <w:t>CATCCCACAGAACGAGTCCC</w:t>
            </w:r>
          </w:p>
        </w:tc>
        <w:tc>
          <w:tcPr>
            <w:tcW w:w="3614" w:type="dxa"/>
          </w:tcPr>
          <w:p>
            <w:pPr>
              <w:rPr>
                <w:rFonts w:hint="default" w:ascii="Arial" w:hAnsi="Arial" w:cs="Arial"/>
                <w:color w:val="000000"/>
                <w:sz w:val="21"/>
                <w:szCs w:val="21"/>
              </w:rPr>
            </w:pPr>
            <w:r>
              <w:rPr>
                <w:rFonts w:hint="default" w:ascii="Arial" w:hAnsi="Arial" w:eastAsia="Times New Roman" w:cs="Arial"/>
                <w:color w:val="000000"/>
                <w:sz w:val="21"/>
                <w:szCs w:val="21"/>
                <w:shd w:val="clear" w:color="auto" w:fill="FFFFFF"/>
              </w:rPr>
              <w:t>GATGAGCTCTACCGTGAGGC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311" w:type="dxa"/>
          </w:tcPr>
          <w:p>
            <w:pPr>
              <w:rPr>
                <w:rFonts w:hint="default" w:ascii="Arial" w:hAnsi="Arial" w:cs="Arial"/>
                <w:color w:val="000000"/>
                <w:sz w:val="21"/>
                <w:szCs w:val="21"/>
              </w:rPr>
            </w:pPr>
            <w:r>
              <w:rPr>
                <w:rFonts w:hint="default" w:ascii="Arial" w:hAnsi="Arial" w:cs="Arial"/>
                <w:color w:val="000000"/>
                <w:sz w:val="21"/>
                <w:szCs w:val="21"/>
              </w:rPr>
              <w:t>β-actin</w:t>
            </w:r>
          </w:p>
        </w:tc>
        <w:tc>
          <w:tcPr>
            <w:tcW w:w="3597"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000000"/>
                <w:sz w:val="21"/>
                <w:szCs w:val="21"/>
                <w:shd w:val="clear" w:color="auto" w:fill="FFFFFF"/>
              </w:rPr>
              <w:t>GAAGCTAAGTCCTGCCCTCA</w:t>
            </w:r>
          </w:p>
        </w:tc>
        <w:tc>
          <w:tcPr>
            <w:tcW w:w="3614" w:type="dxa"/>
          </w:tcPr>
          <w:p>
            <w:pPr>
              <w:rPr>
                <w:rFonts w:hint="default" w:ascii="Arial" w:hAnsi="Arial" w:eastAsia="Times New Roman" w:cs="Arial"/>
                <w:color w:val="000000"/>
                <w:sz w:val="21"/>
                <w:szCs w:val="21"/>
                <w:shd w:val="clear" w:color="auto" w:fill="FFFFFF"/>
              </w:rPr>
            </w:pPr>
            <w:r>
              <w:rPr>
                <w:rFonts w:hint="default" w:ascii="Arial" w:hAnsi="Arial" w:eastAsia="Times New Roman" w:cs="Arial"/>
                <w:color w:val="000000"/>
                <w:sz w:val="21"/>
                <w:szCs w:val="21"/>
                <w:shd w:val="clear" w:color="auto" w:fill="FFFFFF"/>
              </w:rPr>
              <w:t>CAGTGAGGACCCTGGATGTG</w:t>
            </w:r>
          </w:p>
        </w:tc>
      </w:tr>
    </w:tbl>
    <w:p>
      <w:pPr>
        <w:rPr>
          <w:rFonts w:hint="default" w:ascii="Arial" w:hAnsi="Arial" w:cs="Arial"/>
          <w:b/>
        </w:rPr>
      </w:pPr>
      <w:r>
        <w:rPr>
          <w:rFonts w:hint="default" w:ascii="Arial" w:hAnsi="Arial" w:cs="Arial"/>
          <w:b/>
        </w:rPr>
        <w:br w:type="page"/>
      </w:r>
    </w:p>
    <w:p>
      <w:pPr>
        <w:spacing w:line="480" w:lineRule="auto"/>
        <w:rPr>
          <w:rFonts w:hint="default" w:ascii="Arial" w:hAnsi="Arial" w:cs="Arial"/>
          <w:color w:val="000000"/>
          <w:sz w:val="20"/>
          <w:szCs w:val="20"/>
        </w:rPr>
      </w:pPr>
      <w:r>
        <w:rPr>
          <w:rFonts w:hint="default" w:ascii="Arial" w:hAnsi="Arial" w:cs="Arial"/>
          <w:b/>
        </w:rPr>
        <w:t xml:space="preserve">Supplementary Table </w:t>
      </w:r>
      <w:r>
        <w:rPr>
          <w:rFonts w:hint="eastAsia" w:ascii="Arial" w:hAnsi="Arial" w:cs="Arial"/>
          <w:b/>
          <w:lang w:val="en-US" w:eastAsia="zh-CN"/>
        </w:rPr>
        <w:t>5</w:t>
      </w:r>
      <w:r>
        <w:rPr>
          <w:rFonts w:hint="default" w:ascii="Arial" w:hAnsi="Arial" w:cs="Arial"/>
          <w:b/>
        </w:rPr>
        <w:t xml:space="preserve">. </w:t>
      </w:r>
      <w:r>
        <w:rPr>
          <w:rFonts w:hint="default" w:ascii="Arial" w:hAnsi="Arial" w:eastAsia="Times New Roman" w:cs="Arial"/>
          <w:color w:val="2E2E2E"/>
          <w:sz w:val="20"/>
          <w:szCs w:val="20"/>
        </w:rPr>
        <w:t>siRNA sequences</w:t>
      </w:r>
    </w:p>
    <w:p>
      <w:pPr>
        <w:widowControl w:val="0"/>
        <w:autoSpaceDE w:val="0"/>
        <w:autoSpaceDN w:val="0"/>
        <w:adjustRightInd w:val="0"/>
        <w:jc w:val="both"/>
        <w:rPr>
          <w:rFonts w:hint="default" w:ascii="Arial" w:hAnsi="Arial" w:cs="Arial"/>
          <w:color w:val="000000"/>
          <w:sz w:val="20"/>
          <w:szCs w:val="20"/>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8"/>
        <w:gridCol w:w="3623"/>
        <w:gridCol w:w="3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6" w:type="dxa"/>
            <w:gridSpan w:val="3"/>
          </w:tcPr>
          <w:p>
            <w:pPr>
              <w:rPr>
                <w:rFonts w:hint="default" w:ascii="Arial" w:hAnsi="Arial" w:eastAsia="Times New Roman" w:cs="Arial"/>
                <w:color w:val="000000"/>
                <w:sz w:val="21"/>
                <w:szCs w:val="21"/>
                <w:shd w:val="clear" w:color="auto" w:fill="FFFFFF"/>
              </w:rPr>
            </w:pPr>
            <w:r>
              <w:rPr>
                <w:rFonts w:hint="default" w:ascii="Arial" w:hAnsi="Arial" w:cs="Arial"/>
                <w:color w:val="000000"/>
                <w:sz w:val="21"/>
                <w:szCs w:val="21"/>
                <w:shd w:val="clear" w:color="auto" w:fill="FFFFFF"/>
              </w:rPr>
              <w:t>Oligonucleotides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768" w:type="dxa"/>
          </w:tcPr>
          <w:p>
            <w:pPr>
              <w:rPr>
                <w:rFonts w:hint="default" w:ascii="Arial" w:hAnsi="Arial" w:cs="Arial"/>
                <w:color w:val="000000"/>
                <w:sz w:val="21"/>
                <w:szCs w:val="21"/>
                <w:shd w:val="clear" w:color="auto" w:fill="FFFFFF"/>
              </w:rPr>
            </w:pPr>
            <w:r>
              <w:rPr>
                <w:rFonts w:hint="default" w:ascii="Arial" w:hAnsi="Arial" w:cs="Arial"/>
                <w:color w:val="000000"/>
                <w:sz w:val="21"/>
                <w:szCs w:val="21"/>
              </w:rPr>
              <w:t>Gene</w:t>
            </w:r>
          </w:p>
        </w:tc>
        <w:tc>
          <w:tcPr>
            <w:tcW w:w="3623" w:type="dxa"/>
          </w:tcPr>
          <w:p>
            <w:pPr>
              <w:rPr>
                <w:rFonts w:hint="default" w:ascii="Arial" w:hAnsi="Arial" w:eastAsia="Times New Roman" w:cs="Arial"/>
                <w:color w:val="000000"/>
                <w:sz w:val="21"/>
                <w:szCs w:val="21"/>
                <w:shd w:val="clear" w:color="auto" w:fill="FFFFFF"/>
              </w:rPr>
            </w:pPr>
            <w:r>
              <w:rPr>
                <w:rFonts w:hint="default" w:ascii="Arial" w:hAnsi="Arial" w:cs="Arial"/>
                <w:color w:val="000000"/>
                <w:sz w:val="21"/>
                <w:szCs w:val="21"/>
              </w:rPr>
              <w:t>Sense</w:t>
            </w:r>
          </w:p>
        </w:tc>
        <w:tc>
          <w:tcPr>
            <w:tcW w:w="3675" w:type="dxa"/>
          </w:tcPr>
          <w:p>
            <w:pPr>
              <w:rPr>
                <w:rFonts w:hint="default" w:ascii="Arial" w:hAnsi="Arial" w:eastAsia="Times New Roman" w:cs="Arial"/>
                <w:color w:val="000000"/>
                <w:sz w:val="21"/>
                <w:szCs w:val="21"/>
                <w:shd w:val="clear" w:color="auto" w:fill="FFFFFF"/>
              </w:rPr>
            </w:pPr>
            <w:r>
              <w:rPr>
                <w:rFonts w:hint="default" w:ascii="Arial" w:hAnsi="Arial" w:cs="Arial"/>
                <w:color w:val="000000"/>
                <w:sz w:val="21"/>
                <w:szCs w:val="21"/>
              </w:rPr>
              <w:t>Anti-sense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768" w:type="dxa"/>
          </w:tcPr>
          <w:p>
            <w:pPr>
              <w:rPr>
                <w:rFonts w:hint="default" w:ascii="Arial" w:hAnsi="Arial" w:cs="Arial"/>
                <w:color w:val="000000"/>
                <w:sz w:val="21"/>
                <w:szCs w:val="21"/>
              </w:rPr>
            </w:pPr>
            <w:r>
              <w:rPr>
                <w:rFonts w:hint="default" w:ascii="Arial" w:hAnsi="Arial" w:cs="Arial"/>
                <w:color w:val="000000"/>
                <w:sz w:val="21"/>
                <w:szCs w:val="21"/>
              </w:rPr>
              <w:t>NC</w:t>
            </w:r>
          </w:p>
        </w:tc>
        <w:tc>
          <w:tcPr>
            <w:tcW w:w="3623" w:type="dxa"/>
          </w:tcPr>
          <w:p>
            <w:pPr>
              <w:rPr>
                <w:rFonts w:hint="default" w:ascii="Arial" w:hAnsi="Arial" w:cs="Arial"/>
                <w:color w:val="000000"/>
                <w:sz w:val="21"/>
                <w:szCs w:val="21"/>
              </w:rPr>
            </w:pPr>
            <w:r>
              <w:rPr>
                <w:rFonts w:hint="default" w:ascii="Arial" w:hAnsi="Arial" w:cs="Arial"/>
                <w:color w:val="000000"/>
                <w:sz w:val="21"/>
                <w:szCs w:val="21"/>
                <w:lang w:bidi="ar"/>
              </w:rPr>
              <w:t>UUCUCCGAACGUGUCACGUdTdT</w:t>
            </w:r>
          </w:p>
        </w:tc>
        <w:tc>
          <w:tcPr>
            <w:tcW w:w="3675" w:type="dxa"/>
          </w:tcPr>
          <w:p>
            <w:pPr>
              <w:rPr>
                <w:rFonts w:hint="default" w:ascii="Arial" w:hAnsi="Arial" w:cs="Arial"/>
                <w:color w:val="000000"/>
                <w:sz w:val="21"/>
                <w:szCs w:val="21"/>
              </w:rPr>
            </w:pPr>
            <w:r>
              <w:rPr>
                <w:rFonts w:hint="default" w:ascii="Arial" w:hAnsi="Arial" w:cs="Arial"/>
                <w:color w:val="000000"/>
                <w:sz w:val="21"/>
                <w:szCs w:val="21"/>
                <w:lang w:bidi="ar"/>
              </w:rPr>
              <w:t>ACGUGACACGUUCGGAGAAdTdT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768" w:type="dxa"/>
          </w:tcPr>
          <w:p>
            <w:pPr>
              <w:rPr>
                <w:rFonts w:hint="default" w:ascii="Arial" w:hAnsi="Arial" w:cs="Arial"/>
                <w:color w:val="000000"/>
                <w:sz w:val="21"/>
                <w:szCs w:val="21"/>
              </w:rPr>
            </w:pPr>
            <w:r>
              <w:rPr>
                <w:rFonts w:hint="default" w:ascii="Arial" w:hAnsi="Arial" w:cs="Arial"/>
                <w:color w:val="000000"/>
                <w:sz w:val="21"/>
                <w:szCs w:val="21"/>
              </w:rPr>
              <w:t>GFAP siRNA-1</w:t>
            </w:r>
          </w:p>
        </w:tc>
        <w:tc>
          <w:tcPr>
            <w:tcW w:w="3623" w:type="dxa"/>
          </w:tcPr>
          <w:p>
            <w:pPr>
              <w:rPr>
                <w:rFonts w:hint="default" w:ascii="Arial" w:hAnsi="Arial" w:cs="Arial"/>
                <w:color w:val="000000"/>
                <w:sz w:val="21"/>
                <w:szCs w:val="21"/>
                <w:lang w:bidi="ar"/>
              </w:rPr>
            </w:pPr>
            <w:r>
              <w:rPr>
                <w:rFonts w:hint="default" w:ascii="Arial" w:hAnsi="Arial" w:cs="Arial"/>
                <w:color w:val="000000"/>
                <w:sz w:val="21"/>
                <w:szCs w:val="21"/>
              </w:rPr>
              <w:t>CAGAGAUGAUGGAGCUCAAdTdT</w:t>
            </w:r>
          </w:p>
        </w:tc>
        <w:tc>
          <w:tcPr>
            <w:tcW w:w="3675" w:type="dxa"/>
          </w:tcPr>
          <w:p>
            <w:pPr>
              <w:rPr>
                <w:rFonts w:hint="default" w:ascii="Arial" w:hAnsi="Arial" w:cs="Arial"/>
                <w:color w:val="000000"/>
                <w:sz w:val="21"/>
                <w:szCs w:val="21"/>
                <w:lang w:bidi="ar"/>
              </w:rPr>
            </w:pPr>
            <w:r>
              <w:rPr>
                <w:rFonts w:hint="default" w:ascii="Arial" w:hAnsi="Arial" w:cs="Arial"/>
                <w:color w:val="000000"/>
                <w:sz w:val="21"/>
                <w:szCs w:val="21"/>
              </w:rPr>
              <w:t>UUGAGCUCCAUCAUCUCUGdTdT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768" w:type="dxa"/>
          </w:tcPr>
          <w:p>
            <w:pPr>
              <w:rPr>
                <w:rFonts w:hint="default" w:ascii="Arial" w:hAnsi="Arial" w:cs="Arial"/>
                <w:color w:val="000000"/>
                <w:sz w:val="21"/>
                <w:szCs w:val="21"/>
              </w:rPr>
            </w:pPr>
            <w:r>
              <w:rPr>
                <w:rFonts w:hint="default" w:ascii="Arial" w:hAnsi="Arial" w:cs="Arial"/>
                <w:color w:val="000000"/>
                <w:sz w:val="21"/>
                <w:szCs w:val="21"/>
              </w:rPr>
              <w:t>GFAP siRNA-2</w:t>
            </w:r>
          </w:p>
        </w:tc>
        <w:tc>
          <w:tcPr>
            <w:tcW w:w="3623" w:type="dxa"/>
          </w:tcPr>
          <w:p>
            <w:pPr>
              <w:rPr>
                <w:rFonts w:hint="default" w:ascii="Arial" w:hAnsi="Arial" w:cs="Arial"/>
                <w:color w:val="000000"/>
                <w:sz w:val="21"/>
                <w:szCs w:val="21"/>
              </w:rPr>
            </w:pPr>
            <w:r>
              <w:rPr>
                <w:rFonts w:hint="default" w:ascii="Arial" w:hAnsi="Arial" w:cs="Arial"/>
                <w:color w:val="000000"/>
                <w:sz w:val="21"/>
                <w:szCs w:val="21"/>
                <w:lang w:bidi="ar"/>
              </w:rPr>
              <w:t>GGCUGGAAGCCGAGAACAAdTdT</w:t>
            </w:r>
          </w:p>
        </w:tc>
        <w:tc>
          <w:tcPr>
            <w:tcW w:w="3675" w:type="dxa"/>
          </w:tcPr>
          <w:p>
            <w:pPr>
              <w:rPr>
                <w:rFonts w:hint="default" w:ascii="Arial" w:hAnsi="Arial" w:cs="Arial"/>
                <w:color w:val="000000"/>
                <w:sz w:val="21"/>
                <w:szCs w:val="21"/>
              </w:rPr>
            </w:pPr>
            <w:r>
              <w:rPr>
                <w:rFonts w:hint="default" w:ascii="Arial" w:hAnsi="Arial" w:cs="Arial"/>
                <w:color w:val="000000"/>
                <w:sz w:val="21"/>
                <w:szCs w:val="21"/>
                <w:lang w:bidi="ar"/>
              </w:rPr>
              <w:t>UUGUUCUCGGCUUCCAGCCdTdT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768" w:type="dxa"/>
          </w:tcPr>
          <w:p>
            <w:pPr>
              <w:rPr>
                <w:rFonts w:hint="default" w:ascii="Arial" w:hAnsi="Arial" w:cs="Arial"/>
                <w:color w:val="000000"/>
                <w:sz w:val="21"/>
                <w:szCs w:val="21"/>
              </w:rPr>
            </w:pPr>
            <w:r>
              <w:rPr>
                <w:rFonts w:hint="default" w:ascii="Arial" w:hAnsi="Arial" w:cs="Arial"/>
                <w:color w:val="000000"/>
                <w:sz w:val="21"/>
                <w:szCs w:val="21"/>
              </w:rPr>
              <w:t>NC</w:t>
            </w:r>
          </w:p>
        </w:tc>
        <w:tc>
          <w:tcPr>
            <w:tcW w:w="3623" w:type="dxa"/>
          </w:tcPr>
          <w:p>
            <w:pPr>
              <w:rPr>
                <w:rFonts w:hint="default" w:ascii="Arial" w:hAnsi="Arial" w:cs="Arial"/>
                <w:color w:val="000000"/>
                <w:sz w:val="21"/>
                <w:szCs w:val="21"/>
                <w:lang w:bidi="ar"/>
              </w:rPr>
            </w:pPr>
            <w:r>
              <w:rPr>
                <w:rFonts w:hint="default" w:ascii="Arial" w:hAnsi="Arial" w:cs="Arial"/>
                <w:color w:val="000000"/>
                <w:sz w:val="21"/>
                <w:szCs w:val="21"/>
                <w:lang w:bidi="ar"/>
              </w:rPr>
              <w:t>UUCUCCGAACGUGUCACGUdTdT</w:t>
            </w:r>
          </w:p>
        </w:tc>
        <w:tc>
          <w:tcPr>
            <w:tcW w:w="3675" w:type="dxa"/>
          </w:tcPr>
          <w:p>
            <w:pPr>
              <w:rPr>
                <w:rFonts w:hint="default" w:ascii="Arial" w:hAnsi="Arial" w:cs="Arial"/>
                <w:color w:val="000000"/>
                <w:sz w:val="21"/>
                <w:szCs w:val="21"/>
                <w:lang w:bidi="ar"/>
              </w:rPr>
            </w:pPr>
            <w:r>
              <w:rPr>
                <w:rFonts w:hint="default" w:ascii="Arial" w:hAnsi="Arial" w:cs="Arial"/>
                <w:color w:val="000000"/>
                <w:sz w:val="21"/>
                <w:szCs w:val="21"/>
                <w:lang w:bidi="ar"/>
              </w:rPr>
              <w:t>ACGUGACACGUUCGGAGAAdTdT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768" w:type="dxa"/>
          </w:tcPr>
          <w:p>
            <w:pPr>
              <w:rPr>
                <w:rFonts w:hint="default" w:ascii="Arial" w:hAnsi="Arial" w:cs="Arial"/>
                <w:color w:val="000000"/>
                <w:sz w:val="21"/>
                <w:szCs w:val="21"/>
              </w:rPr>
            </w:pPr>
            <w:r>
              <w:rPr>
                <w:rFonts w:hint="default" w:ascii="Arial" w:hAnsi="Arial" w:cs="Arial"/>
                <w:color w:val="000000"/>
                <w:sz w:val="21"/>
                <w:szCs w:val="21"/>
              </w:rPr>
              <w:t>c-myc siRNA-1</w:t>
            </w:r>
          </w:p>
        </w:tc>
        <w:tc>
          <w:tcPr>
            <w:tcW w:w="3623" w:type="dxa"/>
          </w:tcPr>
          <w:p>
            <w:pPr>
              <w:rPr>
                <w:rFonts w:hint="default" w:ascii="Arial" w:hAnsi="Arial" w:cs="Arial"/>
                <w:color w:val="000000"/>
                <w:sz w:val="21"/>
                <w:szCs w:val="21"/>
                <w:lang w:bidi="ar"/>
              </w:rPr>
            </w:pPr>
            <w:r>
              <w:rPr>
                <w:rFonts w:hint="default" w:ascii="Arial" w:hAnsi="Arial" w:cs="Arial"/>
                <w:color w:val="000000"/>
                <w:sz w:val="21"/>
                <w:szCs w:val="21"/>
                <w:lang w:bidi="ar"/>
              </w:rPr>
              <w:t>CGACGAGACCUUCAUCAAAdTdT</w:t>
            </w:r>
          </w:p>
        </w:tc>
        <w:tc>
          <w:tcPr>
            <w:tcW w:w="3675" w:type="dxa"/>
          </w:tcPr>
          <w:p>
            <w:pPr>
              <w:rPr>
                <w:rFonts w:hint="default" w:ascii="Arial" w:hAnsi="Arial" w:cs="Arial"/>
                <w:color w:val="000000"/>
                <w:sz w:val="21"/>
                <w:szCs w:val="21"/>
                <w:lang w:bidi="ar"/>
              </w:rPr>
            </w:pPr>
            <w:r>
              <w:rPr>
                <w:rFonts w:hint="default" w:ascii="Arial" w:hAnsi="Arial" w:cs="Arial"/>
                <w:color w:val="000000"/>
                <w:sz w:val="21"/>
                <w:szCs w:val="21"/>
                <w:lang w:bidi="ar"/>
              </w:rPr>
              <w:t>UUUGAUGAAGGUCUCGUCGdTdT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768" w:type="dxa"/>
          </w:tcPr>
          <w:p>
            <w:pPr>
              <w:rPr>
                <w:rFonts w:hint="default" w:ascii="Arial" w:hAnsi="Arial" w:cs="Arial"/>
                <w:color w:val="000000"/>
                <w:sz w:val="21"/>
                <w:szCs w:val="21"/>
              </w:rPr>
            </w:pPr>
            <w:r>
              <w:rPr>
                <w:rFonts w:hint="default" w:ascii="Arial" w:hAnsi="Arial" w:cs="Arial"/>
                <w:color w:val="000000"/>
                <w:sz w:val="21"/>
                <w:szCs w:val="21"/>
              </w:rPr>
              <w:t>c-myc siRNA-2</w:t>
            </w:r>
          </w:p>
        </w:tc>
        <w:tc>
          <w:tcPr>
            <w:tcW w:w="3623" w:type="dxa"/>
          </w:tcPr>
          <w:p>
            <w:pPr>
              <w:rPr>
                <w:rFonts w:hint="default" w:ascii="Arial" w:hAnsi="Arial" w:cs="Arial"/>
                <w:color w:val="000000"/>
                <w:sz w:val="21"/>
                <w:szCs w:val="21"/>
                <w:lang w:bidi="ar"/>
              </w:rPr>
            </w:pPr>
            <w:r>
              <w:rPr>
                <w:rFonts w:hint="default" w:ascii="Arial" w:hAnsi="Arial" w:cs="Arial"/>
                <w:color w:val="000000"/>
                <w:sz w:val="21"/>
                <w:szCs w:val="21"/>
                <w:lang w:bidi="ar"/>
              </w:rPr>
              <w:t>CGAUGUUGUUUCUGUGGAAdTdT</w:t>
            </w:r>
          </w:p>
        </w:tc>
        <w:tc>
          <w:tcPr>
            <w:tcW w:w="3675" w:type="dxa"/>
          </w:tcPr>
          <w:p>
            <w:pPr>
              <w:rPr>
                <w:rFonts w:hint="default" w:ascii="Arial" w:hAnsi="Arial" w:cs="Arial"/>
                <w:color w:val="000000"/>
                <w:sz w:val="21"/>
                <w:szCs w:val="21"/>
                <w:lang w:bidi="ar"/>
              </w:rPr>
            </w:pPr>
            <w:r>
              <w:rPr>
                <w:rFonts w:hint="default" w:ascii="Arial" w:hAnsi="Arial" w:cs="Arial"/>
                <w:color w:val="000000"/>
                <w:sz w:val="21"/>
                <w:szCs w:val="21"/>
                <w:lang w:bidi="ar"/>
              </w:rPr>
              <w:t>UUCCACAGAAACAACAUCGdTdT</w:t>
            </w:r>
          </w:p>
        </w:tc>
      </w:tr>
    </w:tbl>
    <w:p>
      <w:pPr>
        <w:rPr>
          <w:rFonts w:hint="default" w:ascii="Arial" w:hAnsi="Arial" w:cs="Arial"/>
          <w:lang w:eastAsia="zh-CN"/>
        </w:rPr>
        <w:sectPr>
          <w:pgSz w:w="11906" w:h="16838"/>
          <w:pgMar w:top="1440" w:right="1800" w:bottom="1440" w:left="1800" w:header="851" w:footer="992" w:gutter="0"/>
          <w:cols w:space="425" w:num="1"/>
          <w:docGrid w:type="lines" w:linePitch="312" w:charSpace="0"/>
        </w:sectPr>
      </w:pPr>
      <w:r>
        <w:rPr>
          <w:rFonts w:hint="default" w:ascii="Arial" w:hAnsi="Arial" w:cs="Arial"/>
        </w:rPr>
        <w:br w:type="page"/>
      </w:r>
    </w:p>
    <w:p>
      <w:pPr>
        <w:spacing w:line="480" w:lineRule="auto"/>
        <w:jc w:val="both"/>
        <w:rPr>
          <w:rFonts w:hint="default" w:ascii="Arial" w:hAnsi="Arial" w:eastAsia="宋体" w:cs="Arial"/>
          <w:b/>
          <w:bCs/>
          <w:sz w:val="28"/>
          <w:lang w:val="en-US" w:eastAsia="zh-CN"/>
        </w:rPr>
      </w:pPr>
      <w:r>
        <w:rPr>
          <w:rFonts w:hint="default" w:ascii="Arial" w:hAnsi="Arial" w:cs="Arial"/>
          <w:b/>
          <w:bCs/>
          <w:sz w:val="28"/>
          <w:lang w:val="en-GB"/>
        </w:rPr>
        <w:t xml:space="preserve">Supplementary </w:t>
      </w:r>
      <w:r>
        <w:rPr>
          <w:rFonts w:hint="eastAsia" w:ascii="Arial" w:hAnsi="Arial" w:cs="Arial"/>
          <w:b/>
          <w:bCs/>
          <w:sz w:val="28"/>
          <w:lang w:val="en-US" w:eastAsia="zh-CN"/>
        </w:rPr>
        <w:t>Figures</w:t>
      </w:r>
    </w:p>
    <w:p>
      <w:pPr>
        <w:jc w:val="both"/>
        <w:rPr>
          <w:rFonts w:hint="default" w:ascii="Arial" w:hAnsi="Arial" w:eastAsia="宋体" w:cs="Arial"/>
          <w:lang w:eastAsia="zh-CN"/>
        </w:rPr>
      </w:pPr>
    </w:p>
    <w:p>
      <w:pPr>
        <w:jc w:val="center"/>
        <w:rPr>
          <w:rFonts w:hint="default" w:ascii="Arial" w:hAnsi="Arial" w:eastAsia="宋体" w:cs="Arial"/>
          <w:lang w:eastAsia="zh-CN"/>
        </w:rPr>
      </w:pPr>
      <w:r>
        <w:rPr>
          <w:rFonts w:hint="default" w:ascii="Arial" w:hAnsi="Arial" w:eastAsia="宋体" w:cs="Arial"/>
          <w:lang w:eastAsia="zh-CN"/>
        </w:rPr>
        <w:drawing>
          <wp:inline distT="0" distB="0" distL="114300" distR="114300">
            <wp:extent cx="6579870" cy="5013960"/>
            <wp:effectExtent l="0" t="0" r="3810" b="0"/>
            <wp:docPr id="8" name="图片 8" desc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1"/>
                    <pic:cNvPicPr>
                      <a:picLocks noChangeAspect="1"/>
                    </pic:cNvPicPr>
                  </pic:nvPicPr>
                  <pic:blipFill>
                    <a:blip r:embed="rId4"/>
                    <a:stretch>
                      <a:fillRect/>
                    </a:stretch>
                  </pic:blipFill>
                  <pic:spPr>
                    <a:xfrm>
                      <a:off x="0" y="0"/>
                      <a:ext cx="6579870" cy="5013960"/>
                    </a:xfrm>
                    <a:prstGeom prst="rect">
                      <a:avLst/>
                    </a:prstGeom>
                  </pic:spPr>
                </pic:pic>
              </a:graphicData>
            </a:graphic>
          </wp:inline>
        </w:drawing>
      </w:r>
    </w:p>
    <w:p>
      <w:pPr>
        <w:widowControl w:val="0"/>
        <w:spacing w:line="276" w:lineRule="auto"/>
        <w:jc w:val="both"/>
        <w:rPr>
          <w:rStyle w:val="8"/>
          <w:rFonts w:hint="default" w:ascii="Arial" w:hAnsi="Arial" w:cs="Arial"/>
          <w:kern w:val="2"/>
          <w:sz w:val="21"/>
          <w:szCs w:val="21"/>
        </w:rPr>
      </w:pPr>
      <w:r>
        <w:rPr>
          <w:rStyle w:val="7"/>
          <w:rFonts w:hint="default" w:ascii="Arial" w:hAnsi="Arial" w:cs="Arial"/>
          <w:kern w:val="2"/>
          <w:sz w:val="21"/>
          <w:szCs w:val="21"/>
        </w:rPr>
        <w:t>Supplementary Figure 1. Representative images of nerve sections of nerve with PNI and control nerve.</w:t>
      </w:r>
      <w:r>
        <w:rPr>
          <w:rFonts w:hint="default" w:ascii="Arial" w:hAnsi="Arial" w:cs="Arial"/>
          <w:b/>
          <w:bCs/>
          <w:color w:val="000000"/>
          <w:kern w:val="2"/>
          <w:sz w:val="21"/>
          <w:szCs w:val="21"/>
        </w:rPr>
        <w:br w:type="textWrapping"/>
      </w:r>
      <w:r>
        <w:rPr>
          <w:rStyle w:val="7"/>
          <w:rFonts w:hint="default" w:ascii="Arial" w:hAnsi="Arial" w:cs="Arial"/>
          <w:kern w:val="2"/>
          <w:sz w:val="21"/>
          <w:szCs w:val="21"/>
        </w:rPr>
        <w:t xml:space="preserve">(A) </w:t>
      </w:r>
      <w:r>
        <w:rPr>
          <w:rStyle w:val="8"/>
          <w:rFonts w:hint="default" w:ascii="Arial" w:hAnsi="Arial" w:cs="Arial"/>
          <w:kern w:val="2"/>
          <w:sz w:val="21"/>
          <w:szCs w:val="21"/>
        </w:rPr>
        <w:t>Representative images of nerve sections with S100 (red) and CK19(green) staining to distinguish nerve with PNI from control nerve.</w:t>
      </w:r>
    </w:p>
    <w:p>
      <w:pPr>
        <w:rPr>
          <w:rFonts w:hint="default" w:ascii="Arial" w:hAnsi="Arial" w:eastAsia="宋体" w:cs="Arial"/>
          <w:lang w:eastAsia="zh-CN"/>
        </w:rPr>
      </w:pPr>
      <w:r>
        <w:rPr>
          <w:rFonts w:hint="default" w:ascii="Arial" w:hAnsi="Arial" w:eastAsia="宋体" w:cs="Arial"/>
          <w:lang w:eastAsia="zh-CN"/>
        </w:rPr>
        <w:drawing>
          <wp:inline distT="0" distB="0" distL="114300" distR="114300">
            <wp:extent cx="6625590" cy="6625590"/>
            <wp:effectExtent l="0" t="0" r="3810" b="3810"/>
            <wp:docPr id="7" name="图片 7" descr="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2"/>
                    <pic:cNvPicPr>
                      <a:picLocks noChangeAspect="1"/>
                    </pic:cNvPicPr>
                  </pic:nvPicPr>
                  <pic:blipFill>
                    <a:blip r:embed="rId5"/>
                    <a:stretch>
                      <a:fillRect/>
                    </a:stretch>
                  </pic:blipFill>
                  <pic:spPr>
                    <a:xfrm>
                      <a:off x="0" y="0"/>
                      <a:ext cx="6625590" cy="6625590"/>
                    </a:xfrm>
                    <a:prstGeom prst="rect">
                      <a:avLst/>
                    </a:prstGeom>
                  </pic:spPr>
                </pic:pic>
              </a:graphicData>
            </a:graphic>
          </wp:inline>
        </w:drawing>
      </w:r>
    </w:p>
    <w:p>
      <w:pPr>
        <w:jc w:val="center"/>
        <w:rPr>
          <w:rFonts w:hint="default" w:ascii="Arial" w:hAnsi="Arial" w:eastAsia="宋体" w:cs="Arial"/>
          <w:lang w:eastAsia="zh-CN"/>
        </w:rPr>
      </w:pPr>
    </w:p>
    <w:p>
      <w:pPr>
        <w:spacing w:line="276" w:lineRule="auto"/>
        <w:rPr>
          <w:rStyle w:val="8"/>
          <w:rFonts w:hint="default" w:ascii="Arial" w:hAnsi="Arial" w:cs="Arial"/>
          <w:sz w:val="21"/>
          <w:szCs w:val="21"/>
        </w:rPr>
      </w:pPr>
      <w:r>
        <w:rPr>
          <w:rStyle w:val="7"/>
          <w:rFonts w:hint="default" w:ascii="Arial" w:hAnsi="Arial" w:cs="Arial"/>
          <w:sz w:val="21"/>
          <w:szCs w:val="21"/>
        </w:rPr>
        <w:t>Supplementary Figure 2. The sciatic nerve model and primary Schwann cell model.</w:t>
      </w:r>
      <w:r>
        <w:rPr>
          <w:rFonts w:hint="default" w:ascii="Arial" w:hAnsi="Arial" w:cs="Arial"/>
          <w:b/>
          <w:bCs/>
          <w:color w:val="000000"/>
          <w:szCs w:val="21"/>
        </w:rPr>
        <w:br w:type="textWrapping"/>
      </w:r>
      <w:r>
        <w:rPr>
          <w:rStyle w:val="7"/>
          <w:rFonts w:hint="default" w:ascii="Arial" w:hAnsi="Arial" w:cs="Arial"/>
          <w:sz w:val="21"/>
          <w:szCs w:val="21"/>
        </w:rPr>
        <w:t xml:space="preserve">(A) </w:t>
      </w:r>
      <w:r>
        <w:rPr>
          <w:rStyle w:val="8"/>
          <w:rFonts w:hint="default" w:ascii="Arial" w:hAnsi="Arial" w:cs="Arial"/>
          <w:sz w:val="21"/>
          <w:szCs w:val="21"/>
        </w:rPr>
        <w:t>Schematic diagram of acquisition of sciatic nerve and primary schwann cell in mice.</w:t>
      </w:r>
    </w:p>
    <w:p>
      <w:pPr>
        <w:spacing w:line="276" w:lineRule="auto"/>
        <w:rPr>
          <w:rStyle w:val="8"/>
          <w:rFonts w:hint="default" w:ascii="Arial" w:hAnsi="Arial" w:cs="Arial"/>
          <w:sz w:val="21"/>
          <w:szCs w:val="21"/>
        </w:rPr>
      </w:pPr>
      <w:r>
        <w:rPr>
          <w:rStyle w:val="7"/>
          <w:rFonts w:hint="default" w:ascii="Arial" w:hAnsi="Arial" w:cs="Arial"/>
          <w:sz w:val="21"/>
          <w:szCs w:val="21"/>
        </w:rPr>
        <w:t xml:space="preserve">(B) </w:t>
      </w:r>
      <w:r>
        <w:rPr>
          <w:rStyle w:val="8"/>
          <w:rFonts w:hint="default" w:ascii="Arial" w:hAnsi="Arial" w:cs="Arial"/>
          <w:sz w:val="21"/>
          <w:szCs w:val="21"/>
        </w:rPr>
        <w:t>Representative images of sciatic nerve form day1 to day 6.</w:t>
      </w:r>
    </w:p>
    <w:p>
      <w:pPr>
        <w:spacing w:line="276" w:lineRule="auto"/>
        <w:rPr>
          <w:rStyle w:val="8"/>
          <w:rFonts w:hint="default" w:ascii="Arial" w:hAnsi="Arial" w:cs="Arial"/>
          <w:sz w:val="21"/>
          <w:szCs w:val="21"/>
        </w:rPr>
      </w:pPr>
      <w:r>
        <w:rPr>
          <w:rStyle w:val="7"/>
          <w:rFonts w:hint="default" w:ascii="Arial" w:hAnsi="Arial" w:cs="Arial"/>
          <w:sz w:val="21"/>
          <w:szCs w:val="21"/>
        </w:rPr>
        <w:t xml:space="preserve">(C) </w:t>
      </w:r>
      <w:r>
        <w:rPr>
          <w:rStyle w:val="8"/>
          <w:rFonts w:hint="default" w:ascii="Arial" w:hAnsi="Arial" w:cs="Arial"/>
          <w:sz w:val="21"/>
          <w:szCs w:val="21"/>
        </w:rPr>
        <w:t>Representative images of primary Schwann cell with S100 (green) staining to confirm the purity of Schwann cell.</w:t>
      </w:r>
    </w:p>
    <w:p>
      <w:pPr>
        <w:rPr>
          <w:rFonts w:hint="default" w:ascii="Arial" w:hAnsi="Arial" w:eastAsia="宋体" w:cs="Arial"/>
          <w:lang w:eastAsia="zh-CN"/>
        </w:rPr>
      </w:pPr>
    </w:p>
    <w:p>
      <w:pPr>
        <w:rPr>
          <w:rFonts w:hint="default" w:ascii="Arial" w:hAnsi="Arial" w:eastAsia="宋体" w:cs="Arial"/>
          <w:lang w:eastAsia="zh-CN"/>
        </w:rPr>
      </w:pPr>
      <w:r>
        <w:rPr>
          <w:rFonts w:hint="default" w:ascii="Arial" w:hAnsi="Arial" w:eastAsia="宋体" w:cs="Arial"/>
          <w:lang w:eastAsia="zh-CN"/>
        </w:rPr>
        <w:drawing>
          <wp:inline distT="0" distB="0" distL="114300" distR="114300">
            <wp:extent cx="6651625" cy="9409430"/>
            <wp:effectExtent l="0" t="0" r="8255" b="8890"/>
            <wp:docPr id="6" name="图片 6" descr="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3"/>
                    <pic:cNvPicPr>
                      <a:picLocks noChangeAspect="1"/>
                    </pic:cNvPicPr>
                  </pic:nvPicPr>
                  <pic:blipFill>
                    <a:blip r:embed="rId6"/>
                    <a:stretch>
                      <a:fillRect/>
                    </a:stretch>
                  </pic:blipFill>
                  <pic:spPr>
                    <a:xfrm>
                      <a:off x="0" y="0"/>
                      <a:ext cx="6651625" cy="9409430"/>
                    </a:xfrm>
                    <a:prstGeom prst="rect">
                      <a:avLst/>
                    </a:prstGeom>
                  </pic:spPr>
                </pic:pic>
              </a:graphicData>
            </a:graphic>
          </wp:inline>
        </w:drawing>
      </w:r>
    </w:p>
    <w:p>
      <w:pPr>
        <w:spacing w:line="276" w:lineRule="auto"/>
        <w:rPr>
          <w:rStyle w:val="8"/>
          <w:rFonts w:hint="default" w:ascii="Arial" w:hAnsi="Arial" w:cs="Arial"/>
          <w:sz w:val="21"/>
          <w:szCs w:val="21"/>
        </w:rPr>
      </w:pPr>
      <w:r>
        <w:rPr>
          <w:rStyle w:val="7"/>
          <w:rFonts w:hint="default" w:ascii="Arial" w:hAnsi="Arial" w:cs="Arial"/>
          <w:sz w:val="21"/>
          <w:szCs w:val="21"/>
        </w:rPr>
        <w:t>Supplementary Figure 3. Schematic diagram and statistical results of 3D coculture model of DRGs and pancreatic cancer cells.</w:t>
      </w:r>
      <w:r>
        <w:rPr>
          <w:rFonts w:hint="default" w:ascii="Arial" w:hAnsi="Arial" w:cs="Arial"/>
          <w:b/>
          <w:bCs/>
          <w:color w:val="000000"/>
          <w:szCs w:val="21"/>
        </w:rPr>
        <w:br w:type="textWrapping"/>
      </w:r>
      <w:r>
        <w:rPr>
          <w:rStyle w:val="7"/>
          <w:rFonts w:hint="default" w:ascii="Arial" w:hAnsi="Arial" w:cs="Arial"/>
          <w:sz w:val="21"/>
          <w:szCs w:val="21"/>
        </w:rPr>
        <w:t xml:space="preserve">(A) </w:t>
      </w:r>
      <w:r>
        <w:rPr>
          <w:rStyle w:val="8"/>
          <w:rFonts w:hint="default" w:ascii="Arial" w:hAnsi="Arial" w:cs="Arial"/>
          <w:sz w:val="21"/>
          <w:szCs w:val="21"/>
        </w:rPr>
        <w:t>Schematic diagram of 3D coculture model of DRGs and pancreatic cancer cells.</w:t>
      </w:r>
    </w:p>
    <w:p>
      <w:pPr>
        <w:spacing w:line="276" w:lineRule="auto"/>
        <w:rPr>
          <w:rStyle w:val="8"/>
          <w:rFonts w:hint="default" w:ascii="Arial" w:hAnsi="Arial" w:cs="Arial"/>
          <w:sz w:val="21"/>
          <w:szCs w:val="21"/>
        </w:rPr>
      </w:pPr>
      <w:r>
        <w:rPr>
          <w:rStyle w:val="7"/>
          <w:rFonts w:hint="default" w:ascii="Arial" w:hAnsi="Arial" w:cs="Arial"/>
          <w:sz w:val="21"/>
          <w:szCs w:val="21"/>
        </w:rPr>
        <w:t xml:space="preserve">(B) </w:t>
      </w:r>
      <w:r>
        <w:rPr>
          <w:rStyle w:val="8"/>
          <w:rFonts w:hint="default" w:ascii="Arial" w:hAnsi="Arial" w:cs="Arial"/>
          <w:sz w:val="21"/>
          <w:szCs w:val="21"/>
        </w:rPr>
        <w:t>Representative images of 3D coculture model of DRGs and Pancreatic cancer cells line MIA PaCa-2. MIA PaCa-2 migrated to the DRG gradually, and the neurite outgrowth extended to the pancreatic cancer cell from the DRGs.The green fluorescent protein mark the initial edge of pancreatic cancer cell colonies at day 1. The black DRG show the edge of outgrowing DRG neurite at day1. The representative images showed the change of 3D coculture model from day1 to day11.</w:t>
      </w:r>
    </w:p>
    <w:p>
      <w:pPr>
        <w:spacing w:line="276" w:lineRule="auto"/>
        <w:rPr>
          <w:rStyle w:val="8"/>
          <w:rFonts w:hint="default" w:ascii="Arial" w:hAnsi="Arial" w:cs="Arial"/>
          <w:sz w:val="21"/>
          <w:szCs w:val="21"/>
        </w:rPr>
      </w:pPr>
      <w:r>
        <w:rPr>
          <w:rStyle w:val="7"/>
          <w:rFonts w:hint="default" w:ascii="Arial" w:hAnsi="Arial" w:cs="Arial"/>
          <w:sz w:val="21"/>
          <w:szCs w:val="21"/>
        </w:rPr>
        <w:t xml:space="preserve">(C) </w:t>
      </w:r>
      <w:r>
        <w:rPr>
          <w:rStyle w:val="8"/>
          <w:rFonts w:hint="default" w:ascii="Arial" w:hAnsi="Arial" w:cs="Arial"/>
          <w:sz w:val="21"/>
          <w:szCs w:val="21"/>
        </w:rPr>
        <w:t>nerve invasion index (left) and DRG outgrowth index (right) in different coculture groups at day 6(*: P &lt; 0.05).</w:t>
      </w:r>
    </w:p>
    <w:p>
      <w:pPr>
        <w:rPr>
          <w:rFonts w:hint="default" w:ascii="Arial" w:hAnsi="Arial" w:eastAsia="宋体" w:cs="Arial"/>
          <w:lang w:eastAsia="zh-CN"/>
        </w:rPr>
      </w:pPr>
    </w:p>
    <w:p>
      <w:pPr>
        <w:rPr>
          <w:rFonts w:hint="default" w:ascii="Arial" w:hAnsi="Arial" w:eastAsia="宋体" w:cs="Arial"/>
          <w:lang w:eastAsia="zh-CN"/>
        </w:rPr>
      </w:pPr>
    </w:p>
    <w:p>
      <w:pPr>
        <w:rPr>
          <w:rFonts w:hint="default" w:ascii="Arial" w:hAnsi="Arial" w:eastAsia="宋体" w:cs="Arial"/>
          <w:lang w:eastAsia="zh-CN"/>
        </w:rPr>
      </w:pPr>
      <w:r>
        <w:rPr>
          <w:rFonts w:hint="default" w:ascii="Arial" w:hAnsi="Arial" w:eastAsia="宋体" w:cs="Arial"/>
          <w:lang w:eastAsia="zh-CN"/>
        </w:rPr>
        <w:drawing>
          <wp:inline distT="0" distB="0" distL="114300" distR="114300">
            <wp:extent cx="6622415" cy="9366885"/>
            <wp:effectExtent l="0" t="0" r="6985" b="5715"/>
            <wp:docPr id="5" name="图片 5" descr="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4"/>
                    <pic:cNvPicPr>
                      <a:picLocks noChangeAspect="1"/>
                    </pic:cNvPicPr>
                  </pic:nvPicPr>
                  <pic:blipFill>
                    <a:blip r:embed="rId7"/>
                    <a:stretch>
                      <a:fillRect/>
                    </a:stretch>
                  </pic:blipFill>
                  <pic:spPr>
                    <a:xfrm>
                      <a:off x="0" y="0"/>
                      <a:ext cx="6622415" cy="9366885"/>
                    </a:xfrm>
                    <a:prstGeom prst="rect">
                      <a:avLst/>
                    </a:prstGeom>
                  </pic:spPr>
                </pic:pic>
              </a:graphicData>
            </a:graphic>
          </wp:inline>
        </w:drawing>
      </w:r>
    </w:p>
    <w:p>
      <w:pPr>
        <w:spacing w:line="276" w:lineRule="auto"/>
        <w:rPr>
          <w:rStyle w:val="8"/>
          <w:rFonts w:hint="default" w:ascii="Arial" w:hAnsi="Arial" w:cs="Arial"/>
          <w:sz w:val="21"/>
          <w:szCs w:val="21"/>
        </w:rPr>
      </w:pPr>
      <w:r>
        <w:rPr>
          <w:rStyle w:val="7"/>
          <w:rFonts w:hint="default" w:ascii="Arial" w:hAnsi="Arial" w:cs="Arial"/>
          <w:sz w:val="21"/>
          <w:szCs w:val="21"/>
        </w:rPr>
        <w:t xml:space="preserve">Supplementary Figure </w:t>
      </w:r>
      <w:r>
        <w:rPr>
          <w:rStyle w:val="7"/>
          <w:rFonts w:hint="default" w:ascii="Arial" w:hAnsi="Arial" w:cs="Arial"/>
          <w:sz w:val="21"/>
          <w:szCs w:val="21"/>
          <w:lang w:val="en-US" w:eastAsia="zh-CN"/>
        </w:rPr>
        <w:t>4</w:t>
      </w:r>
      <w:r>
        <w:rPr>
          <w:rStyle w:val="7"/>
          <w:rFonts w:hint="default" w:ascii="Arial" w:hAnsi="Arial" w:cs="Arial"/>
          <w:sz w:val="21"/>
          <w:szCs w:val="21"/>
        </w:rPr>
        <w:t>. Representative images of nerve sections in PDAC patients.</w:t>
      </w:r>
      <w:r>
        <w:rPr>
          <w:rFonts w:hint="default" w:ascii="Arial" w:hAnsi="Arial" w:cs="Arial"/>
          <w:b/>
          <w:bCs/>
          <w:color w:val="000000"/>
          <w:szCs w:val="21"/>
        </w:rPr>
        <w:br w:type="textWrapping"/>
      </w:r>
      <w:r>
        <w:rPr>
          <w:rStyle w:val="7"/>
          <w:rFonts w:hint="default" w:ascii="Arial" w:hAnsi="Arial" w:cs="Arial"/>
          <w:sz w:val="21"/>
          <w:szCs w:val="21"/>
        </w:rPr>
        <w:t xml:space="preserve">(A) </w:t>
      </w:r>
      <w:r>
        <w:rPr>
          <w:rStyle w:val="8"/>
          <w:rFonts w:hint="default" w:ascii="Arial" w:hAnsi="Arial" w:cs="Arial"/>
          <w:sz w:val="21"/>
          <w:szCs w:val="21"/>
        </w:rPr>
        <w:t>Representative images of nerve sections with S100 (red) and GFAP (green) staining in PDAC patients.</w:t>
      </w:r>
    </w:p>
    <w:p>
      <w:pPr>
        <w:spacing w:line="276" w:lineRule="auto"/>
        <w:rPr>
          <w:rStyle w:val="8"/>
          <w:rFonts w:hint="default" w:ascii="Arial" w:hAnsi="Arial" w:cs="Arial"/>
          <w:sz w:val="21"/>
          <w:szCs w:val="21"/>
        </w:rPr>
      </w:pPr>
      <w:r>
        <w:rPr>
          <w:rStyle w:val="7"/>
          <w:rFonts w:hint="default" w:ascii="Arial" w:hAnsi="Arial" w:cs="Arial"/>
          <w:sz w:val="21"/>
          <w:szCs w:val="21"/>
        </w:rPr>
        <w:t xml:space="preserve">(B) </w:t>
      </w:r>
      <w:r>
        <w:rPr>
          <w:rStyle w:val="8"/>
          <w:rFonts w:hint="default" w:ascii="Arial" w:hAnsi="Arial" w:cs="Arial"/>
          <w:sz w:val="21"/>
          <w:szCs w:val="21"/>
        </w:rPr>
        <w:t>Representative images of nerve sections with CK19 (red) and GFAP (green) staining in PDAC patients.</w:t>
      </w:r>
    </w:p>
    <w:p>
      <w:pPr>
        <w:rPr>
          <w:rFonts w:hint="default" w:ascii="Arial" w:hAnsi="Arial" w:eastAsia="宋体" w:cs="Arial"/>
          <w:lang w:eastAsia="zh-CN"/>
        </w:rPr>
      </w:pPr>
    </w:p>
    <w:p>
      <w:pPr>
        <w:spacing w:line="276" w:lineRule="auto"/>
        <w:rPr>
          <w:rStyle w:val="8"/>
          <w:rFonts w:hint="default" w:ascii="Arial" w:hAnsi="Arial" w:cs="Arial"/>
          <w:sz w:val="21"/>
          <w:szCs w:val="21"/>
        </w:rPr>
      </w:pPr>
      <w:r>
        <w:rPr>
          <w:rFonts w:hint="default" w:ascii="Arial" w:hAnsi="Arial" w:eastAsia="宋体" w:cs="Arial"/>
          <w:lang w:eastAsia="zh-CN"/>
        </w:rPr>
        <w:drawing>
          <wp:inline distT="0" distB="0" distL="114300" distR="114300">
            <wp:extent cx="6866255" cy="6539865"/>
            <wp:effectExtent l="0" t="0" r="6985" b="13335"/>
            <wp:docPr id="4" name="图片 4" descr="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5"/>
                    <pic:cNvPicPr>
                      <a:picLocks noChangeAspect="1"/>
                    </pic:cNvPicPr>
                  </pic:nvPicPr>
                  <pic:blipFill>
                    <a:blip r:embed="rId8"/>
                    <a:stretch>
                      <a:fillRect/>
                    </a:stretch>
                  </pic:blipFill>
                  <pic:spPr>
                    <a:xfrm>
                      <a:off x="0" y="0"/>
                      <a:ext cx="6866255" cy="6539865"/>
                    </a:xfrm>
                    <a:prstGeom prst="rect">
                      <a:avLst/>
                    </a:prstGeom>
                  </pic:spPr>
                </pic:pic>
              </a:graphicData>
            </a:graphic>
          </wp:inline>
        </w:drawing>
      </w:r>
      <w:r>
        <w:rPr>
          <w:rStyle w:val="7"/>
          <w:rFonts w:hint="default" w:ascii="Arial" w:hAnsi="Arial" w:cs="Arial"/>
          <w:sz w:val="21"/>
          <w:szCs w:val="21"/>
        </w:rPr>
        <w:t xml:space="preserve">Supplementary Figure </w:t>
      </w:r>
      <w:r>
        <w:rPr>
          <w:rStyle w:val="7"/>
          <w:rFonts w:hint="default" w:ascii="Arial" w:hAnsi="Arial" w:cs="Arial"/>
          <w:sz w:val="21"/>
          <w:szCs w:val="21"/>
          <w:lang w:val="en-US" w:eastAsia="zh-CN"/>
        </w:rPr>
        <w:t>5</w:t>
      </w:r>
      <w:r>
        <w:rPr>
          <w:rStyle w:val="7"/>
          <w:rFonts w:hint="default" w:ascii="Arial" w:hAnsi="Arial" w:cs="Arial"/>
          <w:sz w:val="21"/>
          <w:szCs w:val="21"/>
        </w:rPr>
        <w:t>. TAMs and GFAP+ Schwann cell expression in pancreatic intraepithelial neoplasia patient.</w:t>
      </w:r>
      <w:r>
        <w:rPr>
          <w:rFonts w:hint="default" w:ascii="Arial" w:hAnsi="Arial" w:cs="Arial"/>
          <w:b/>
          <w:bCs/>
          <w:color w:val="000000"/>
          <w:szCs w:val="21"/>
        </w:rPr>
        <w:br w:type="textWrapping"/>
      </w:r>
      <w:r>
        <w:rPr>
          <w:rStyle w:val="7"/>
          <w:rFonts w:hint="default" w:ascii="Arial" w:hAnsi="Arial" w:cs="Arial"/>
          <w:sz w:val="21"/>
          <w:szCs w:val="21"/>
        </w:rPr>
        <w:t xml:space="preserve">(A) </w:t>
      </w:r>
      <w:r>
        <w:rPr>
          <w:rStyle w:val="8"/>
          <w:rFonts w:hint="default" w:ascii="Arial" w:hAnsi="Arial" w:cs="Arial"/>
          <w:sz w:val="21"/>
          <w:szCs w:val="21"/>
        </w:rPr>
        <w:t>Representative images of nerve sections with CD68, S100 (red) and GFAP, CK19 (green) staining in pancreatic intraepithelial neoplasia patient.</w:t>
      </w:r>
    </w:p>
    <w:p>
      <w:pPr>
        <w:spacing w:line="276" w:lineRule="auto"/>
        <w:rPr>
          <w:rStyle w:val="8"/>
          <w:rFonts w:hint="default" w:ascii="Arial" w:hAnsi="Arial" w:cs="Arial"/>
          <w:sz w:val="21"/>
          <w:szCs w:val="21"/>
        </w:rPr>
      </w:pPr>
      <w:r>
        <w:rPr>
          <w:rStyle w:val="7"/>
          <w:rFonts w:hint="default" w:ascii="Arial" w:hAnsi="Arial" w:cs="Arial"/>
          <w:sz w:val="21"/>
          <w:szCs w:val="21"/>
        </w:rPr>
        <w:t xml:space="preserve">(B) </w:t>
      </w:r>
      <w:r>
        <w:rPr>
          <w:rStyle w:val="8"/>
          <w:rFonts w:hint="default" w:ascii="Arial" w:hAnsi="Arial" w:cs="Arial"/>
          <w:sz w:val="21"/>
          <w:szCs w:val="21"/>
        </w:rPr>
        <w:t>Representative images of nerve sections with CD68, S100 (red) and GFAP, CK19 (green) staining in PDAC patients.</w:t>
      </w:r>
    </w:p>
    <w:p>
      <w:pPr>
        <w:rPr>
          <w:rFonts w:hint="default" w:ascii="Arial" w:hAnsi="Arial" w:eastAsia="宋体" w:cs="Arial"/>
          <w:lang w:eastAsia="zh-CN"/>
        </w:rPr>
      </w:pPr>
    </w:p>
    <w:p>
      <w:pPr>
        <w:rPr>
          <w:rFonts w:hint="default" w:ascii="Arial" w:hAnsi="Arial" w:eastAsia="宋体" w:cs="Arial"/>
          <w:lang w:eastAsia="zh-CN"/>
        </w:rPr>
      </w:pPr>
      <w:r>
        <w:rPr>
          <w:rFonts w:hint="default" w:ascii="Arial" w:hAnsi="Arial" w:eastAsia="宋体" w:cs="Arial"/>
          <w:lang w:eastAsia="zh-CN"/>
        </w:rPr>
        <w:drawing>
          <wp:inline distT="0" distB="0" distL="114300" distR="114300">
            <wp:extent cx="6595110" cy="8382635"/>
            <wp:effectExtent l="0" t="0" r="3810" b="14605"/>
            <wp:docPr id="3" name="图片 3" descr="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6"/>
                    <pic:cNvPicPr>
                      <a:picLocks noChangeAspect="1"/>
                    </pic:cNvPicPr>
                  </pic:nvPicPr>
                  <pic:blipFill>
                    <a:blip r:embed="rId9"/>
                    <a:srcRect b="10130"/>
                    <a:stretch>
                      <a:fillRect/>
                    </a:stretch>
                  </pic:blipFill>
                  <pic:spPr>
                    <a:xfrm>
                      <a:off x="0" y="0"/>
                      <a:ext cx="6595110" cy="8382635"/>
                    </a:xfrm>
                    <a:prstGeom prst="rect">
                      <a:avLst/>
                    </a:prstGeom>
                  </pic:spPr>
                </pic:pic>
              </a:graphicData>
            </a:graphic>
          </wp:inline>
        </w:drawing>
      </w:r>
    </w:p>
    <w:p>
      <w:pPr>
        <w:spacing w:line="276" w:lineRule="auto"/>
        <w:rPr>
          <w:rStyle w:val="8"/>
          <w:rFonts w:hint="default" w:ascii="Arial" w:hAnsi="Arial" w:cs="Arial"/>
          <w:sz w:val="21"/>
          <w:szCs w:val="21"/>
        </w:rPr>
      </w:pPr>
      <w:r>
        <w:rPr>
          <w:rStyle w:val="7"/>
          <w:rFonts w:hint="default" w:ascii="Arial" w:hAnsi="Arial" w:cs="Arial"/>
          <w:sz w:val="21"/>
          <w:szCs w:val="21"/>
        </w:rPr>
        <w:t xml:space="preserve">Supplementary Figure </w:t>
      </w:r>
      <w:r>
        <w:rPr>
          <w:rStyle w:val="7"/>
          <w:rFonts w:hint="default" w:ascii="Arial" w:hAnsi="Arial" w:cs="Arial"/>
          <w:sz w:val="21"/>
          <w:szCs w:val="21"/>
          <w:lang w:val="en-US" w:eastAsia="zh-CN"/>
        </w:rPr>
        <w:t>6</w:t>
      </w:r>
      <w:r>
        <w:rPr>
          <w:rStyle w:val="7"/>
          <w:rFonts w:hint="default" w:ascii="Arial" w:hAnsi="Arial" w:cs="Arial"/>
          <w:sz w:val="21"/>
          <w:szCs w:val="21"/>
        </w:rPr>
        <w:t>. Next Generation Sequencing analysis between MDMs and pol-TAMs.</w:t>
      </w:r>
      <w:r>
        <w:rPr>
          <w:rFonts w:hint="default" w:ascii="Arial" w:hAnsi="Arial" w:cs="Arial"/>
          <w:b/>
          <w:bCs/>
          <w:color w:val="000000"/>
          <w:szCs w:val="21"/>
        </w:rPr>
        <w:br w:type="textWrapping"/>
      </w:r>
      <w:r>
        <w:rPr>
          <w:rStyle w:val="7"/>
          <w:rFonts w:hint="default" w:ascii="Arial" w:hAnsi="Arial" w:cs="Arial"/>
          <w:sz w:val="21"/>
          <w:szCs w:val="21"/>
        </w:rPr>
        <w:t xml:space="preserve">(A) </w:t>
      </w:r>
      <w:r>
        <w:rPr>
          <w:rStyle w:val="8"/>
          <w:rFonts w:hint="default" w:ascii="Arial" w:hAnsi="Arial" w:cs="Arial"/>
          <w:sz w:val="21"/>
          <w:szCs w:val="21"/>
        </w:rPr>
        <w:t>Genome coverage map. A coverage distribution of the genome is obtained in a 1K window. The outermost circle in the figure is the genome, and each circle inside represents the chromosome coverage of a sample.</w:t>
      </w:r>
    </w:p>
    <w:p>
      <w:pPr>
        <w:spacing w:line="276" w:lineRule="auto"/>
        <w:rPr>
          <w:rStyle w:val="8"/>
          <w:rFonts w:hint="default" w:ascii="Arial" w:hAnsi="Arial" w:cs="Arial"/>
          <w:sz w:val="21"/>
          <w:szCs w:val="21"/>
        </w:rPr>
      </w:pPr>
      <w:r>
        <w:rPr>
          <w:rStyle w:val="7"/>
          <w:rFonts w:hint="default" w:ascii="Arial" w:hAnsi="Arial" w:cs="Arial"/>
          <w:sz w:val="21"/>
          <w:szCs w:val="21"/>
        </w:rPr>
        <w:t xml:space="preserve">(B) </w:t>
      </w:r>
      <w:r>
        <w:rPr>
          <w:rStyle w:val="8"/>
          <w:rFonts w:hint="default" w:ascii="Arial" w:hAnsi="Arial" w:cs="Arial"/>
          <w:sz w:val="21"/>
          <w:szCs w:val="21"/>
        </w:rPr>
        <w:t>Gene expression correlation Heatmap map. The deeper the color is, the greater the correlation is. The value is the correlation coefficient.</w:t>
      </w:r>
    </w:p>
    <w:p>
      <w:pPr>
        <w:spacing w:line="276" w:lineRule="auto"/>
        <w:rPr>
          <w:rStyle w:val="8"/>
          <w:rFonts w:hint="default" w:ascii="Arial" w:hAnsi="Arial" w:cs="Arial"/>
          <w:sz w:val="21"/>
          <w:szCs w:val="21"/>
        </w:rPr>
      </w:pPr>
      <w:r>
        <w:rPr>
          <w:rStyle w:val="7"/>
          <w:rFonts w:hint="default" w:ascii="Arial" w:hAnsi="Arial" w:cs="Arial"/>
          <w:sz w:val="21"/>
          <w:szCs w:val="21"/>
        </w:rPr>
        <w:t xml:space="preserve">(C) </w:t>
      </w:r>
      <w:r>
        <w:rPr>
          <w:rStyle w:val="8"/>
          <w:rFonts w:hint="default" w:ascii="Arial" w:hAnsi="Arial" w:cs="Arial"/>
          <w:sz w:val="21"/>
          <w:szCs w:val="21"/>
        </w:rPr>
        <w:t>Principal component analysis of MDMs and pol-TAMs.</w:t>
      </w:r>
    </w:p>
    <w:p>
      <w:pPr>
        <w:spacing w:line="276" w:lineRule="auto"/>
        <w:rPr>
          <w:rStyle w:val="8"/>
          <w:rFonts w:hint="default" w:ascii="Arial" w:hAnsi="Arial" w:cs="Arial"/>
          <w:sz w:val="21"/>
          <w:szCs w:val="21"/>
        </w:rPr>
      </w:pPr>
      <w:r>
        <w:rPr>
          <w:rStyle w:val="7"/>
          <w:rFonts w:hint="default" w:ascii="Arial" w:hAnsi="Arial" w:cs="Arial"/>
          <w:sz w:val="21"/>
          <w:szCs w:val="21"/>
        </w:rPr>
        <w:t xml:space="preserve">(D) </w:t>
      </w:r>
      <w:r>
        <w:rPr>
          <w:rStyle w:val="8"/>
          <w:rFonts w:hint="default" w:ascii="Arial" w:hAnsi="Arial" w:cs="Arial"/>
          <w:sz w:val="21"/>
          <w:szCs w:val="21"/>
        </w:rPr>
        <w:t>Volcano Plot of Differential genes between MDMs and pol-TAMs. Red indicates up regulation of differentially expressed genes and blue indicates down regulation of differentially expressed genes.</w:t>
      </w:r>
    </w:p>
    <w:p>
      <w:pPr>
        <w:rPr>
          <w:rFonts w:hint="default" w:ascii="Arial" w:hAnsi="Arial" w:eastAsia="宋体" w:cs="Arial"/>
          <w:lang w:eastAsia="zh-CN"/>
        </w:rPr>
      </w:pPr>
    </w:p>
    <w:p>
      <w:pPr>
        <w:rPr>
          <w:rFonts w:hint="default" w:ascii="Arial" w:hAnsi="Arial" w:eastAsia="宋体" w:cs="Arial"/>
          <w:lang w:eastAsia="zh-CN"/>
        </w:rPr>
      </w:pPr>
      <w:r>
        <w:rPr>
          <w:rFonts w:hint="default" w:ascii="Arial" w:hAnsi="Arial" w:eastAsia="宋体" w:cs="Arial"/>
          <w:lang w:eastAsia="zh-CN"/>
        </w:rPr>
        <w:drawing>
          <wp:inline distT="0" distB="0" distL="114300" distR="114300">
            <wp:extent cx="6648450" cy="9403080"/>
            <wp:effectExtent l="0" t="0" r="11430" b="0"/>
            <wp:docPr id="2" name="图片 2" descr="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7"/>
                    <pic:cNvPicPr>
                      <a:picLocks noChangeAspect="1"/>
                    </pic:cNvPicPr>
                  </pic:nvPicPr>
                  <pic:blipFill>
                    <a:blip r:embed="rId10"/>
                    <a:stretch>
                      <a:fillRect/>
                    </a:stretch>
                  </pic:blipFill>
                  <pic:spPr>
                    <a:xfrm>
                      <a:off x="0" y="0"/>
                      <a:ext cx="6648450" cy="9403080"/>
                    </a:xfrm>
                    <a:prstGeom prst="rect">
                      <a:avLst/>
                    </a:prstGeom>
                  </pic:spPr>
                </pic:pic>
              </a:graphicData>
            </a:graphic>
          </wp:inline>
        </w:drawing>
      </w:r>
    </w:p>
    <w:p>
      <w:pPr>
        <w:spacing w:line="276" w:lineRule="auto"/>
        <w:rPr>
          <w:rStyle w:val="8"/>
          <w:rFonts w:hint="default" w:ascii="Arial" w:hAnsi="Arial" w:cs="Arial"/>
          <w:sz w:val="21"/>
          <w:szCs w:val="21"/>
        </w:rPr>
      </w:pPr>
      <w:r>
        <w:rPr>
          <w:rStyle w:val="7"/>
          <w:rFonts w:hint="default" w:ascii="Arial" w:hAnsi="Arial" w:cs="Arial"/>
          <w:sz w:val="21"/>
          <w:szCs w:val="21"/>
        </w:rPr>
        <w:t xml:space="preserve">Supplementary Figure </w:t>
      </w:r>
      <w:r>
        <w:rPr>
          <w:rStyle w:val="7"/>
          <w:rFonts w:hint="default" w:ascii="Arial" w:hAnsi="Arial" w:cs="Arial"/>
          <w:sz w:val="21"/>
          <w:szCs w:val="21"/>
          <w:lang w:val="en-US" w:eastAsia="zh-CN"/>
        </w:rPr>
        <w:t>7</w:t>
      </w:r>
      <w:r>
        <w:rPr>
          <w:rStyle w:val="7"/>
          <w:rFonts w:hint="default" w:ascii="Arial" w:hAnsi="Arial" w:cs="Arial"/>
          <w:sz w:val="21"/>
          <w:szCs w:val="21"/>
        </w:rPr>
        <w:t>. Enrichment analysis between MDMs and pol-TAMs.</w:t>
      </w:r>
      <w:r>
        <w:rPr>
          <w:rFonts w:hint="default" w:ascii="Arial" w:hAnsi="Arial" w:cs="Arial"/>
          <w:b/>
          <w:bCs/>
          <w:color w:val="000000"/>
          <w:szCs w:val="21"/>
        </w:rPr>
        <w:br w:type="textWrapping"/>
      </w:r>
      <w:r>
        <w:rPr>
          <w:rStyle w:val="7"/>
          <w:rFonts w:hint="default" w:ascii="Arial" w:hAnsi="Arial" w:cs="Arial"/>
          <w:sz w:val="21"/>
          <w:szCs w:val="21"/>
        </w:rPr>
        <w:t xml:space="preserve">(A) </w:t>
      </w:r>
      <w:r>
        <w:rPr>
          <w:rStyle w:val="8"/>
          <w:rFonts w:hint="default" w:ascii="Arial" w:hAnsi="Arial" w:cs="Arial"/>
          <w:sz w:val="21"/>
          <w:szCs w:val="21"/>
        </w:rPr>
        <w:t>GO function classification statistical chart of differentially expressed genes between MDMs and pol-TAMs (left panel). Go enrichment scatter chart of differentially expressed genes between MDMs and pol-TAMs (right panel).</w:t>
      </w:r>
    </w:p>
    <w:p>
      <w:pPr>
        <w:spacing w:line="276" w:lineRule="auto"/>
        <w:rPr>
          <w:rStyle w:val="8"/>
          <w:rFonts w:hint="default" w:ascii="Arial" w:hAnsi="Arial" w:cs="Arial"/>
          <w:sz w:val="21"/>
          <w:szCs w:val="21"/>
        </w:rPr>
      </w:pPr>
      <w:r>
        <w:rPr>
          <w:rStyle w:val="7"/>
          <w:rFonts w:hint="default" w:ascii="Arial" w:hAnsi="Arial" w:cs="Arial"/>
          <w:sz w:val="21"/>
          <w:szCs w:val="21"/>
        </w:rPr>
        <w:t xml:space="preserve">(B) </w:t>
      </w:r>
      <w:r>
        <w:rPr>
          <w:rStyle w:val="8"/>
          <w:rFonts w:hint="default" w:ascii="Arial" w:hAnsi="Arial" w:cs="Arial"/>
          <w:sz w:val="21"/>
          <w:szCs w:val="21"/>
        </w:rPr>
        <w:t>KEGG pathway classification of differentially expressed genes between MDMs and pol-TAMs (left panel). KEGG enrichment scatter chart of differentially expressed genes between MDMs and pol-TAMs (right panel).</w:t>
      </w:r>
    </w:p>
    <w:p>
      <w:pPr>
        <w:spacing w:line="276" w:lineRule="auto"/>
        <w:rPr>
          <w:rStyle w:val="8"/>
          <w:sz w:val="21"/>
          <w:szCs w:val="21"/>
        </w:rPr>
      </w:pPr>
    </w:p>
    <w:p>
      <w:pPr>
        <w:rPr>
          <w:rFonts w:hint="default" w:ascii="Arial" w:hAnsi="Arial" w:eastAsia="宋体" w:cs="Arial"/>
          <w:lang w:eastAsia="zh-CN"/>
        </w:rPr>
      </w:pPr>
    </w:p>
    <w:p>
      <w:pPr>
        <w:jc w:val="center"/>
        <w:rPr>
          <w:rFonts w:hint="default" w:ascii="Arial" w:hAnsi="Arial" w:eastAsia="宋体" w:cs="Arial"/>
          <w:lang w:eastAsia="zh-CN"/>
        </w:rPr>
      </w:pPr>
      <w:r>
        <w:rPr>
          <w:rFonts w:hint="default" w:ascii="Arial" w:hAnsi="Arial" w:eastAsia="宋体" w:cs="Arial"/>
          <w:lang w:eastAsia="zh-CN"/>
        </w:rPr>
        <w:drawing>
          <wp:inline distT="0" distB="0" distL="114300" distR="114300">
            <wp:extent cx="6228715" cy="8809355"/>
            <wp:effectExtent l="0" t="0" r="4445" b="14605"/>
            <wp:docPr id="1" name="图片 1" descr="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8"/>
                    <pic:cNvPicPr>
                      <a:picLocks noChangeAspect="1"/>
                    </pic:cNvPicPr>
                  </pic:nvPicPr>
                  <pic:blipFill>
                    <a:blip r:embed="rId11"/>
                    <a:stretch>
                      <a:fillRect/>
                    </a:stretch>
                  </pic:blipFill>
                  <pic:spPr>
                    <a:xfrm>
                      <a:off x="0" y="0"/>
                      <a:ext cx="6228715" cy="8809355"/>
                    </a:xfrm>
                    <a:prstGeom prst="rect">
                      <a:avLst/>
                    </a:prstGeom>
                  </pic:spPr>
                </pic:pic>
              </a:graphicData>
            </a:graphic>
          </wp:inline>
        </w:drawing>
      </w:r>
    </w:p>
    <w:p>
      <w:pPr>
        <w:rPr>
          <w:rFonts w:hint="default" w:ascii="Arial" w:hAnsi="Arial" w:eastAsia="宋体" w:cs="Arial"/>
          <w:lang w:eastAsia="zh-CN"/>
        </w:rPr>
      </w:pPr>
    </w:p>
    <w:p>
      <w:pPr>
        <w:spacing w:line="276" w:lineRule="auto"/>
        <w:rPr>
          <w:rStyle w:val="8"/>
          <w:rFonts w:hint="default" w:ascii="Arial" w:hAnsi="Arial" w:cs="Arial"/>
          <w:sz w:val="21"/>
          <w:szCs w:val="21"/>
        </w:rPr>
      </w:pPr>
      <w:r>
        <w:rPr>
          <w:rStyle w:val="7"/>
          <w:rFonts w:hint="default" w:ascii="Arial" w:hAnsi="Arial" w:cs="Arial"/>
          <w:sz w:val="21"/>
          <w:szCs w:val="21"/>
        </w:rPr>
        <w:t xml:space="preserve">Supplementary Figure </w:t>
      </w:r>
      <w:r>
        <w:rPr>
          <w:rStyle w:val="7"/>
          <w:rFonts w:hint="eastAsia" w:ascii="Arial" w:hAnsi="Arial" w:cs="Arial"/>
          <w:sz w:val="21"/>
          <w:szCs w:val="21"/>
          <w:lang w:val="en-US" w:eastAsia="zh-CN"/>
        </w:rPr>
        <w:t>8</w:t>
      </w:r>
      <w:r>
        <w:rPr>
          <w:rStyle w:val="7"/>
          <w:rFonts w:hint="default" w:ascii="Arial" w:hAnsi="Arial" w:cs="Arial"/>
          <w:sz w:val="21"/>
          <w:szCs w:val="21"/>
        </w:rPr>
        <w:t>. TAMs activate Schwann cells by secreting factor bFGF.</w:t>
      </w:r>
      <w:r>
        <w:rPr>
          <w:rFonts w:hint="default" w:ascii="Arial" w:hAnsi="Arial" w:cs="Arial"/>
          <w:b/>
          <w:bCs/>
          <w:color w:val="000000"/>
          <w:szCs w:val="21"/>
        </w:rPr>
        <w:br w:type="textWrapping"/>
      </w:r>
      <w:r>
        <w:rPr>
          <w:rStyle w:val="7"/>
          <w:rFonts w:hint="default" w:ascii="Arial" w:hAnsi="Arial" w:cs="Arial"/>
          <w:sz w:val="21"/>
          <w:szCs w:val="21"/>
        </w:rPr>
        <w:t xml:space="preserve">(A) </w:t>
      </w:r>
      <w:r>
        <w:rPr>
          <w:rStyle w:val="8"/>
          <w:rFonts w:hint="default" w:ascii="Arial" w:hAnsi="Arial" w:cs="Arial"/>
          <w:sz w:val="21"/>
          <w:szCs w:val="21"/>
        </w:rPr>
        <w:t>Representative immunofluorescence images of Schwann cell line SNF96.2 with or without bFGF stimulation.</w:t>
      </w:r>
    </w:p>
    <w:p>
      <w:pPr>
        <w:spacing w:line="276" w:lineRule="auto"/>
        <w:rPr>
          <w:rStyle w:val="8"/>
          <w:rFonts w:hint="default" w:ascii="Arial" w:hAnsi="Arial" w:cs="Arial"/>
          <w:sz w:val="21"/>
          <w:szCs w:val="21"/>
        </w:rPr>
      </w:pPr>
      <w:r>
        <w:rPr>
          <w:rStyle w:val="7"/>
          <w:rFonts w:hint="default" w:ascii="Arial" w:hAnsi="Arial" w:cs="Arial"/>
          <w:sz w:val="21"/>
          <w:szCs w:val="21"/>
        </w:rPr>
        <w:t xml:space="preserve">(B-C) </w:t>
      </w:r>
      <w:r>
        <w:rPr>
          <w:rStyle w:val="8"/>
          <w:rFonts w:hint="default" w:ascii="Arial" w:hAnsi="Arial" w:cs="Arial"/>
          <w:sz w:val="21"/>
          <w:szCs w:val="21"/>
        </w:rPr>
        <w:t>Representative images of DRGs alone or treated with bFGF or anti-bFGF. Relative DRG area were calculated at 4 days of cocultivation.</w:t>
      </w:r>
    </w:p>
    <w:p>
      <w:pPr>
        <w:spacing w:line="276" w:lineRule="auto"/>
        <w:rPr>
          <w:rStyle w:val="8"/>
          <w:rFonts w:hint="default" w:ascii="Arial" w:hAnsi="Arial" w:cs="Arial"/>
          <w:sz w:val="21"/>
          <w:szCs w:val="21"/>
        </w:rPr>
      </w:pPr>
      <w:r>
        <w:rPr>
          <w:rStyle w:val="7"/>
          <w:rFonts w:hint="default" w:ascii="Arial" w:hAnsi="Arial" w:cs="Arial"/>
          <w:sz w:val="21"/>
          <w:szCs w:val="21"/>
        </w:rPr>
        <w:t xml:space="preserve">(D) </w:t>
      </w:r>
      <w:r>
        <w:rPr>
          <w:rStyle w:val="8"/>
          <w:rFonts w:hint="default" w:ascii="Arial" w:hAnsi="Arial" w:cs="Arial"/>
          <w:sz w:val="21"/>
          <w:szCs w:val="21"/>
        </w:rPr>
        <w:t>Representative immunofluorescence images of Schwann cell line SNF96.2 with or without anti-bFGF.</w:t>
      </w:r>
    </w:p>
    <w:p>
      <w:pPr>
        <w:spacing w:line="276" w:lineRule="auto"/>
        <w:rPr>
          <w:rStyle w:val="8"/>
          <w:rFonts w:hint="default" w:ascii="Arial" w:hAnsi="Arial" w:cs="Arial"/>
          <w:sz w:val="21"/>
          <w:szCs w:val="21"/>
        </w:rPr>
      </w:pPr>
      <w:r>
        <w:rPr>
          <w:rStyle w:val="7"/>
          <w:rFonts w:hint="default" w:ascii="Arial" w:hAnsi="Arial" w:cs="Arial"/>
          <w:sz w:val="21"/>
          <w:szCs w:val="21"/>
        </w:rPr>
        <w:t xml:space="preserve">(E) </w:t>
      </w:r>
      <w:r>
        <w:rPr>
          <w:rStyle w:val="8"/>
          <w:rFonts w:hint="default" w:ascii="Arial" w:hAnsi="Arial" w:cs="Arial"/>
          <w:sz w:val="21"/>
          <w:szCs w:val="21"/>
        </w:rPr>
        <w:t>Representative images of the migration assay on Schwann cell line SNF96.2 with or without bFGF stimulation.</w:t>
      </w:r>
    </w:p>
    <w:p>
      <w:pPr>
        <w:spacing w:line="276" w:lineRule="auto"/>
        <w:rPr>
          <w:rStyle w:val="8"/>
          <w:rFonts w:hint="default" w:ascii="Arial" w:hAnsi="Arial" w:cs="Arial"/>
          <w:sz w:val="21"/>
          <w:szCs w:val="21"/>
        </w:rPr>
      </w:pPr>
      <w:r>
        <w:rPr>
          <w:rStyle w:val="7"/>
          <w:rFonts w:hint="default" w:ascii="Arial" w:hAnsi="Arial" w:cs="Arial"/>
          <w:sz w:val="21"/>
          <w:szCs w:val="21"/>
        </w:rPr>
        <w:t xml:space="preserve">(F) </w:t>
      </w:r>
      <w:r>
        <w:rPr>
          <w:rStyle w:val="8"/>
          <w:rFonts w:hint="default" w:ascii="Arial" w:hAnsi="Arial" w:cs="Arial"/>
          <w:sz w:val="21"/>
          <w:szCs w:val="21"/>
        </w:rPr>
        <w:t>Representative Cell trajectories images of Schwann cell line SNF96.2 with or without bFGF stimulation. Schwann cell movement distance and speed Analysis was assessed with or without bFGF stimulation.</w:t>
      </w:r>
    </w:p>
    <w:p>
      <w:pPr>
        <w:rPr>
          <w:rFonts w:hint="default" w:ascii="Arial" w:hAnsi="Arial" w:eastAsia="宋体" w:cs="Arial"/>
          <w:lang w:eastAsia="zh-CN"/>
        </w:rPr>
      </w:pPr>
      <w:r>
        <w:rPr>
          <w:rFonts w:hint="default" w:ascii="Arial" w:hAnsi="Arial" w:eastAsia="宋体" w:cs="Arial"/>
          <w:lang w:eastAsia="zh-CN"/>
        </w:rPr>
        <w:drawing>
          <wp:inline distT="0" distB="0" distL="114300" distR="114300">
            <wp:extent cx="6642100" cy="8686800"/>
            <wp:effectExtent l="0" t="0" r="2540" b="0"/>
            <wp:docPr id="9" name="图片 9" descr="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ure 8"/>
                    <pic:cNvPicPr>
                      <a:picLocks noChangeAspect="1"/>
                    </pic:cNvPicPr>
                  </pic:nvPicPr>
                  <pic:blipFill>
                    <a:blip r:embed="rId12"/>
                    <a:stretch>
                      <a:fillRect/>
                    </a:stretch>
                  </pic:blipFill>
                  <pic:spPr>
                    <a:xfrm>
                      <a:off x="0" y="0"/>
                      <a:ext cx="6642100" cy="8686800"/>
                    </a:xfrm>
                    <a:prstGeom prst="rect">
                      <a:avLst/>
                    </a:prstGeom>
                  </pic:spPr>
                </pic:pic>
              </a:graphicData>
            </a:graphic>
          </wp:inline>
        </w:drawing>
      </w:r>
    </w:p>
    <w:p>
      <w:pPr>
        <w:spacing w:line="360" w:lineRule="auto"/>
        <w:jc w:val="both"/>
        <w:rPr>
          <w:rFonts w:ascii="Arial" w:hAnsi="Arial" w:eastAsia="Arial Unicode MS" w:cs="Arial"/>
          <w:kern w:val="0"/>
          <w:sz w:val="21"/>
          <w:szCs w:val="21"/>
        </w:rPr>
      </w:pPr>
      <w:r>
        <w:rPr>
          <w:rStyle w:val="7"/>
          <w:rFonts w:hint="default" w:ascii="Arial" w:hAnsi="Arial" w:cs="Arial"/>
          <w:sz w:val="21"/>
          <w:szCs w:val="21"/>
        </w:rPr>
        <w:t xml:space="preserve">Supplementary Figure </w:t>
      </w:r>
      <w:r>
        <w:rPr>
          <w:rStyle w:val="7"/>
          <w:rFonts w:hint="eastAsia" w:ascii="Arial" w:hAnsi="Arial" w:cs="Arial"/>
          <w:sz w:val="21"/>
          <w:szCs w:val="21"/>
          <w:lang w:val="en-US" w:eastAsia="zh-CN"/>
        </w:rPr>
        <w:t>9</w:t>
      </w:r>
      <w:r>
        <w:rPr>
          <w:rStyle w:val="7"/>
          <w:rFonts w:hint="default" w:ascii="Arial" w:hAnsi="Arial" w:cs="Arial"/>
          <w:sz w:val="21"/>
          <w:szCs w:val="21"/>
        </w:rPr>
        <w:t>.</w:t>
      </w:r>
      <w:r>
        <w:rPr>
          <w:rFonts w:hint="default" w:ascii="Arial" w:hAnsi="Arial" w:eastAsia="Arial Unicode MS" w:cs="Arial"/>
          <w:b/>
          <w:color w:val="000000"/>
          <w:kern w:val="0"/>
          <w:sz w:val="21"/>
          <w:szCs w:val="21"/>
        </w:rPr>
        <w:t>PTs-SCs recruit and polarize M2 pro-tumorigenic macrophages through IL-33 paracrine signaling</w:t>
      </w:r>
    </w:p>
    <w:p>
      <w:pPr>
        <w:spacing w:line="360" w:lineRule="auto"/>
        <w:jc w:val="both"/>
        <w:rPr>
          <w:rFonts w:ascii="Arial" w:hAnsi="Arial" w:eastAsia="Arial Unicode MS" w:cs="Arial"/>
          <w:kern w:val="0"/>
          <w:sz w:val="21"/>
          <w:szCs w:val="21"/>
        </w:rPr>
      </w:pPr>
      <w:r>
        <w:rPr>
          <w:rFonts w:hint="default" w:ascii="Arial" w:hAnsi="Arial" w:eastAsia="Arial Unicode MS" w:cs="Arial"/>
          <w:b/>
          <w:bCs/>
          <w:color w:val="000000"/>
          <w:kern w:val="0"/>
          <w:sz w:val="21"/>
          <w:szCs w:val="21"/>
        </w:rPr>
        <w:t>(A-B)</w:t>
      </w:r>
      <w:r>
        <w:rPr>
          <w:rFonts w:hint="default" w:ascii="Arial" w:hAnsi="Arial" w:eastAsia="Arial Unicode MS" w:cs="Arial"/>
          <w:color w:val="000000"/>
          <w:kern w:val="0"/>
          <w:sz w:val="21"/>
          <w:szCs w:val="21"/>
        </w:rPr>
        <w:t xml:space="preserve"> Hierarchical cluster analysis and heatmap of total upregulated and downregulated genes between </w:t>
      </w:r>
      <w:r>
        <w:rPr>
          <w:rFonts w:hint="eastAsia" w:ascii="Arial" w:hAnsi="Arial" w:eastAsia="Arial Unicode MS" w:cs="Arial"/>
          <w:color w:val="000000"/>
          <w:kern w:val="0"/>
          <w:sz w:val="21"/>
          <w:szCs w:val="21"/>
        </w:rPr>
        <w:t>Schwann cells</w:t>
      </w:r>
      <w:r>
        <w:rPr>
          <w:rFonts w:hint="default" w:ascii="Arial" w:hAnsi="Arial" w:eastAsia="Arial Unicode MS" w:cs="Arial"/>
          <w:color w:val="000000"/>
          <w:kern w:val="0"/>
          <w:sz w:val="21"/>
          <w:szCs w:val="21"/>
        </w:rPr>
        <w:t xml:space="preserve">-cocultured PBMC group, </w:t>
      </w:r>
      <w:r>
        <w:rPr>
          <w:rFonts w:hint="eastAsia" w:ascii="Arial" w:hAnsi="Arial" w:eastAsia="Arial Unicode MS" w:cs="Arial"/>
          <w:color w:val="000000"/>
          <w:kern w:val="0"/>
          <w:sz w:val="21"/>
          <w:szCs w:val="21"/>
        </w:rPr>
        <w:t>Schwann cells</w:t>
      </w:r>
      <w:r>
        <w:rPr>
          <w:rFonts w:hint="default" w:ascii="Arial" w:hAnsi="Arial" w:eastAsia="Arial Unicode MS" w:cs="Arial"/>
          <w:color w:val="000000"/>
          <w:kern w:val="0"/>
          <w:sz w:val="21"/>
          <w:szCs w:val="21"/>
        </w:rPr>
        <w:t xml:space="preserve">-cocultured Bx-TAM group and the </w:t>
      </w:r>
      <w:r>
        <w:rPr>
          <w:rFonts w:hint="eastAsia" w:ascii="Arial" w:hAnsi="Arial" w:eastAsia="Arial Unicode MS" w:cs="Arial"/>
          <w:color w:val="000000"/>
          <w:kern w:val="0"/>
          <w:sz w:val="21"/>
          <w:szCs w:val="21"/>
        </w:rPr>
        <w:t>Schwann cells</w:t>
      </w:r>
      <w:r>
        <w:rPr>
          <w:rFonts w:hint="default" w:ascii="Arial" w:hAnsi="Arial" w:eastAsia="Arial Unicode MS" w:cs="Arial"/>
          <w:color w:val="000000"/>
          <w:kern w:val="0"/>
          <w:sz w:val="21"/>
          <w:szCs w:val="21"/>
        </w:rPr>
        <w:t xml:space="preserve">-cocultured Mia-TAM group. </w:t>
      </w:r>
    </w:p>
    <w:p>
      <w:pPr>
        <w:spacing w:line="360" w:lineRule="auto"/>
        <w:jc w:val="both"/>
        <w:rPr>
          <w:rFonts w:ascii="Arial" w:hAnsi="Arial" w:eastAsia="Arial Unicode MS" w:cs="Arial"/>
          <w:kern w:val="0"/>
          <w:sz w:val="21"/>
          <w:szCs w:val="21"/>
        </w:rPr>
      </w:pPr>
      <w:r>
        <w:rPr>
          <w:rFonts w:hint="default" w:ascii="Arial" w:hAnsi="Arial" w:eastAsia="Arial Unicode MS" w:cs="Arial"/>
          <w:b/>
          <w:bCs/>
          <w:color w:val="000000"/>
          <w:kern w:val="0"/>
          <w:sz w:val="21"/>
          <w:szCs w:val="21"/>
        </w:rPr>
        <w:t xml:space="preserve">(C-D) </w:t>
      </w:r>
      <w:r>
        <w:rPr>
          <w:rFonts w:hint="default" w:ascii="Arial" w:hAnsi="Arial" w:eastAsia="Arial Unicode MS" w:cs="Arial"/>
          <w:color w:val="000000"/>
          <w:kern w:val="0"/>
          <w:sz w:val="21"/>
          <w:szCs w:val="21"/>
        </w:rPr>
        <w:t xml:space="preserve">The top 10 upregulated and downregulated mRNA target genes are listed by q value, among which IL-33 was the most upregulated gene. </w:t>
      </w:r>
    </w:p>
    <w:p>
      <w:pPr>
        <w:spacing w:line="360" w:lineRule="auto"/>
        <w:jc w:val="both"/>
        <w:rPr>
          <w:rFonts w:ascii="Arial" w:hAnsi="Arial" w:eastAsia="Arial Unicode MS" w:cs="Arial"/>
          <w:kern w:val="0"/>
          <w:sz w:val="21"/>
          <w:szCs w:val="21"/>
        </w:rPr>
      </w:pPr>
      <w:r>
        <w:rPr>
          <w:rFonts w:hint="default" w:ascii="Arial" w:hAnsi="Arial" w:eastAsia="Arial Unicode MS" w:cs="Arial"/>
          <w:b/>
          <w:bCs/>
          <w:color w:val="000000"/>
          <w:kern w:val="0"/>
          <w:sz w:val="21"/>
          <w:szCs w:val="21"/>
        </w:rPr>
        <w:t xml:space="preserve">(E) </w:t>
      </w:r>
      <w:r>
        <w:rPr>
          <w:rFonts w:hint="default" w:ascii="Arial" w:hAnsi="Arial" w:eastAsia="Arial Unicode MS" w:cs="Arial"/>
          <w:color w:val="000000"/>
          <w:kern w:val="0"/>
          <w:sz w:val="21"/>
          <w:szCs w:val="21"/>
        </w:rPr>
        <w:t xml:space="preserve">The immunofluorescent cell binding assays show BCECF-AM-labeled THP-1 monocytes were incubated with Hoechst 33342-labeled </w:t>
      </w:r>
      <w:r>
        <w:rPr>
          <w:rFonts w:hint="eastAsia" w:ascii="Arial" w:hAnsi="Arial" w:eastAsia="Arial Unicode MS" w:cs="Arial"/>
          <w:color w:val="000000"/>
          <w:kern w:val="0"/>
          <w:sz w:val="21"/>
          <w:szCs w:val="21"/>
        </w:rPr>
        <w:t>Schwann cells</w:t>
      </w:r>
      <w:r>
        <w:rPr>
          <w:rFonts w:hint="default" w:ascii="Arial" w:hAnsi="Arial" w:eastAsia="Arial Unicode MS" w:cs="Arial"/>
          <w:color w:val="000000"/>
          <w:kern w:val="0"/>
          <w:sz w:val="21"/>
          <w:szCs w:val="21"/>
        </w:rPr>
        <w:t xml:space="preserve"> monolayers. </w:t>
      </w:r>
    </w:p>
    <w:p>
      <w:pPr>
        <w:spacing w:line="360" w:lineRule="auto"/>
        <w:jc w:val="both"/>
        <w:rPr>
          <w:rFonts w:ascii="Arial" w:hAnsi="Arial" w:eastAsia="Arial Unicode MS" w:cs="Arial"/>
          <w:kern w:val="0"/>
          <w:sz w:val="21"/>
          <w:szCs w:val="21"/>
        </w:rPr>
      </w:pPr>
      <w:r>
        <w:rPr>
          <w:rFonts w:hint="default" w:ascii="Arial" w:hAnsi="Arial" w:eastAsia="Arial Unicode MS" w:cs="Arial"/>
          <w:b/>
          <w:bCs/>
          <w:color w:val="000000"/>
          <w:kern w:val="0"/>
          <w:sz w:val="21"/>
          <w:szCs w:val="21"/>
        </w:rPr>
        <w:t xml:space="preserve">(F) </w:t>
      </w:r>
      <w:r>
        <w:rPr>
          <w:rFonts w:hint="default" w:ascii="Arial" w:hAnsi="Arial" w:eastAsia="Arial Unicode MS" w:cs="Arial"/>
          <w:color w:val="000000"/>
          <w:kern w:val="0"/>
          <w:sz w:val="21"/>
          <w:szCs w:val="21"/>
        </w:rPr>
        <w:t>Quantification of the adherent BCECF-AM-labeled THP-1 monocytes to PTs-</w:t>
      </w:r>
      <w:r>
        <w:rPr>
          <w:rFonts w:hint="eastAsia" w:ascii="Arial" w:hAnsi="Arial" w:eastAsia="Arial Unicode MS" w:cs="Arial"/>
          <w:color w:val="000000"/>
          <w:kern w:val="0"/>
          <w:sz w:val="21"/>
          <w:szCs w:val="21"/>
        </w:rPr>
        <w:t>SCs</w:t>
      </w:r>
      <w:r>
        <w:rPr>
          <w:rFonts w:hint="default" w:ascii="Arial" w:hAnsi="Arial" w:eastAsia="Arial Unicode MS" w:cs="Arial"/>
          <w:color w:val="000000"/>
          <w:kern w:val="0"/>
          <w:sz w:val="21"/>
          <w:szCs w:val="21"/>
        </w:rPr>
        <w:t xml:space="preserve"> treated with IgG, anti-IL-33 or rh-IL-33.</w:t>
      </w:r>
    </w:p>
    <w:p>
      <w:pPr>
        <w:spacing w:line="360" w:lineRule="auto"/>
        <w:jc w:val="both"/>
        <w:rPr>
          <w:rFonts w:ascii="Arial" w:hAnsi="Arial" w:eastAsia="Arial Unicode MS" w:cs="Arial"/>
          <w:kern w:val="0"/>
          <w:sz w:val="21"/>
          <w:szCs w:val="21"/>
        </w:rPr>
      </w:pPr>
      <w:r>
        <w:rPr>
          <w:rFonts w:hint="default" w:ascii="Arial" w:hAnsi="Arial" w:eastAsia="Arial Unicode MS" w:cs="Arial"/>
          <w:b/>
          <w:bCs/>
          <w:color w:val="000000"/>
          <w:kern w:val="0"/>
          <w:sz w:val="21"/>
          <w:szCs w:val="21"/>
        </w:rPr>
        <w:t>(G-H)</w:t>
      </w:r>
      <w:r>
        <w:rPr>
          <w:rFonts w:hint="default" w:ascii="Arial" w:hAnsi="Arial" w:eastAsia="Arial Unicode MS" w:cs="Arial"/>
          <w:color w:val="000000"/>
          <w:kern w:val="0"/>
          <w:sz w:val="21"/>
          <w:szCs w:val="21"/>
        </w:rPr>
        <w:t xml:space="preserve"> The migration of RAW264.7 macrophages treated with PTs-</w:t>
      </w:r>
      <w:r>
        <w:rPr>
          <w:rFonts w:hint="eastAsia" w:ascii="Arial" w:hAnsi="Arial" w:eastAsia="Arial Unicode MS" w:cs="Arial"/>
          <w:color w:val="000000"/>
          <w:kern w:val="0"/>
          <w:sz w:val="21"/>
          <w:szCs w:val="21"/>
        </w:rPr>
        <w:t>SCs</w:t>
      </w:r>
      <w:r>
        <w:rPr>
          <w:rFonts w:hint="default" w:ascii="Arial" w:hAnsi="Arial" w:eastAsia="Arial Unicode MS" w:cs="Arial"/>
          <w:color w:val="000000"/>
          <w:kern w:val="0"/>
          <w:sz w:val="21"/>
          <w:szCs w:val="21"/>
        </w:rPr>
        <w:t>, IgG, anti-IL-33 or rh-IL-33 compared with the control group by transwell assay. Figure 8I: morphological analysis showed that MDMs incubated with PTs-</w:t>
      </w:r>
      <w:r>
        <w:rPr>
          <w:rFonts w:hint="eastAsia" w:ascii="Arial" w:hAnsi="Arial" w:eastAsia="Arial Unicode MS" w:cs="Arial"/>
          <w:color w:val="000000"/>
          <w:kern w:val="0"/>
          <w:sz w:val="21"/>
          <w:szCs w:val="21"/>
        </w:rPr>
        <w:t>SCs</w:t>
      </w:r>
      <w:r>
        <w:rPr>
          <w:rFonts w:hint="default" w:ascii="Arial" w:hAnsi="Arial" w:eastAsia="Arial Unicode MS" w:cs="Arial"/>
          <w:color w:val="000000"/>
          <w:kern w:val="0"/>
          <w:sz w:val="21"/>
          <w:szCs w:val="21"/>
        </w:rPr>
        <w:t>, CM derived from PTs-</w:t>
      </w:r>
      <w:r>
        <w:rPr>
          <w:rFonts w:hint="eastAsia" w:ascii="Arial" w:hAnsi="Arial" w:eastAsia="Arial Unicode MS" w:cs="Arial"/>
          <w:color w:val="000000"/>
          <w:kern w:val="0"/>
          <w:sz w:val="21"/>
          <w:szCs w:val="21"/>
        </w:rPr>
        <w:t>SCs</w:t>
      </w:r>
      <w:r>
        <w:rPr>
          <w:rFonts w:hint="default" w:ascii="Arial" w:hAnsi="Arial" w:eastAsia="Arial Unicode MS" w:cs="Arial"/>
          <w:color w:val="000000"/>
          <w:kern w:val="0"/>
          <w:sz w:val="21"/>
          <w:szCs w:val="21"/>
        </w:rPr>
        <w:t xml:space="preserve"> or rh-IL-33 were more spindle-shaped in appearance in comparison with the control or anti-IL-33 group.</w:t>
      </w:r>
    </w:p>
    <w:p>
      <w:pPr>
        <w:spacing w:line="360" w:lineRule="auto"/>
        <w:jc w:val="both"/>
        <w:rPr>
          <w:rFonts w:ascii="Arial" w:hAnsi="Arial" w:eastAsia="Arial Unicode MS" w:cs="Arial"/>
          <w:kern w:val="0"/>
          <w:sz w:val="21"/>
          <w:szCs w:val="21"/>
        </w:rPr>
      </w:pPr>
      <w:r>
        <w:rPr>
          <w:rFonts w:hint="default" w:ascii="Arial" w:hAnsi="Arial" w:eastAsia="Arial Unicode MS" w:cs="Arial"/>
          <w:b/>
          <w:bCs/>
          <w:color w:val="000000"/>
          <w:kern w:val="0"/>
          <w:sz w:val="21"/>
          <w:szCs w:val="21"/>
        </w:rPr>
        <w:t>(J-K)</w:t>
      </w:r>
      <w:r>
        <w:rPr>
          <w:rFonts w:hint="default" w:ascii="Arial" w:hAnsi="Arial" w:eastAsia="Arial Unicode MS" w:cs="Arial"/>
          <w:color w:val="000000"/>
          <w:kern w:val="0"/>
          <w:sz w:val="21"/>
          <w:szCs w:val="21"/>
        </w:rPr>
        <w:t xml:space="preserve"> Compared with the control or anti-IL-33 group, MDMs incubated with PTs-</w:t>
      </w:r>
      <w:r>
        <w:rPr>
          <w:rFonts w:hint="eastAsia" w:ascii="Arial" w:hAnsi="Arial" w:eastAsia="Arial Unicode MS" w:cs="Arial"/>
          <w:color w:val="000000"/>
          <w:kern w:val="0"/>
          <w:sz w:val="21"/>
          <w:szCs w:val="21"/>
        </w:rPr>
        <w:t>SCs</w:t>
      </w:r>
      <w:r>
        <w:rPr>
          <w:rFonts w:hint="default" w:ascii="Arial" w:hAnsi="Arial" w:eastAsia="Arial Unicode MS" w:cs="Arial"/>
          <w:color w:val="000000"/>
          <w:kern w:val="0"/>
          <w:sz w:val="21"/>
          <w:szCs w:val="21"/>
        </w:rPr>
        <w:t>, CM derived from PTs-</w:t>
      </w:r>
      <w:r>
        <w:rPr>
          <w:rFonts w:hint="eastAsia" w:ascii="Arial" w:hAnsi="Arial" w:eastAsia="Arial Unicode MS" w:cs="Arial"/>
          <w:color w:val="000000"/>
          <w:kern w:val="0"/>
          <w:sz w:val="21"/>
          <w:szCs w:val="21"/>
        </w:rPr>
        <w:t>SCs</w:t>
      </w:r>
      <w:r>
        <w:rPr>
          <w:rFonts w:hint="default" w:ascii="Arial" w:hAnsi="Arial" w:eastAsia="Arial Unicode MS" w:cs="Arial"/>
          <w:color w:val="000000"/>
          <w:kern w:val="0"/>
          <w:sz w:val="21"/>
          <w:szCs w:val="21"/>
        </w:rPr>
        <w:t xml:space="preserve"> or rh-IL-33 had markedly elevated mRNA expression of M2 macrophage markers CCL18, CCL22, IL10, CD206 and CD163 and indicated a significantly higher paracrine level of CCL18, IL10 an</w:t>
      </w:r>
      <w:r>
        <w:rPr>
          <w:rFonts w:hint="eastAsia" w:ascii="Arial" w:hAnsi="Arial" w:eastAsia="Arial Unicode MS" w:cs="Arial"/>
          <w:color w:val="000000"/>
          <w:kern w:val="0"/>
          <w:sz w:val="21"/>
          <w:szCs w:val="21"/>
        </w:rPr>
        <w:t>d</w:t>
      </w:r>
      <w:r>
        <w:rPr>
          <w:rFonts w:hint="default" w:ascii="Arial" w:hAnsi="Arial" w:eastAsia="Arial Unicode MS" w:cs="Arial"/>
          <w:color w:val="000000"/>
          <w:kern w:val="0"/>
          <w:sz w:val="21"/>
          <w:szCs w:val="21"/>
        </w:rPr>
        <w:t xml:space="preserve"> CCL22.</w:t>
      </w:r>
    </w:p>
    <w:p>
      <w:pPr>
        <w:rPr>
          <w:rFonts w:hint="default" w:ascii="Arial" w:hAnsi="Arial" w:eastAsia="宋体" w:cs="Arial"/>
          <w:lang w:eastAsia="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BoldMT">
    <w:altName w:val="Segoe Print"/>
    <w:panose1 w:val="00000000000000000000"/>
    <w:charset w:val="00"/>
    <w:family w:val="auto"/>
    <w:pitch w:val="default"/>
    <w:sig w:usb0="00000000" w:usb1="00000000" w:usb2="00000000" w:usb3="00000000" w:csb0="00000000" w:csb1="00000000"/>
  </w:font>
  <w:font w:name="ArialMT">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MS Mincho">
    <w:altName w:val="Kozuka Mincho Pr6N M"/>
    <w:panose1 w:val="02020609040205080304"/>
    <w:charset w:val="80"/>
    <w:family w:val="modern"/>
    <w:pitch w:val="default"/>
    <w:sig w:usb0="00000000" w:usb1="00000000" w:usb2="08000012" w:usb3="00000000" w:csb0="0002009F" w:csb1="00000000"/>
  </w:font>
  <w:font w:name="Kaiti SC">
    <w:altName w:val="微软雅黑"/>
    <w:panose1 w:val="00000000000000000000"/>
    <w:charset w:val="86"/>
    <w:family w:val="auto"/>
    <w:pitch w:val="default"/>
    <w:sig w:usb0="00000000" w:usb1="00000000"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Kozuka Mincho Pr6N M">
    <w:panose1 w:val="02020600000000000000"/>
    <w:charset w:val="80"/>
    <w:family w:val="auto"/>
    <w:pitch w:val="default"/>
    <w:sig w:usb0="000002D7" w:usb1="2AC71C11" w:usb2="00000012"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934"/>
    <w:rsid w:val="001D17AA"/>
    <w:rsid w:val="006C5749"/>
    <w:rsid w:val="009D2934"/>
    <w:rsid w:val="00BF3161"/>
    <w:rsid w:val="00E3150F"/>
    <w:rsid w:val="00FC5D96"/>
    <w:rsid w:val="0DBD5D42"/>
    <w:rsid w:val="31E66230"/>
    <w:rsid w:val="38FC725D"/>
    <w:rsid w:val="42581F7B"/>
    <w:rsid w:val="47023F0D"/>
    <w:rsid w:val="52554EBA"/>
    <w:rsid w:val="78056B84"/>
    <w:rsid w:val="78A43584"/>
    <w:rsid w:val="7D8B53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0"/>
      <w:sz w:val="24"/>
      <w:szCs w:val="24"/>
      <w:lang w:val="en-US" w:eastAsia="zh-CN" w:bidi="ar-SA"/>
    </w:rPr>
  </w:style>
  <w:style w:type="character" w:default="1" w:styleId="4">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
    <w:name w:val="网格型1"/>
    <w:basedOn w:val="2"/>
    <w:qFormat/>
    <w:uiPriority w:val="39"/>
    <w:rPr>
      <w:rFonts w:ascii="等线" w:hAnsi="等线" w:eastAsia="等线"/>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
    <w:name w:val="网格型11"/>
    <w:basedOn w:val="2"/>
    <w:uiPriority w:val="39"/>
    <w:rPr>
      <w:rFonts w:ascii="等线" w:hAnsi="等线" w:eastAsia="等线"/>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style01"/>
    <w:basedOn w:val="4"/>
    <w:qFormat/>
    <w:uiPriority w:val="0"/>
    <w:rPr>
      <w:rFonts w:hint="default" w:ascii="Arial-BoldMT" w:hAnsi="Arial-BoldMT"/>
      <w:b/>
      <w:bCs/>
      <w:color w:val="000000"/>
      <w:sz w:val="20"/>
      <w:szCs w:val="20"/>
    </w:rPr>
  </w:style>
  <w:style w:type="character" w:customStyle="1" w:styleId="8">
    <w:name w:val="fontstyle21"/>
    <w:qFormat/>
    <w:uiPriority w:val="0"/>
    <w:rPr>
      <w:rFonts w:hint="default" w:ascii="ArialMT" w:hAnsi="ArialMT"/>
      <w:color w:val="000000"/>
      <w:sz w:val="22"/>
      <w:szCs w:val="22"/>
    </w:rPr>
  </w:style>
  <w:style w:type="character" w:customStyle="1" w:styleId="9">
    <w:name w:val="font11"/>
    <w:basedOn w:val="4"/>
    <w:qFormat/>
    <w:uiPriority w:val="0"/>
    <w:rPr>
      <w:rFonts w:hint="eastAsia" w:ascii="微软雅黑" w:hAnsi="微软雅黑" w:eastAsia="微软雅黑" w:cs="微软雅黑"/>
      <w:color w:val="000000"/>
      <w:sz w:val="22"/>
      <w:szCs w:val="22"/>
      <w:u w:val="none"/>
    </w:rPr>
  </w:style>
  <w:style w:type="character" w:customStyle="1" w:styleId="10">
    <w:name w:val="font01"/>
    <w:basedOn w:val="4"/>
    <w:qFormat/>
    <w:uiPriority w:val="0"/>
    <w:rPr>
      <w:rFonts w:hint="default"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9.tiff"/><Relationship Id="rId11" Type="http://schemas.openxmlformats.org/officeDocument/2006/relationships/image" Target="media/image8.tiff"/><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中山大学</Company>
  <Pages>6</Pages>
  <Words>1277</Words>
  <Characters>7283</Characters>
  <Lines>60</Lines>
  <Paragraphs>17</Paragraphs>
  <TotalTime>17</TotalTime>
  <ScaleCrop>false</ScaleCrop>
  <LinksUpToDate>false</LinksUpToDate>
  <CharactersWithSpaces>8543</CharactersWithSpaces>
  <Application>WPS Office_11.3.0.9221_F1E327BC-269C-435d-A152-05C5408002CA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2021-06-28T09:24:00Z</dcterms:created>
  <dc:creator>黄乐颐</dc:creator>
  <cp:lastModifiedBy>张斌</cp:lastModifiedBy>
  <dcterms:modified xsi:type="dcterms:W3CDTF">2021-12-15T13:25:31Z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2052-11.3.0.9221</vt:lpwstr>
  </property>
</Properties>
</file>