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11324" w14:textId="77777777" w:rsidR="005C2B08" w:rsidRPr="00B26EEE" w:rsidRDefault="005C2B08" w:rsidP="005C2B08">
      <w:pPr>
        <w:pStyle w:val="Heading1"/>
      </w:pPr>
      <w:r w:rsidRPr="00B26EEE">
        <w:t>Supplementary information</w:t>
      </w:r>
    </w:p>
    <w:p w14:paraId="49180F24" w14:textId="72DEB5C4" w:rsidR="005C2B08" w:rsidRDefault="005C2B08" w:rsidP="005C2B08">
      <w:pPr>
        <w:spacing w:line="480" w:lineRule="auto"/>
        <w:rPr>
          <w:sz w:val="24"/>
          <w:szCs w:val="24"/>
          <w:lang w:val="en-US"/>
        </w:rPr>
      </w:pPr>
      <w:r w:rsidRPr="00B26EEE">
        <w:rPr>
          <w:sz w:val="24"/>
          <w:szCs w:val="24"/>
          <w:lang w:val="en-US"/>
        </w:rPr>
        <w:t xml:space="preserve">Additional file 1: </w:t>
      </w:r>
      <w:r w:rsidRPr="00C45E6A">
        <w:rPr>
          <w:b/>
          <w:bCs/>
          <w:sz w:val="24"/>
          <w:szCs w:val="24"/>
          <w:lang w:val="en-US"/>
        </w:rPr>
        <w:t>Fig. S1</w:t>
      </w:r>
      <w:r w:rsidRPr="00B26EEE">
        <w:rPr>
          <w:sz w:val="24"/>
          <w:szCs w:val="24"/>
          <w:lang w:val="en-US"/>
        </w:rPr>
        <w:t xml:space="preserve"> FC gating schemes for the detection of CD115- and/or F4/80- expressing immune cells in PB and CT26 tumor tissue. </w:t>
      </w:r>
      <w:r w:rsidRPr="00C45E6A">
        <w:rPr>
          <w:b/>
          <w:bCs/>
          <w:sz w:val="24"/>
          <w:szCs w:val="24"/>
          <w:lang w:val="en-US"/>
        </w:rPr>
        <w:t>Fig</w:t>
      </w:r>
      <w:r>
        <w:rPr>
          <w:b/>
          <w:bCs/>
          <w:sz w:val="24"/>
          <w:szCs w:val="24"/>
          <w:lang w:val="en-US"/>
        </w:rPr>
        <w:t>.</w:t>
      </w:r>
      <w:r w:rsidRPr="00C45E6A">
        <w:rPr>
          <w:b/>
          <w:bCs/>
          <w:sz w:val="24"/>
          <w:szCs w:val="24"/>
          <w:lang w:val="en-US"/>
        </w:rPr>
        <w:t xml:space="preserve"> S2</w:t>
      </w:r>
      <w:r w:rsidRPr="00B26EEE">
        <w:rPr>
          <w:sz w:val="24"/>
          <w:szCs w:val="24"/>
          <w:lang w:val="en-US"/>
        </w:rPr>
        <w:t xml:space="preserve"> REG metabolites M-2, M-4, and M-5 inhibit CSF1/CSF1R signaling in macrophages </w:t>
      </w:r>
      <w:r w:rsidRPr="00B26EEE">
        <w:rPr>
          <w:i/>
          <w:iCs/>
          <w:sz w:val="24"/>
          <w:szCs w:val="24"/>
          <w:lang w:val="en-US"/>
        </w:rPr>
        <w:t>in vitro</w:t>
      </w:r>
      <w:r w:rsidRPr="00B26EEE">
        <w:rPr>
          <w:sz w:val="24"/>
          <w:szCs w:val="24"/>
          <w:lang w:val="en-US"/>
        </w:rPr>
        <w:t xml:space="preserve">. </w:t>
      </w:r>
      <w:r w:rsidR="00DA21CD" w:rsidRPr="00DA21CD">
        <w:rPr>
          <w:b/>
          <w:bCs/>
          <w:sz w:val="24"/>
          <w:szCs w:val="24"/>
          <w:lang w:val="en-US"/>
        </w:rPr>
        <w:t>Fig. S3</w:t>
      </w:r>
      <w:r w:rsidR="00DA21CD">
        <w:rPr>
          <w:sz w:val="24"/>
          <w:szCs w:val="24"/>
          <w:lang w:val="en-US"/>
        </w:rPr>
        <w:t xml:space="preserve"> </w:t>
      </w:r>
      <w:r w:rsidR="00DA21CD" w:rsidRPr="00DA21CD">
        <w:rPr>
          <w:sz w:val="24"/>
          <w:szCs w:val="24"/>
          <w:lang w:val="en-US"/>
        </w:rPr>
        <w:t>Entire western blots corresponding to the cropped regions depicted in Figure 1B are show</w:t>
      </w:r>
      <w:r w:rsidR="00DA21CD" w:rsidRPr="0002689B">
        <w:rPr>
          <w:sz w:val="24"/>
          <w:szCs w:val="24"/>
          <w:lang w:val="en-US"/>
        </w:rPr>
        <w:t>n.</w:t>
      </w:r>
      <w:r w:rsidR="00DA21CD" w:rsidRPr="0002689B">
        <w:rPr>
          <w:sz w:val="24"/>
          <w:szCs w:val="24"/>
          <w:lang w:val="en-US"/>
        </w:rPr>
        <w:t xml:space="preserve"> </w:t>
      </w:r>
      <w:r w:rsidRPr="0002689B">
        <w:rPr>
          <w:b/>
          <w:bCs/>
          <w:sz w:val="24"/>
          <w:szCs w:val="24"/>
          <w:lang w:val="en-US"/>
        </w:rPr>
        <w:t>Fig. S</w:t>
      </w:r>
      <w:r w:rsidR="00DA21CD" w:rsidRPr="0002689B">
        <w:rPr>
          <w:b/>
          <w:bCs/>
          <w:sz w:val="24"/>
          <w:szCs w:val="24"/>
          <w:lang w:val="en-US"/>
        </w:rPr>
        <w:t>4</w:t>
      </w:r>
      <w:r w:rsidRPr="0002689B">
        <w:rPr>
          <w:sz w:val="24"/>
          <w:szCs w:val="24"/>
          <w:lang w:val="en-US"/>
        </w:rPr>
        <w:t xml:space="preserve"> Pharmacokinetic parameters of REG and its metabolites M-2, M-4, and M-5 in plasma and CT26 tumor tissue from BALB/c mice. </w:t>
      </w:r>
      <w:r w:rsidRPr="0002689B">
        <w:rPr>
          <w:b/>
          <w:bCs/>
          <w:sz w:val="24"/>
          <w:szCs w:val="24"/>
          <w:lang w:val="en-US"/>
        </w:rPr>
        <w:t>Fig. S</w:t>
      </w:r>
      <w:r w:rsidR="00DA21CD" w:rsidRPr="0002689B">
        <w:rPr>
          <w:b/>
          <w:bCs/>
          <w:sz w:val="24"/>
          <w:szCs w:val="24"/>
          <w:lang w:val="en-US"/>
        </w:rPr>
        <w:t>5</w:t>
      </w:r>
      <w:r w:rsidRPr="0002689B">
        <w:rPr>
          <w:sz w:val="24"/>
          <w:szCs w:val="24"/>
          <w:lang w:val="en-US"/>
        </w:rPr>
        <w:t xml:space="preserve"> REG inhibition of CT26 tumor growth represented by individual tumor growth curves. </w:t>
      </w:r>
      <w:r w:rsidRPr="0002689B">
        <w:rPr>
          <w:b/>
          <w:bCs/>
          <w:sz w:val="24"/>
          <w:szCs w:val="24"/>
          <w:lang w:val="en-US"/>
        </w:rPr>
        <w:t>Fig. S</w:t>
      </w:r>
      <w:r w:rsidR="00DA21CD" w:rsidRPr="0002689B">
        <w:rPr>
          <w:b/>
          <w:bCs/>
          <w:sz w:val="24"/>
          <w:szCs w:val="24"/>
          <w:lang w:val="en-US"/>
        </w:rPr>
        <w:t>6</w:t>
      </w:r>
      <w:r w:rsidRPr="0002689B">
        <w:rPr>
          <w:sz w:val="24"/>
          <w:szCs w:val="24"/>
          <w:lang w:val="en-US"/>
        </w:rPr>
        <w:t xml:space="preserve"> CT26 tumors induce elevation of CD115</w:t>
      </w:r>
      <w:r w:rsidRPr="0002689B">
        <w:rPr>
          <w:sz w:val="24"/>
          <w:szCs w:val="24"/>
          <w:vertAlign w:val="superscript"/>
          <w:lang w:val="en-US"/>
        </w:rPr>
        <w:t>hi</w:t>
      </w:r>
      <w:r w:rsidRPr="0002689B">
        <w:rPr>
          <w:sz w:val="24"/>
          <w:szCs w:val="24"/>
          <w:lang w:val="en-US"/>
        </w:rPr>
        <w:t xml:space="preserve"> cells and CCL2 in PB. </w:t>
      </w:r>
      <w:r w:rsidRPr="0002689B">
        <w:rPr>
          <w:b/>
          <w:bCs/>
          <w:sz w:val="24"/>
          <w:szCs w:val="24"/>
          <w:lang w:val="en-US"/>
        </w:rPr>
        <w:t>Fig. S</w:t>
      </w:r>
      <w:r w:rsidR="00DA21CD" w:rsidRPr="0002689B">
        <w:rPr>
          <w:b/>
          <w:bCs/>
          <w:sz w:val="24"/>
          <w:szCs w:val="24"/>
          <w:lang w:val="en-US"/>
        </w:rPr>
        <w:t>7</w:t>
      </w:r>
      <w:r w:rsidRPr="0002689B">
        <w:rPr>
          <w:sz w:val="24"/>
          <w:szCs w:val="24"/>
          <w:lang w:val="en-US"/>
        </w:rPr>
        <w:t xml:space="preserve"> Effects of REG on CD115</w:t>
      </w:r>
      <w:r w:rsidRPr="0002689B">
        <w:rPr>
          <w:sz w:val="24"/>
          <w:szCs w:val="24"/>
          <w:vertAlign w:val="superscript"/>
          <w:lang w:val="en-US"/>
        </w:rPr>
        <w:t>hi</w:t>
      </w:r>
      <w:r w:rsidRPr="0002689B">
        <w:rPr>
          <w:sz w:val="24"/>
          <w:szCs w:val="24"/>
          <w:lang w:val="en-US"/>
        </w:rPr>
        <w:t xml:space="preserve"> cells, F4</w:t>
      </w:r>
      <w:r w:rsidRPr="00B26EEE">
        <w:rPr>
          <w:sz w:val="24"/>
          <w:szCs w:val="24"/>
          <w:lang w:val="en-US"/>
        </w:rPr>
        <w:t>/80</w:t>
      </w:r>
      <w:r w:rsidRPr="00B26EEE">
        <w:rPr>
          <w:sz w:val="24"/>
          <w:szCs w:val="24"/>
          <w:vertAlign w:val="superscript"/>
          <w:lang w:val="en-US"/>
        </w:rPr>
        <w:t>hi</w:t>
      </w:r>
      <w:r w:rsidRPr="00B26EEE">
        <w:rPr>
          <w:sz w:val="24"/>
          <w:szCs w:val="24"/>
          <w:lang w:val="en-US"/>
        </w:rPr>
        <w:t xml:space="preserve"> cells, and CCL2 in C57BL/6 mice with MC38 CRC tumors at steady </w:t>
      </w:r>
      <w:r w:rsidRPr="0002689B">
        <w:rPr>
          <w:sz w:val="24"/>
          <w:szCs w:val="24"/>
          <w:lang w:val="en-US"/>
        </w:rPr>
        <w:t xml:space="preserve">state. </w:t>
      </w:r>
      <w:r w:rsidRPr="0002689B">
        <w:rPr>
          <w:b/>
          <w:bCs/>
          <w:sz w:val="24"/>
          <w:szCs w:val="24"/>
          <w:lang w:val="en-US"/>
        </w:rPr>
        <w:t>Fig. S</w:t>
      </w:r>
      <w:r w:rsidR="00DA21CD" w:rsidRPr="0002689B">
        <w:rPr>
          <w:b/>
          <w:bCs/>
          <w:sz w:val="24"/>
          <w:szCs w:val="24"/>
          <w:lang w:val="en-US"/>
        </w:rPr>
        <w:t>8</w:t>
      </w:r>
      <w:r w:rsidRPr="00B26EEE">
        <w:rPr>
          <w:sz w:val="24"/>
          <w:szCs w:val="24"/>
          <w:lang w:val="en-US"/>
        </w:rPr>
        <w:t xml:space="preserve"> Effects of REG on macrophage subpopulations by </w:t>
      </w:r>
      <w:proofErr w:type="spellStart"/>
      <w:r w:rsidRPr="00B26EEE">
        <w:rPr>
          <w:sz w:val="24"/>
          <w:szCs w:val="24"/>
          <w:lang w:val="en-US"/>
        </w:rPr>
        <w:t>qRT</w:t>
      </w:r>
      <w:proofErr w:type="spellEnd"/>
      <w:r w:rsidRPr="00B26EEE">
        <w:rPr>
          <w:sz w:val="24"/>
          <w:szCs w:val="24"/>
          <w:lang w:val="en-US"/>
        </w:rPr>
        <w:t xml:space="preserve">-PCR analysis of selected marker genes. </w:t>
      </w:r>
    </w:p>
    <w:p w14:paraId="14580313" w14:textId="36E5CF42" w:rsidR="005831B3" w:rsidRPr="005831B3" w:rsidRDefault="00F56170" w:rsidP="005831B3">
      <w:pPr>
        <w:spacing w:line="480" w:lineRule="auto"/>
        <w:rPr>
          <w:b/>
          <w:bCs/>
          <w:sz w:val="24"/>
          <w:szCs w:val="24"/>
          <w:lang w:val="en-US"/>
        </w:rPr>
      </w:pPr>
      <w:r w:rsidRPr="00F56170">
        <w:rPr>
          <w:sz w:val="24"/>
          <w:szCs w:val="24"/>
          <w:lang w:val="en-US"/>
        </w:rPr>
        <w:t xml:space="preserve">Additional file 2: </w:t>
      </w:r>
      <w:r w:rsidR="005831B3" w:rsidRPr="00F56170">
        <w:rPr>
          <w:sz w:val="24"/>
          <w:szCs w:val="24"/>
          <w:lang w:val="en-US"/>
        </w:rPr>
        <w:t>Supplementary methods</w:t>
      </w:r>
      <w:r w:rsidR="005831B3" w:rsidRPr="005831B3">
        <w:rPr>
          <w:b/>
          <w:bCs/>
          <w:sz w:val="24"/>
          <w:szCs w:val="24"/>
          <w:lang w:val="en-US"/>
        </w:rPr>
        <w:t>.</w:t>
      </w:r>
    </w:p>
    <w:p w14:paraId="6D789DA7" w14:textId="3BE326E5" w:rsidR="005831B3" w:rsidRPr="00345375" w:rsidRDefault="005831B3" w:rsidP="005831B3">
      <w:pPr>
        <w:spacing w:line="480" w:lineRule="auto"/>
        <w:rPr>
          <w:b/>
          <w:bCs/>
          <w:sz w:val="24"/>
          <w:szCs w:val="24"/>
          <w:lang w:val="en-US"/>
        </w:rPr>
      </w:pPr>
      <w:r w:rsidRPr="00345375">
        <w:rPr>
          <w:b/>
          <w:bCs/>
          <w:sz w:val="24"/>
          <w:szCs w:val="24"/>
          <w:lang w:val="en-US"/>
        </w:rPr>
        <w:t>Antibody list.</w:t>
      </w:r>
    </w:p>
    <w:p w14:paraId="47450767" w14:textId="77777777" w:rsidR="005831B3" w:rsidRPr="00F856A1" w:rsidRDefault="005831B3" w:rsidP="005831B3">
      <w:pPr>
        <w:spacing w:line="480" w:lineRule="auto"/>
        <w:rPr>
          <w:lang w:val="en-US"/>
        </w:rPr>
      </w:pPr>
      <w:r w:rsidRPr="00E17486">
        <w:rPr>
          <w:noProof/>
        </w:rPr>
        <w:drawing>
          <wp:inline distT="0" distB="0" distL="0" distR="0" wp14:anchorId="62819E2E" wp14:editId="219E333D">
            <wp:extent cx="5296535" cy="3331845"/>
            <wp:effectExtent l="0" t="0" r="0" b="190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9DE73" w14:textId="77777777" w:rsidR="005831B3" w:rsidRPr="00812E3F" w:rsidRDefault="005831B3" w:rsidP="005831B3">
      <w:pPr>
        <w:spacing w:after="0" w:line="480" w:lineRule="auto"/>
        <w:rPr>
          <w:sz w:val="24"/>
          <w:szCs w:val="24"/>
          <w:lang w:val="en-US"/>
        </w:rPr>
      </w:pPr>
      <w:r w:rsidRPr="00812E3F">
        <w:rPr>
          <w:sz w:val="24"/>
          <w:szCs w:val="24"/>
          <w:lang w:val="en-US"/>
        </w:rPr>
        <w:lastRenderedPageBreak/>
        <w:t xml:space="preserve">APC, allophycocyanin; BD, Becton Dickinson; CST, Cell Signaling Technology; FC, flow cytometry; PE, phycoerythrin; </w:t>
      </w:r>
      <w:proofErr w:type="spellStart"/>
      <w:r w:rsidRPr="00812E3F">
        <w:rPr>
          <w:sz w:val="24"/>
          <w:szCs w:val="24"/>
          <w:lang w:val="en-US"/>
        </w:rPr>
        <w:t>PerCP</w:t>
      </w:r>
      <w:proofErr w:type="spellEnd"/>
      <w:r w:rsidRPr="00812E3F">
        <w:rPr>
          <w:sz w:val="24"/>
          <w:szCs w:val="24"/>
          <w:lang w:val="en-US"/>
        </w:rPr>
        <w:t>, peridinin–chlorophyll protein complex; WB, western blot.</w:t>
      </w:r>
    </w:p>
    <w:p w14:paraId="4D17A80F" w14:textId="77777777" w:rsidR="005831B3" w:rsidRPr="00567B78" w:rsidRDefault="005831B3" w:rsidP="005831B3">
      <w:pPr>
        <w:spacing w:line="480" w:lineRule="auto"/>
        <w:rPr>
          <w:lang w:val="en-US"/>
        </w:rPr>
      </w:pPr>
    </w:p>
    <w:p w14:paraId="1F972FD4" w14:textId="77777777" w:rsidR="005831B3" w:rsidRPr="00345375" w:rsidRDefault="005831B3" w:rsidP="005831B3">
      <w:pPr>
        <w:spacing w:line="480" w:lineRule="auto"/>
        <w:rPr>
          <w:b/>
          <w:bCs/>
          <w:sz w:val="24"/>
          <w:szCs w:val="24"/>
          <w:lang w:val="en-US"/>
        </w:rPr>
      </w:pPr>
      <w:proofErr w:type="spellStart"/>
      <w:r w:rsidRPr="00345375">
        <w:rPr>
          <w:b/>
          <w:bCs/>
          <w:sz w:val="24"/>
          <w:szCs w:val="24"/>
          <w:lang w:val="en-US"/>
        </w:rPr>
        <w:t>qRT</w:t>
      </w:r>
      <w:proofErr w:type="spellEnd"/>
      <w:r w:rsidRPr="00345375">
        <w:rPr>
          <w:b/>
          <w:bCs/>
          <w:sz w:val="24"/>
          <w:szCs w:val="24"/>
          <w:lang w:val="en-US"/>
        </w:rPr>
        <w:t xml:space="preserve">-PCR probes. </w:t>
      </w:r>
    </w:p>
    <w:p w14:paraId="06128C78" w14:textId="77777777" w:rsidR="005831B3" w:rsidRPr="00567B78" w:rsidRDefault="005831B3" w:rsidP="005831B3">
      <w:pPr>
        <w:spacing w:line="480" w:lineRule="auto"/>
        <w:rPr>
          <w:lang w:val="en-US"/>
        </w:rPr>
      </w:pPr>
      <w:r w:rsidRPr="00567B78">
        <w:rPr>
          <w:noProof/>
          <w:lang w:val="en-US"/>
        </w:rPr>
        <w:drawing>
          <wp:inline distT="0" distB="0" distL="0" distR="0" wp14:anchorId="4D206D8C" wp14:editId="70176B26">
            <wp:extent cx="2082800" cy="27813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390C4" w14:textId="77777777" w:rsidR="005831B3" w:rsidRPr="00567B78" w:rsidRDefault="005831B3" w:rsidP="005831B3">
      <w:pPr>
        <w:spacing w:line="480" w:lineRule="auto"/>
        <w:rPr>
          <w:sz w:val="18"/>
          <w:szCs w:val="18"/>
          <w:lang w:val="en-US"/>
        </w:rPr>
      </w:pPr>
      <w:r w:rsidRPr="00567B78">
        <w:rPr>
          <w:sz w:val="18"/>
          <w:szCs w:val="18"/>
          <w:lang w:val="en-US"/>
        </w:rPr>
        <w:t xml:space="preserve">Probes were obtained from </w:t>
      </w:r>
      <w:proofErr w:type="spellStart"/>
      <w:r w:rsidRPr="00567B78">
        <w:rPr>
          <w:sz w:val="18"/>
          <w:szCs w:val="18"/>
          <w:lang w:val="en-US"/>
        </w:rPr>
        <w:t>Thermo</w:t>
      </w:r>
      <w:proofErr w:type="spellEnd"/>
      <w:r w:rsidRPr="00567B78">
        <w:rPr>
          <w:sz w:val="18"/>
          <w:szCs w:val="18"/>
          <w:lang w:val="en-US"/>
        </w:rPr>
        <w:t xml:space="preserve"> Fisher Scientific.</w:t>
      </w:r>
    </w:p>
    <w:p w14:paraId="6DF57961" w14:textId="77777777" w:rsidR="005831B3" w:rsidRPr="00567B78" w:rsidRDefault="005831B3" w:rsidP="005831B3">
      <w:pPr>
        <w:spacing w:line="480" w:lineRule="auto"/>
        <w:rPr>
          <w:lang w:val="en-US"/>
        </w:rPr>
      </w:pPr>
    </w:p>
    <w:p w14:paraId="7D3E77B2" w14:textId="77777777" w:rsidR="005831B3" w:rsidRPr="00567B78" w:rsidRDefault="005831B3" w:rsidP="005831B3">
      <w:pPr>
        <w:spacing w:line="480" w:lineRule="auto"/>
        <w:rPr>
          <w:b/>
          <w:bCs/>
          <w:sz w:val="24"/>
          <w:szCs w:val="24"/>
          <w:lang w:val="en-US"/>
        </w:rPr>
      </w:pPr>
      <w:r w:rsidRPr="00567B78">
        <w:rPr>
          <w:b/>
          <w:bCs/>
          <w:i/>
          <w:iCs/>
          <w:sz w:val="24"/>
          <w:szCs w:val="24"/>
          <w:lang w:val="en-US"/>
        </w:rPr>
        <w:t>In vivo</w:t>
      </w:r>
      <w:r w:rsidRPr="00567B78">
        <w:rPr>
          <w:b/>
          <w:bCs/>
          <w:sz w:val="24"/>
          <w:szCs w:val="24"/>
          <w:lang w:val="en-US"/>
        </w:rPr>
        <w:t xml:space="preserve"> pharmacology (MC38 study)</w:t>
      </w:r>
    </w:p>
    <w:p w14:paraId="6082D26F" w14:textId="77777777" w:rsidR="005831B3" w:rsidRPr="00567B78" w:rsidRDefault="005831B3" w:rsidP="005831B3">
      <w:pPr>
        <w:spacing w:line="480" w:lineRule="auto"/>
        <w:rPr>
          <w:sz w:val="24"/>
          <w:szCs w:val="24"/>
          <w:lang w:val="en-US"/>
        </w:rPr>
      </w:pPr>
      <w:r w:rsidRPr="00B67FE3">
        <w:rPr>
          <w:i/>
          <w:iCs/>
          <w:sz w:val="24"/>
          <w:szCs w:val="24"/>
          <w:lang w:val="en-US"/>
        </w:rPr>
        <w:t>In vivo</w:t>
      </w:r>
      <w:r w:rsidRPr="00803A9E">
        <w:rPr>
          <w:sz w:val="24"/>
          <w:szCs w:val="24"/>
          <w:lang w:val="en-US"/>
        </w:rPr>
        <w:t xml:space="preserve"> passaging was initiated by transplanting fragments of cryo-preserved MC38 tumors of early passages (&lt;p5) subcutaneously into 6</w:t>
      </w:r>
      <w:r>
        <w:rPr>
          <w:sz w:val="24"/>
          <w:szCs w:val="24"/>
          <w:lang w:val="en-US"/>
        </w:rPr>
        <w:t>–</w:t>
      </w:r>
      <w:r w:rsidRPr="00803A9E">
        <w:rPr>
          <w:sz w:val="24"/>
          <w:szCs w:val="24"/>
          <w:lang w:val="en-US"/>
        </w:rPr>
        <w:t>8</w:t>
      </w:r>
      <w:r>
        <w:rPr>
          <w:sz w:val="24"/>
          <w:szCs w:val="24"/>
          <w:lang w:val="en-US"/>
        </w:rPr>
        <w:t>-</w:t>
      </w:r>
      <w:r w:rsidRPr="00803A9E">
        <w:rPr>
          <w:sz w:val="24"/>
          <w:szCs w:val="24"/>
          <w:lang w:val="en-US"/>
        </w:rPr>
        <w:t>week</w:t>
      </w:r>
      <w:r>
        <w:rPr>
          <w:sz w:val="24"/>
          <w:szCs w:val="24"/>
          <w:lang w:val="en-US"/>
        </w:rPr>
        <w:t>-</w:t>
      </w:r>
      <w:r w:rsidRPr="00803A9E">
        <w:rPr>
          <w:sz w:val="24"/>
          <w:szCs w:val="24"/>
          <w:lang w:val="en-US"/>
        </w:rPr>
        <w:t>old female C57BL/6 mice. Tumors were grown to a size of about 1000 mm</w:t>
      </w:r>
      <w:r w:rsidRPr="00803A9E">
        <w:rPr>
          <w:sz w:val="24"/>
          <w:szCs w:val="24"/>
          <w:vertAlign w:val="superscript"/>
          <w:lang w:val="en-US"/>
        </w:rPr>
        <w:t>3</w:t>
      </w:r>
      <w:r w:rsidRPr="00803A9E">
        <w:rPr>
          <w:sz w:val="24"/>
          <w:szCs w:val="24"/>
          <w:lang w:val="en-US"/>
        </w:rPr>
        <w:t>, excised, cut into fragments edging approximately 2 mm</w:t>
      </w:r>
      <w:r>
        <w:rPr>
          <w:sz w:val="24"/>
          <w:szCs w:val="24"/>
          <w:lang w:val="en-US"/>
        </w:rPr>
        <w:t xml:space="preserve">, </w:t>
      </w:r>
      <w:r w:rsidRPr="00803A9E">
        <w:rPr>
          <w:sz w:val="24"/>
          <w:szCs w:val="24"/>
          <w:lang w:val="en-US"/>
        </w:rPr>
        <w:t xml:space="preserve">and used for further passaging </w:t>
      </w:r>
      <w:r w:rsidRPr="0032504D">
        <w:rPr>
          <w:i/>
          <w:sz w:val="24"/>
          <w:szCs w:val="24"/>
          <w:lang w:val="en-US"/>
        </w:rPr>
        <w:t>in vivo</w:t>
      </w:r>
      <w:r w:rsidRPr="00803A9E">
        <w:rPr>
          <w:sz w:val="24"/>
          <w:szCs w:val="24"/>
          <w:lang w:val="en-US"/>
        </w:rPr>
        <w:t xml:space="preserve"> for a maximum of 10 passages. Necrotic areas were removed. For this study, small 2 mm MC38 tumor fragments derived from passage 7 tumors were transplanted subcutaneously into 6</w:t>
      </w:r>
      <w:r>
        <w:rPr>
          <w:rFonts w:cstheme="minorHAnsi"/>
          <w:sz w:val="24"/>
          <w:szCs w:val="24"/>
          <w:lang w:val="en-US"/>
        </w:rPr>
        <w:t>–</w:t>
      </w:r>
      <w:r w:rsidRPr="00803A9E">
        <w:rPr>
          <w:sz w:val="24"/>
          <w:szCs w:val="24"/>
          <w:lang w:val="en-US"/>
        </w:rPr>
        <w:t>8</w:t>
      </w:r>
      <w:r>
        <w:rPr>
          <w:sz w:val="24"/>
          <w:szCs w:val="24"/>
          <w:lang w:val="en-US"/>
        </w:rPr>
        <w:t>-</w:t>
      </w:r>
      <w:r w:rsidRPr="00803A9E">
        <w:rPr>
          <w:sz w:val="24"/>
          <w:szCs w:val="24"/>
          <w:lang w:val="en-US"/>
        </w:rPr>
        <w:t>week</w:t>
      </w:r>
      <w:r>
        <w:rPr>
          <w:sz w:val="24"/>
          <w:szCs w:val="24"/>
          <w:lang w:val="en-US"/>
        </w:rPr>
        <w:t>-</w:t>
      </w:r>
      <w:r w:rsidRPr="00803A9E">
        <w:rPr>
          <w:sz w:val="24"/>
          <w:szCs w:val="24"/>
          <w:lang w:val="en-US"/>
        </w:rPr>
        <w:t xml:space="preserve">old female C57BL/6 mice. </w:t>
      </w:r>
      <w:r w:rsidRPr="00567B78">
        <w:rPr>
          <w:sz w:val="24"/>
          <w:szCs w:val="24"/>
          <w:lang w:val="en-US"/>
        </w:rPr>
        <w:t xml:space="preserve">On </w:t>
      </w:r>
      <w:r>
        <w:rPr>
          <w:sz w:val="24"/>
          <w:szCs w:val="24"/>
          <w:lang w:val="en-US"/>
        </w:rPr>
        <w:t>d</w:t>
      </w:r>
      <w:r w:rsidRPr="00567B78">
        <w:rPr>
          <w:sz w:val="24"/>
          <w:szCs w:val="24"/>
          <w:lang w:val="en-US"/>
        </w:rPr>
        <w:t xml:space="preserve">ay 7, when tumors had reached volumes of approximately 100 mm³, tumor-bearing mice were </w:t>
      </w:r>
      <w:r w:rsidRPr="00567B78">
        <w:rPr>
          <w:sz w:val="24"/>
          <w:szCs w:val="24"/>
          <w:lang w:val="en-US"/>
        </w:rPr>
        <w:lastRenderedPageBreak/>
        <w:t>randomized to the untreated group U (</w:t>
      </w:r>
      <w:r w:rsidRPr="00567B78">
        <w:rPr>
          <w:i/>
          <w:iCs/>
          <w:sz w:val="24"/>
          <w:szCs w:val="24"/>
          <w:lang w:val="en-US"/>
        </w:rPr>
        <w:t>n</w:t>
      </w:r>
      <w:r w:rsidRPr="00567B78">
        <w:rPr>
          <w:sz w:val="24"/>
          <w:szCs w:val="24"/>
          <w:lang w:val="en-US"/>
        </w:rPr>
        <w:t>=6), the vehicle control group V1 (</w:t>
      </w:r>
      <w:r w:rsidRPr="00567B78">
        <w:rPr>
          <w:i/>
          <w:iCs/>
          <w:sz w:val="24"/>
          <w:szCs w:val="24"/>
          <w:lang w:val="en-US"/>
        </w:rPr>
        <w:t>n</w:t>
      </w:r>
      <w:r w:rsidRPr="00567B78">
        <w:rPr>
          <w:sz w:val="24"/>
          <w:szCs w:val="24"/>
          <w:lang w:val="en-US"/>
        </w:rPr>
        <w:t xml:space="preserve">=6), and treatment groups </w:t>
      </w:r>
      <w:proofErr w:type="gramStart"/>
      <w:r w:rsidRPr="00567B78">
        <w:rPr>
          <w:sz w:val="24"/>
          <w:szCs w:val="24"/>
          <w:lang w:val="en-US"/>
        </w:rPr>
        <w:t>REG(</w:t>
      </w:r>
      <w:proofErr w:type="gramEnd"/>
      <w:r w:rsidRPr="00567B78">
        <w:rPr>
          <w:sz w:val="24"/>
          <w:szCs w:val="24"/>
          <w:lang w:val="en-US"/>
        </w:rPr>
        <w:t>5) (</w:t>
      </w:r>
      <w:r w:rsidRPr="00567B78">
        <w:rPr>
          <w:i/>
          <w:iCs/>
          <w:sz w:val="24"/>
          <w:szCs w:val="24"/>
          <w:lang w:val="en-US"/>
        </w:rPr>
        <w:t>n</w:t>
      </w:r>
      <w:r w:rsidRPr="00567B78">
        <w:rPr>
          <w:sz w:val="24"/>
          <w:szCs w:val="24"/>
          <w:lang w:val="en-US"/>
        </w:rPr>
        <w:t>=6) and REG(10) (</w:t>
      </w:r>
      <w:r w:rsidRPr="00567B78">
        <w:rPr>
          <w:i/>
          <w:iCs/>
          <w:sz w:val="24"/>
          <w:szCs w:val="24"/>
          <w:lang w:val="en-US"/>
        </w:rPr>
        <w:t>n</w:t>
      </w:r>
      <w:r w:rsidRPr="00567B78">
        <w:rPr>
          <w:sz w:val="24"/>
          <w:szCs w:val="24"/>
          <w:lang w:val="en-US"/>
        </w:rPr>
        <w:t>=8). Treatment was started the same day and REG was administered at 5 mg/kg (</w:t>
      </w:r>
      <w:proofErr w:type="gramStart"/>
      <w:r w:rsidRPr="00567B78">
        <w:rPr>
          <w:sz w:val="24"/>
          <w:szCs w:val="24"/>
          <w:lang w:val="en-US"/>
        </w:rPr>
        <w:t>REG(</w:t>
      </w:r>
      <w:proofErr w:type="gramEnd"/>
      <w:r w:rsidRPr="00567B78">
        <w:rPr>
          <w:sz w:val="24"/>
          <w:szCs w:val="24"/>
          <w:lang w:val="en-US"/>
        </w:rPr>
        <w:t xml:space="preserve">5) or 10 mg/kg (REG(10) daily by oral gavage for up to 15 days. Blood and tumor samples were collected 24 h after 7 (all groups but U), 10 (groups U and V1), and 15 (all groups but V1) treatments. The </w:t>
      </w:r>
      <w:proofErr w:type="gramStart"/>
      <w:r w:rsidRPr="00567B78">
        <w:rPr>
          <w:sz w:val="24"/>
          <w:szCs w:val="24"/>
          <w:lang w:val="en-US"/>
        </w:rPr>
        <w:t>REG(</w:t>
      </w:r>
      <w:proofErr w:type="gramEnd"/>
      <w:r w:rsidRPr="00567B78">
        <w:rPr>
          <w:sz w:val="24"/>
          <w:szCs w:val="24"/>
          <w:lang w:val="en-US"/>
        </w:rPr>
        <w:t>5) study was performed separately and independent from the REG(10) study with the following modifications: REG was injected at 10 mL/kg and no sample was collected at 24 h after the penultimate dose.</w:t>
      </w:r>
    </w:p>
    <w:p w14:paraId="15CFE663" w14:textId="77777777" w:rsidR="005831B3" w:rsidRPr="00567B78" w:rsidRDefault="005831B3" w:rsidP="005831B3">
      <w:pPr>
        <w:spacing w:line="480" w:lineRule="auto"/>
        <w:rPr>
          <w:b/>
          <w:bCs/>
          <w:sz w:val="24"/>
          <w:szCs w:val="24"/>
          <w:lang w:val="en-US"/>
        </w:rPr>
      </w:pPr>
    </w:p>
    <w:p w14:paraId="63C61351" w14:textId="77777777" w:rsidR="005831B3" w:rsidRPr="00567B78" w:rsidRDefault="005831B3" w:rsidP="005831B3">
      <w:pPr>
        <w:spacing w:line="480" w:lineRule="auto"/>
        <w:rPr>
          <w:b/>
          <w:bCs/>
          <w:sz w:val="24"/>
          <w:szCs w:val="24"/>
          <w:lang w:val="en-US"/>
        </w:rPr>
      </w:pPr>
      <w:r w:rsidRPr="00567B78">
        <w:rPr>
          <w:b/>
          <w:bCs/>
          <w:sz w:val="24"/>
          <w:szCs w:val="24"/>
          <w:lang w:val="en-US"/>
        </w:rPr>
        <w:t>PK</w:t>
      </w:r>
    </w:p>
    <w:p w14:paraId="40E002D6" w14:textId="77777777" w:rsidR="005831B3" w:rsidRPr="00567B78" w:rsidRDefault="005831B3" w:rsidP="005831B3">
      <w:pPr>
        <w:spacing w:line="480" w:lineRule="auto"/>
        <w:rPr>
          <w:sz w:val="24"/>
          <w:szCs w:val="24"/>
          <w:lang w:val="en-US"/>
        </w:rPr>
      </w:pPr>
      <w:r w:rsidRPr="00567B78">
        <w:rPr>
          <w:sz w:val="24"/>
          <w:szCs w:val="24"/>
          <w:lang w:val="en-US"/>
        </w:rPr>
        <w:t>REG and its metabolites M-2, M-4, and M-5 were analyzed in plasma and tumor samples using validated bioanalytical liquid chromatography-tandem mass spectrometry methods according to an experimental protocol described earlier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  <w:lang w:val="en-US"/>
        </w:rPr>
        <w:instrText xml:space="preserve"> ADDIN EN.CITE &lt;EndNote&gt;&lt;Cite&gt;&lt;Author&gt;Hafner&lt;/Author&gt;&lt;Year&gt;2014&lt;/Year&gt;&lt;RecNum&gt;22&lt;/RecNum&gt;&lt;DisplayText&gt;(52)&lt;/DisplayText&gt;&lt;record&gt;&lt;rec-number&gt;22&lt;/rec-number&gt;&lt;foreign-keys&gt;&lt;key app="EN" db-id="r2xxr2et20005cet22kxarf4tapvzatttsse" timestamp="1649872150"&gt;22&lt;/key&gt;&lt;/foreign-keys&gt;&lt;ref-type name="Journal Article"&gt;17&lt;/ref-type&gt;&lt;contributors&gt;&lt;authors&gt;&lt;author&gt;Hafner, F. T.&lt;/author&gt;&lt;author&gt;Werner, D.&lt;/author&gt;&lt;author&gt;Kaiser, M.&lt;/author&gt;&lt;/authors&gt;&lt;/contributors&gt;&lt;auth-address&gt;Drug Metabolism &amp;amp; Pharmacokinetics, Pharmaceutical Research Center, Bayer HealthCare AG, Aprather Weg 18A, D-42096 Wuppertal, Germany.&lt;/auth-address&gt;&lt;titles&gt;&lt;title&gt;Determination of regorafenib (BAY 73-4506) and its major human metabolites BAY 75-7495 (M-2) and BAY 81-8752 (M-5) in human plasma by stable-isotope dilution liquid chromatography-tandem mass spectrometry&lt;/title&gt;&lt;secondary-title&gt;Bioanalysis&lt;/secondary-title&gt;&lt;/titles&gt;&lt;pages&gt;1923-37&lt;/pages&gt;&lt;volume&gt;6&lt;/volume&gt;&lt;number&gt;14&lt;/number&gt;&lt;keywords&gt;&lt;keyword&gt;Chromatography, High Pressure Liquid/*methods&lt;/keyword&gt;&lt;keyword&gt;Humans&lt;/keyword&gt;&lt;keyword&gt;Indicator Dilution Techniques&lt;/keyword&gt;&lt;keyword&gt;Isotopes/analysis&lt;/keyword&gt;&lt;keyword&gt;Limit of Detection&lt;/keyword&gt;&lt;keyword&gt;Male&lt;/keyword&gt;&lt;keyword&gt;Phenylurea Compounds/analysis/*blood/*metabolism&lt;/keyword&gt;&lt;keyword&gt;Protein Kinase Inhibitors/analysis/*blood/*metabolism&lt;/keyword&gt;&lt;keyword&gt;Pyridines/analysis/*blood/*metabolism&lt;/keyword&gt;&lt;keyword&gt;Tandem Mass Spectrometry/*methods&lt;/keyword&gt;&lt;/keywords&gt;&lt;dates&gt;&lt;year&gt;2014&lt;/year&gt;&lt;/dates&gt;&lt;isbn&gt;1757-6180&lt;/isbn&gt;&lt;accession-num&gt;25158964&lt;/accession-num&gt;&lt;urls&gt;&lt;/urls&gt;&lt;electronic-resource-num&gt;10.4155/bio.14.52&lt;/electronic-resource-num&gt;&lt;remote-database-provider&gt;NLM&lt;/remote-database-provider&gt;&lt;language&gt;eng&lt;/language&gt;&lt;/record&gt;&lt;/Cite&gt;&lt;/EndNote&gt;</w:instrText>
      </w:r>
      <w:r>
        <w:rPr>
          <w:sz w:val="24"/>
          <w:szCs w:val="24"/>
          <w:lang w:val="en-US"/>
        </w:rPr>
        <w:fldChar w:fldCharType="separate"/>
      </w:r>
      <w:r>
        <w:rPr>
          <w:noProof/>
          <w:sz w:val="24"/>
          <w:szCs w:val="24"/>
          <w:lang w:val="en-US"/>
        </w:rPr>
        <w:t>(52)</w:t>
      </w:r>
      <w:r>
        <w:rPr>
          <w:sz w:val="24"/>
          <w:szCs w:val="24"/>
          <w:lang w:val="en-US"/>
        </w:rPr>
        <w:fldChar w:fldCharType="end"/>
      </w:r>
      <w:r>
        <w:rPr>
          <w:sz w:val="24"/>
          <w:szCs w:val="24"/>
          <w:lang w:val="en-US"/>
        </w:rPr>
        <w:t xml:space="preserve">. </w:t>
      </w:r>
      <w:r w:rsidRPr="00567B78">
        <w:rPr>
          <w:sz w:val="24"/>
          <w:szCs w:val="24"/>
          <w:lang w:val="en-US"/>
        </w:rPr>
        <w:t xml:space="preserve">PK parameters, namely </w:t>
      </w:r>
      <w:proofErr w:type="gramStart"/>
      <w:r w:rsidRPr="00567B78">
        <w:rPr>
          <w:sz w:val="24"/>
          <w:szCs w:val="24"/>
          <w:lang w:val="en-US"/>
        </w:rPr>
        <w:t>AUC</w:t>
      </w:r>
      <w:r w:rsidRPr="00567B78">
        <w:rPr>
          <w:sz w:val="24"/>
          <w:szCs w:val="24"/>
          <w:vertAlign w:val="subscript"/>
          <w:lang w:val="en-US"/>
        </w:rPr>
        <w:t>(</w:t>
      </w:r>
      <w:proofErr w:type="gramEnd"/>
      <w:r w:rsidRPr="00567B78">
        <w:rPr>
          <w:sz w:val="24"/>
          <w:szCs w:val="24"/>
          <w:vertAlign w:val="subscript"/>
          <w:lang w:val="en-US"/>
        </w:rPr>
        <w:t>0–24)ss</w:t>
      </w:r>
      <w:r w:rsidRPr="00567B78">
        <w:rPr>
          <w:sz w:val="24"/>
          <w:szCs w:val="24"/>
          <w:lang w:val="en-US"/>
        </w:rPr>
        <w:t xml:space="preserve"> and </w:t>
      </w:r>
      <w:proofErr w:type="spellStart"/>
      <w:r w:rsidRPr="00567B78">
        <w:rPr>
          <w:sz w:val="24"/>
          <w:szCs w:val="24"/>
          <w:lang w:val="en-US"/>
        </w:rPr>
        <w:t>C</w:t>
      </w:r>
      <w:r w:rsidRPr="00567B78">
        <w:rPr>
          <w:sz w:val="24"/>
          <w:szCs w:val="24"/>
          <w:vertAlign w:val="subscript"/>
          <w:lang w:val="en-US"/>
        </w:rPr>
        <w:t>max</w:t>
      </w:r>
      <w:proofErr w:type="spellEnd"/>
      <w:r w:rsidRPr="00567B78">
        <w:rPr>
          <w:sz w:val="24"/>
          <w:szCs w:val="24"/>
          <w:lang w:val="en-US"/>
        </w:rPr>
        <w:t>, were calculated from plasma and tumor concentrations using a non-compartmental analysis.</w:t>
      </w:r>
    </w:p>
    <w:p w14:paraId="6CD9A19C" w14:textId="77777777" w:rsidR="005831B3" w:rsidRPr="00567B78" w:rsidRDefault="005831B3" w:rsidP="005831B3">
      <w:pPr>
        <w:spacing w:line="480" w:lineRule="auto"/>
        <w:rPr>
          <w:b/>
          <w:sz w:val="24"/>
          <w:szCs w:val="24"/>
          <w:lang w:val="en-US"/>
        </w:rPr>
      </w:pPr>
    </w:p>
    <w:p w14:paraId="7419BDA7" w14:textId="77777777" w:rsidR="005831B3" w:rsidRPr="00567B78" w:rsidRDefault="005831B3" w:rsidP="005831B3">
      <w:pPr>
        <w:spacing w:line="480" w:lineRule="auto"/>
        <w:rPr>
          <w:b/>
          <w:sz w:val="24"/>
          <w:szCs w:val="24"/>
          <w:lang w:val="en-US"/>
        </w:rPr>
      </w:pPr>
      <w:proofErr w:type="spellStart"/>
      <w:r w:rsidRPr="00567B78">
        <w:rPr>
          <w:b/>
          <w:sz w:val="24"/>
          <w:szCs w:val="24"/>
          <w:lang w:val="en-US"/>
        </w:rPr>
        <w:t>qRT</w:t>
      </w:r>
      <w:proofErr w:type="spellEnd"/>
      <w:r w:rsidRPr="00567B78">
        <w:rPr>
          <w:b/>
          <w:sz w:val="24"/>
          <w:szCs w:val="24"/>
          <w:lang w:val="en-US"/>
        </w:rPr>
        <w:t>-PCR</w:t>
      </w:r>
    </w:p>
    <w:p w14:paraId="1A8DA3BC" w14:textId="77777777" w:rsidR="005831B3" w:rsidRPr="00567B78" w:rsidRDefault="005831B3" w:rsidP="005831B3">
      <w:pPr>
        <w:spacing w:line="480" w:lineRule="auto"/>
        <w:rPr>
          <w:sz w:val="24"/>
          <w:szCs w:val="24"/>
          <w:lang w:val="en-US"/>
        </w:rPr>
      </w:pPr>
      <w:r w:rsidRPr="00567B78">
        <w:rPr>
          <w:sz w:val="24"/>
          <w:szCs w:val="24"/>
          <w:lang w:val="en-US"/>
        </w:rPr>
        <w:t xml:space="preserve">For mRNA expression analysis, snap-frozen tumor samples (20–30 mg, </w:t>
      </w:r>
      <w:r w:rsidRPr="00567B78">
        <w:rPr>
          <w:i/>
          <w:iCs/>
          <w:sz w:val="24"/>
          <w:szCs w:val="24"/>
          <w:lang w:val="en-US"/>
        </w:rPr>
        <w:t>n</w:t>
      </w:r>
      <w:r w:rsidRPr="00567B78">
        <w:rPr>
          <w:sz w:val="24"/>
          <w:szCs w:val="24"/>
          <w:lang w:val="en-US"/>
        </w:rPr>
        <w:t xml:space="preserve">=3 tumor samples/group) were homogenized in 400 µL RLT buffer using the </w:t>
      </w:r>
      <w:proofErr w:type="spellStart"/>
      <w:r w:rsidRPr="00567B78">
        <w:rPr>
          <w:sz w:val="24"/>
          <w:szCs w:val="24"/>
          <w:lang w:val="en-US"/>
        </w:rPr>
        <w:t>TissueLyser</w:t>
      </w:r>
      <w:proofErr w:type="spellEnd"/>
      <w:r w:rsidRPr="00567B78">
        <w:rPr>
          <w:sz w:val="24"/>
          <w:szCs w:val="24"/>
          <w:lang w:val="en-US"/>
        </w:rPr>
        <w:t xml:space="preserve"> (Qiagen), followed by total RNA extraction using the RNeasy Plus Mini Kit (Qiagen) and cDNA synthesis using the </w:t>
      </w:r>
      <w:proofErr w:type="spellStart"/>
      <w:r w:rsidRPr="00567B78">
        <w:rPr>
          <w:sz w:val="24"/>
          <w:szCs w:val="24"/>
          <w:lang w:val="en-US"/>
        </w:rPr>
        <w:t>SuperScript</w:t>
      </w:r>
      <w:proofErr w:type="spellEnd"/>
      <w:r>
        <w:rPr>
          <w:rFonts w:cstheme="minorHAnsi"/>
          <w:sz w:val="24"/>
          <w:szCs w:val="24"/>
          <w:lang w:val="en-US"/>
        </w:rPr>
        <w:t>™</w:t>
      </w:r>
      <w:r w:rsidRPr="00567B78">
        <w:rPr>
          <w:sz w:val="24"/>
          <w:szCs w:val="24"/>
          <w:lang w:val="en-US"/>
        </w:rPr>
        <w:t xml:space="preserve"> III First-Strand Synthesis </w:t>
      </w:r>
      <w:proofErr w:type="spellStart"/>
      <w:r w:rsidRPr="00567B78">
        <w:rPr>
          <w:sz w:val="24"/>
          <w:szCs w:val="24"/>
          <w:lang w:val="en-US"/>
        </w:rPr>
        <w:t>SuperMix</w:t>
      </w:r>
      <w:proofErr w:type="spellEnd"/>
      <w:r w:rsidRPr="00567B78">
        <w:rPr>
          <w:sz w:val="24"/>
          <w:szCs w:val="24"/>
          <w:lang w:val="en-US"/>
        </w:rPr>
        <w:t xml:space="preserve"> for </w:t>
      </w:r>
      <w:proofErr w:type="spellStart"/>
      <w:r w:rsidRPr="00567B78">
        <w:rPr>
          <w:sz w:val="24"/>
          <w:szCs w:val="24"/>
          <w:lang w:val="en-US"/>
        </w:rPr>
        <w:t>qRT</w:t>
      </w:r>
      <w:proofErr w:type="spellEnd"/>
      <w:r w:rsidRPr="00567B78">
        <w:rPr>
          <w:sz w:val="24"/>
          <w:szCs w:val="24"/>
          <w:lang w:val="en-US"/>
        </w:rPr>
        <w:t>-PCR (Invitrogen GmbH) following the manufacturer’s instructions. RNA concentrations were determined spectrophotometrically at 260 nm using a Nanodrop 2000 instrument (</w:t>
      </w:r>
      <w:proofErr w:type="spellStart"/>
      <w:r w:rsidRPr="00567B78">
        <w:rPr>
          <w:sz w:val="24"/>
          <w:szCs w:val="24"/>
          <w:lang w:val="en-US"/>
        </w:rPr>
        <w:t>Thermo</w:t>
      </w:r>
      <w:proofErr w:type="spellEnd"/>
      <w:r w:rsidRPr="00567B78">
        <w:rPr>
          <w:sz w:val="24"/>
          <w:szCs w:val="24"/>
          <w:lang w:val="en-US"/>
        </w:rPr>
        <w:t xml:space="preserve"> Fisher </w:t>
      </w:r>
      <w:r w:rsidRPr="00567B78">
        <w:rPr>
          <w:sz w:val="24"/>
          <w:szCs w:val="24"/>
          <w:lang w:val="en-US"/>
        </w:rPr>
        <w:lastRenderedPageBreak/>
        <w:t>Scientific) and its quality was assessed by the ratios of 260</w:t>
      </w:r>
      <w:r>
        <w:rPr>
          <w:sz w:val="24"/>
          <w:szCs w:val="24"/>
          <w:lang w:val="en-US"/>
        </w:rPr>
        <w:t xml:space="preserve"> </w:t>
      </w:r>
      <w:r w:rsidRPr="00567B78">
        <w:rPr>
          <w:sz w:val="24"/>
          <w:szCs w:val="24"/>
          <w:lang w:val="en-US"/>
        </w:rPr>
        <w:t>nm to 280</w:t>
      </w:r>
      <w:r>
        <w:rPr>
          <w:sz w:val="24"/>
          <w:szCs w:val="24"/>
          <w:lang w:val="en-US"/>
        </w:rPr>
        <w:t xml:space="preserve"> </w:t>
      </w:r>
      <w:r w:rsidRPr="00567B78">
        <w:rPr>
          <w:sz w:val="24"/>
          <w:szCs w:val="24"/>
          <w:lang w:val="en-US"/>
        </w:rPr>
        <w:t>nm and 230</w:t>
      </w:r>
      <w:r>
        <w:rPr>
          <w:sz w:val="24"/>
          <w:szCs w:val="24"/>
          <w:lang w:val="en-US"/>
        </w:rPr>
        <w:t xml:space="preserve"> </w:t>
      </w:r>
      <w:r w:rsidRPr="00567B78">
        <w:rPr>
          <w:sz w:val="24"/>
          <w:szCs w:val="24"/>
          <w:lang w:val="en-US"/>
        </w:rPr>
        <w:t xml:space="preserve">nm, respectively. Gene expression analysis was performed by </w:t>
      </w:r>
      <w:proofErr w:type="spellStart"/>
      <w:r w:rsidRPr="00567B78">
        <w:rPr>
          <w:sz w:val="24"/>
          <w:szCs w:val="24"/>
          <w:lang w:val="en-US"/>
        </w:rPr>
        <w:t>qRT</w:t>
      </w:r>
      <w:proofErr w:type="spellEnd"/>
      <w:r w:rsidRPr="00567B78">
        <w:rPr>
          <w:sz w:val="24"/>
          <w:szCs w:val="24"/>
          <w:lang w:val="en-US"/>
        </w:rPr>
        <w:t xml:space="preserve">-PCR in a 384-well plate (Micro-Amp® Optical 384-Well Reaction Plate, Applied Biosystems, </w:t>
      </w:r>
      <w:proofErr w:type="spellStart"/>
      <w:r w:rsidRPr="00567B78">
        <w:rPr>
          <w:sz w:val="24"/>
          <w:szCs w:val="24"/>
          <w:lang w:val="en-US"/>
        </w:rPr>
        <w:t>Thermo</w:t>
      </w:r>
      <w:proofErr w:type="spellEnd"/>
      <w:r w:rsidRPr="00567B78">
        <w:rPr>
          <w:sz w:val="24"/>
          <w:szCs w:val="24"/>
          <w:lang w:val="en-US"/>
        </w:rPr>
        <w:t xml:space="preserve"> Fisher Scientific) using a </w:t>
      </w:r>
      <w:proofErr w:type="spellStart"/>
      <w:r w:rsidRPr="00567B78">
        <w:rPr>
          <w:sz w:val="24"/>
          <w:szCs w:val="24"/>
          <w:lang w:val="en-US"/>
        </w:rPr>
        <w:t>ViiA</w:t>
      </w:r>
      <w:proofErr w:type="spellEnd"/>
      <w:r w:rsidRPr="00567B78">
        <w:rPr>
          <w:sz w:val="24"/>
          <w:szCs w:val="24"/>
          <w:lang w:val="en-US"/>
        </w:rPr>
        <w:t xml:space="preserve"> 7 Real-Time PCR System (Applied Biosystems). The TaqMan PCR reaction was prepared in 10 </w:t>
      </w:r>
      <w:proofErr w:type="spellStart"/>
      <w:r w:rsidRPr="00567B78">
        <w:rPr>
          <w:sz w:val="24"/>
          <w:szCs w:val="24"/>
          <w:lang w:val="en-US"/>
        </w:rPr>
        <w:t>μL</w:t>
      </w:r>
      <w:proofErr w:type="spellEnd"/>
      <w:r w:rsidRPr="00567B78">
        <w:rPr>
          <w:sz w:val="24"/>
          <w:szCs w:val="24"/>
          <w:lang w:val="en-US"/>
        </w:rPr>
        <w:t xml:space="preserve"> containing 10 ng cDNA and the primer and probes for the respective target genes and for GAPDH (</w:t>
      </w:r>
      <w:r w:rsidRPr="0032504D">
        <w:rPr>
          <w:b/>
          <w:bCs/>
          <w:sz w:val="24"/>
          <w:szCs w:val="24"/>
          <w:lang w:val="en-US"/>
        </w:rPr>
        <w:t>Table S2</w:t>
      </w:r>
      <w:r w:rsidRPr="0032504D">
        <w:rPr>
          <w:iCs/>
          <w:sz w:val="24"/>
          <w:szCs w:val="24"/>
          <w:lang w:val="en-US"/>
        </w:rPr>
        <w:t>)</w:t>
      </w:r>
      <w:r w:rsidRPr="006F503B">
        <w:rPr>
          <w:sz w:val="24"/>
          <w:szCs w:val="24"/>
          <w:lang w:val="en-US"/>
        </w:rPr>
        <w:t xml:space="preserve"> </w:t>
      </w:r>
      <w:r w:rsidRPr="00567B78">
        <w:rPr>
          <w:sz w:val="24"/>
          <w:szCs w:val="24"/>
          <w:lang w:val="en-US"/>
        </w:rPr>
        <w:t>using 2 × TaqMan Universal Master Mix (</w:t>
      </w:r>
      <w:proofErr w:type="spellStart"/>
      <w:r w:rsidRPr="00567B78">
        <w:rPr>
          <w:sz w:val="24"/>
          <w:szCs w:val="24"/>
          <w:lang w:val="en-US"/>
        </w:rPr>
        <w:t>Thermo</w:t>
      </w:r>
      <w:proofErr w:type="spellEnd"/>
      <w:r w:rsidRPr="00567B78">
        <w:rPr>
          <w:sz w:val="24"/>
          <w:szCs w:val="24"/>
          <w:lang w:val="en-US"/>
        </w:rPr>
        <w:t xml:space="preserve"> Fisher Scientific) following the manufacturer’s instructions. Relative mRNA expression was calculated using the </w:t>
      </w:r>
      <w:proofErr w:type="spellStart"/>
      <w:r w:rsidRPr="00567B78">
        <w:rPr>
          <w:sz w:val="24"/>
          <w:szCs w:val="24"/>
          <w:lang w:val="en-US"/>
        </w:rPr>
        <w:t>ΔΔCt</w:t>
      </w:r>
      <w:proofErr w:type="spellEnd"/>
      <w:r w:rsidRPr="00567B78">
        <w:rPr>
          <w:sz w:val="24"/>
          <w:szCs w:val="24"/>
          <w:lang w:val="en-US"/>
        </w:rPr>
        <w:t xml:space="preserve"> method and endogenous GAPDH mRNA expression as reference. </w:t>
      </w:r>
    </w:p>
    <w:p w14:paraId="46CF24B6" w14:textId="77777777" w:rsidR="005831B3" w:rsidRPr="00567B78" w:rsidRDefault="005831B3" w:rsidP="005831B3">
      <w:pPr>
        <w:spacing w:line="480" w:lineRule="auto"/>
        <w:rPr>
          <w:sz w:val="24"/>
          <w:szCs w:val="24"/>
          <w:lang w:val="en-US"/>
        </w:rPr>
      </w:pPr>
    </w:p>
    <w:p w14:paraId="13C0238D" w14:textId="77777777" w:rsidR="005831B3" w:rsidRPr="00567B78" w:rsidRDefault="005831B3" w:rsidP="005831B3">
      <w:pPr>
        <w:spacing w:line="480" w:lineRule="auto"/>
        <w:rPr>
          <w:b/>
          <w:bCs/>
          <w:sz w:val="24"/>
          <w:szCs w:val="24"/>
          <w:lang w:val="en-US"/>
        </w:rPr>
      </w:pPr>
      <w:r w:rsidRPr="00567B78">
        <w:rPr>
          <w:b/>
          <w:bCs/>
          <w:sz w:val="24"/>
          <w:szCs w:val="24"/>
          <w:lang w:val="en-US"/>
        </w:rPr>
        <w:t>Statistical analysis</w:t>
      </w:r>
    </w:p>
    <w:p w14:paraId="4D208BFF" w14:textId="77777777" w:rsidR="005831B3" w:rsidRPr="00567B78" w:rsidRDefault="005831B3" w:rsidP="005831B3">
      <w:pPr>
        <w:spacing w:line="480" w:lineRule="auto"/>
        <w:rPr>
          <w:sz w:val="24"/>
          <w:szCs w:val="24"/>
          <w:lang w:val="en-US"/>
        </w:rPr>
      </w:pPr>
      <w:r w:rsidRPr="2A6A9DE0">
        <w:rPr>
          <w:sz w:val="24"/>
          <w:szCs w:val="24"/>
          <w:lang w:val="en-US"/>
        </w:rPr>
        <w:t>The</w:t>
      </w:r>
      <w:r w:rsidRPr="00567B78">
        <w:rPr>
          <w:sz w:val="24"/>
          <w:szCs w:val="24"/>
          <w:lang w:val="en-US"/>
        </w:rPr>
        <w:t xml:space="preserve"> repeated-measurements </w:t>
      </w:r>
      <w:r w:rsidRPr="2A6A9DE0">
        <w:rPr>
          <w:sz w:val="24"/>
          <w:szCs w:val="24"/>
          <w:lang w:val="en-US"/>
        </w:rPr>
        <w:t>covariance pattern</w:t>
      </w:r>
      <w:r>
        <w:rPr>
          <w:sz w:val="24"/>
          <w:szCs w:val="24"/>
          <w:lang w:val="en-US"/>
        </w:rPr>
        <w:t xml:space="preserve"> </w:t>
      </w:r>
      <w:r w:rsidRPr="00567B78">
        <w:rPr>
          <w:sz w:val="24"/>
          <w:szCs w:val="24"/>
          <w:lang w:val="en-US"/>
        </w:rPr>
        <w:t>model fitted to the longitudinal tumor volume data</w:t>
      </w:r>
      <w:r w:rsidRPr="2A6A9DE0">
        <w:rPr>
          <w:sz w:val="24"/>
          <w:szCs w:val="24"/>
          <w:lang w:val="en-US"/>
        </w:rPr>
        <w:t xml:space="preserve"> is</w:t>
      </w:r>
      <w:r w:rsidRPr="00567B78">
        <w:rPr>
          <w:sz w:val="24"/>
          <w:szCs w:val="24"/>
          <w:lang w:val="en-US"/>
        </w:rPr>
        <w:t xml:space="preserve"> specified as follows: let </w:t>
      </w:r>
      <w:proofErr w:type="spellStart"/>
      <w:r w:rsidRPr="6FDEE1E0">
        <w:rPr>
          <w:sz w:val="24"/>
          <w:szCs w:val="24"/>
          <w:lang w:val="en-US"/>
        </w:rPr>
        <w:t>y</w:t>
      </w:r>
      <w:r w:rsidRPr="6FDEE1E0">
        <w:rPr>
          <w:i/>
          <w:iCs/>
          <w:sz w:val="24"/>
          <w:szCs w:val="24"/>
          <w:vertAlign w:val="subscript"/>
          <w:lang w:val="en-US"/>
        </w:rPr>
        <w:t>ikt</w:t>
      </w:r>
      <w:proofErr w:type="spellEnd"/>
      <w:r w:rsidRPr="00567B78">
        <w:rPr>
          <w:sz w:val="24"/>
          <w:szCs w:val="24"/>
          <w:lang w:val="en-US"/>
        </w:rPr>
        <w:t xml:space="preserve"> represent the logarithm (base 10) of the tumor volume, measured in animal </w:t>
      </w:r>
      <w:r w:rsidRPr="00F856A1">
        <w:rPr>
          <w:i/>
          <w:sz w:val="24"/>
          <w:lang w:val="en-US"/>
        </w:rPr>
        <w:t>i</w:t>
      </w:r>
      <w:r w:rsidRPr="00567B78">
        <w:rPr>
          <w:sz w:val="24"/>
          <w:szCs w:val="24"/>
          <w:lang w:val="en-US"/>
        </w:rPr>
        <w:t xml:space="preserve">, which belongs to treatment group </w:t>
      </w:r>
      <w:r w:rsidRPr="00F856A1">
        <w:rPr>
          <w:i/>
          <w:sz w:val="24"/>
          <w:lang w:val="en-US"/>
        </w:rPr>
        <w:t>k</w:t>
      </w:r>
      <w:r w:rsidRPr="00567B78">
        <w:rPr>
          <w:sz w:val="24"/>
          <w:szCs w:val="24"/>
          <w:lang w:val="en-US"/>
        </w:rPr>
        <w:t xml:space="preserve">, at time </w:t>
      </w:r>
      <w:r w:rsidRPr="00F856A1">
        <w:rPr>
          <w:i/>
          <w:sz w:val="24"/>
          <w:lang w:val="en-US"/>
        </w:rPr>
        <w:t>t</w:t>
      </w:r>
      <w:r w:rsidRPr="00567B78">
        <w:rPr>
          <w:sz w:val="24"/>
          <w:szCs w:val="24"/>
          <w:lang w:val="en-US"/>
        </w:rPr>
        <w:t>. To represent the dependence of the tumor volume on time, distinguished by treatment group, the following model was assumed:</w:t>
      </w:r>
    </w:p>
    <w:p w14:paraId="74A7A32E" w14:textId="77777777" w:rsidR="005831B3" w:rsidRPr="00F856A1" w:rsidRDefault="005831B3" w:rsidP="005831B3">
      <w:pPr>
        <w:spacing w:line="480" w:lineRule="auto"/>
        <w:rPr>
          <w:sz w:val="24"/>
          <w:lang w:val="en-US"/>
        </w:rPr>
      </w:pPr>
      <w:proofErr w:type="spellStart"/>
      <w:r w:rsidRPr="6FDEE1E0">
        <w:rPr>
          <w:sz w:val="24"/>
          <w:szCs w:val="24"/>
          <w:lang w:val="en-US"/>
        </w:rPr>
        <w:t>y</w:t>
      </w:r>
      <w:r w:rsidRPr="6FDEE1E0">
        <w:rPr>
          <w:i/>
          <w:iCs/>
          <w:sz w:val="24"/>
          <w:szCs w:val="24"/>
          <w:vertAlign w:val="subscript"/>
          <w:lang w:val="en-US"/>
        </w:rPr>
        <w:t>ikt</w:t>
      </w:r>
      <w:proofErr w:type="spellEnd"/>
      <w:r w:rsidRPr="6FDEE1E0">
        <w:rPr>
          <w:i/>
          <w:iCs/>
          <w:sz w:val="24"/>
          <w:szCs w:val="24"/>
          <w:lang w:val="en-US"/>
        </w:rPr>
        <w:t>=α + β</w:t>
      </w:r>
      <w:r w:rsidRPr="6FDEE1E0">
        <w:rPr>
          <w:rFonts w:ascii="Cambria Math" w:hAnsi="Cambria Math"/>
          <w:i/>
          <w:iCs/>
          <w:sz w:val="24"/>
          <w:szCs w:val="24"/>
          <w:lang w:val="en-US"/>
        </w:rPr>
        <w:t>⋅</w:t>
      </w:r>
      <w:r w:rsidRPr="6FDEE1E0">
        <w:rPr>
          <w:i/>
          <w:iCs/>
          <w:sz w:val="24"/>
          <w:szCs w:val="24"/>
          <w:lang w:val="en-US"/>
        </w:rPr>
        <w:t xml:space="preserve">t + </w:t>
      </w:r>
      <w:proofErr w:type="spellStart"/>
      <w:r w:rsidRPr="6FDEE1E0">
        <w:rPr>
          <w:rFonts w:ascii="Calibri" w:hAnsi="Calibri" w:cs="Calibri"/>
          <w:sz w:val="24"/>
          <w:szCs w:val="24"/>
          <w:lang w:val="en-US"/>
        </w:rPr>
        <w:t>γ</w:t>
      </w:r>
      <w:r w:rsidRPr="6FDEE1E0">
        <w:rPr>
          <w:rFonts w:ascii="Calibri" w:hAnsi="Calibri" w:cs="Calibri"/>
          <w:i/>
          <w:iCs/>
          <w:sz w:val="24"/>
          <w:szCs w:val="24"/>
          <w:vertAlign w:val="subscript"/>
          <w:lang w:val="en-US"/>
        </w:rPr>
        <w:t>k</w:t>
      </w:r>
      <w:r w:rsidRPr="6FDEE1E0">
        <w:rPr>
          <w:rFonts w:ascii="Cambria Math" w:hAnsi="Cambria Math"/>
          <w:i/>
          <w:iCs/>
          <w:sz w:val="24"/>
          <w:szCs w:val="24"/>
          <w:lang w:val="en-US"/>
        </w:rPr>
        <w:t>⋅</w:t>
      </w:r>
      <w:r w:rsidRPr="6FDEE1E0">
        <w:rPr>
          <w:i/>
          <w:iCs/>
          <w:sz w:val="24"/>
          <w:szCs w:val="24"/>
          <w:lang w:val="en-US"/>
        </w:rPr>
        <w:t>t</w:t>
      </w:r>
      <w:proofErr w:type="spellEnd"/>
      <w:r w:rsidRPr="6FDEE1E0">
        <w:rPr>
          <w:i/>
          <w:iCs/>
          <w:sz w:val="24"/>
          <w:szCs w:val="24"/>
          <w:lang w:val="en-US"/>
        </w:rPr>
        <w:t xml:space="preserve"> + </w:t>
      </w:r>
      <w:proofErr w:type="spellStart"/>
      <w:r w:rsidRPr="6FDEE1E0">
        <w:rPr>
          <w:sz w:val="24"/>
          <w:szCs w:val="24"/>
          <w:lang w:val="en-US"/>
        </w:rPr>
        <w:t>e</w:t>
      </w:r>
      <w:r w:rsidRPr="6FDEE1E0">
        <w:rPr>
          <w:i/>
          <w:iCs/>
          <w:sz w:val="24"/>
          <w:szCs w:val="24"/>
          <w:vertAlign w:val="subscript"/>
          <w:lang w:val="en-US"/>
        </w:rPr>
        <w:t>ikt</w:t>
      </w:r>
      <w:proofErr w:type="spellEnd"/>
    </w:p>
    <w:p w14:paraId="5E2C0AFA" w14:textId="77777777" w:rsidR="005831B3" w:rsidRPr="00567B78" w:rsidRDefault="005831B3" w:rsidP="005831B3">
      <w:pPr>
        <w:spacing w:line="480" w:lineRule="auto"/>
        <w:rPr>
          <w:sz w:val="24"/>
          <w:szCs w:val="24"/>
          <w:lang w:val="en-US"/>
        </w:rPr>
      </w:pPr>
      <w:r w:rsidRPr="6FDEE1E0">
        <w:rPr>
          <w:sz w:val="24"/>
          <w:szCs w:val="24"/>
          <w:lang w:val="en-US"/>
        </w:rPr>
        <w:t xml:space="preserve">with intercept </w:t>
      </w:r>
      <w:r w:rsidRPr="6FDEE1E0">
        <w:rPr>
          <w:i/>
          <w:iCs/>
          <w:sz w:val="24"/>
          <w:szCs w:val="24"/>
          <w:lang w:val="en-US"/>
        </w:rPr>
        <w:t>α</w:t>
      </w:r>
      <w:r w:rsidRPr="6FDEE1E0">
        <w:rPr>
          <w:sz w:val="24"/>
          <w:szCs w:val="24"/>
          <w:lang w:val="en-US"/>
        </w:rPr>
        <w:t xml:space="preserve">, overall slope </w:t>
      </w:r>
      <w:r w:rsidRPr="6FDEE1E0">
        <w:rPr>
          <w:i/>
          <w:iCs/>
          <w:sz w:val="24"/>
          <w:szCs w:val="24"/>
          <w:lang w:val="en-US"/>
        </w:rPr>
        <w:t>β</w:t>
      </w:r>
      <w:r w:rsidRPr="6FDEE1E0">
        <w:rPr>
          <w:sz w:val="24"/>
          <w:szCs w:val="24"/>
          <w:lang w:val="en-US"/>
        </w:rPr>
        <w:t xml:space="preserve">, group-specific slope </w:t>
      </w:r>
      <w:proofErr w:type="spellStart"/>
      <w:r w:rsidRPr="6FDEE1E0">
        <w:rPr>
          <w:rFonts w:ascii="Calibri" w:hAnsi="Calibri" w:cs="Calibri"/>
          <w:sz w:val="24"/>
          <w:szCs w:val="24"/>
          <w:lang w:val="en-US"/>
        </w:rPr>
        <w:t>γ</w:t>
      </w:r>
      <w:r w:rsidRPr="6FDEE1E0">
        <w:rPr>
          <w:rFonts w:ascii="Calibri" w:hAnsi="Calibri" w:cs="Calibri"/>
          <w:i/>
          <w:iCs/>
          <w:sz w:val="24"/>
          <w:szCs w:val="24"/>
          <w:vertAlign w:val="subscript"/>
          <w:lang w:val="en-US"/>
        </w:rPr>
        <w:t>k</w:t>
      </w:r>
      <w:proofErr w:type="spellEnd"/>
      <w:r w:rsidRPr="6FDEE1E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6FDEE1E0">
        <w:rPr>
          <w:sz w:val="24"/>
          <w:szCs w:val="24"/>
          <w:lang w:val="en-US"/>
        </w:rPr>
        <w:t xml:space="preserve">as well as random error </w:t>
      </w:r>
      <w:proofErr w:type="spellStart"/>
      <w:r w:rsidRPr="6FDEE1E0">
        <w:rPr>
          <w:sz w:val="24"/>
          <w:szCs w:val="24"/>
          <w:lang w:val="en-US"/>
        </w:rPr>
        <w:t>e</w:t>
      </w:r>
      <w:r w:rsidRPr="6FDEE1E0">
        <w:rPr>
          <w:i/>
          <w:iCs/>
          <w:sz w:val="24"/>
          <w:szCs w:val="24"/>
          <w:vertAlign w:val="subscript"/>
          <w:lang w:val="en-US"/>
        </w:rPr>
        <w:t>ikt</w:t>
      </w:r>
      <w:proofErr w:type="spellEnd"/>
      <w:r w:rsidRPr="6FDEE1E0">
        <w:rPr>
          <w:sz w:val="24"/>
          <w:szCs w:val="24"/>
          <w:lang w:val="en-US"/>
        </w:rPr>
        <w:t xml:space="preserve">. The covariance structure of the latter between observations from the same animal was assumed to be </w:t>
      </w:r>
      <w:proofErr w:type="spellStart"/>
      <w:proofErr w:type="gramStart"/>
      <w:r w:rsidRPr="6FDEE1E0">
        <w:rPr>
          <w:i/>
          <w:iCs/>
          <w:sz w:val="24"/>
          <w:szCs w:val="24"/>
          <w:lang w:val="en-US"/>
        </w:rPr>
        <w:t>Cov</w:t>
      </w:r>
      <w:proofErr w:type="spellEnd"/>
      <w:r w:rsidRPr="6FDEE1E0">
        <w:rPr>
          <w:i/>
          <w:iCs/>
          <w:sz w:val="24"/>
          <w:szCs w:val="24"/>
          <w:lang w:val="en-US"/>
        </w:rPr>
        <w:t>(</w:t>
      </w:r>
      <w:proofErr w:type="spellStart"/>
      <w:proofErr w:type="gramEnd"/>
      <w:r w:rsidRPr="6FDEE1E0">
        <w:rPr>
          <w:sz w:val="24"/>
          <w:szCs w:val="24"/>
          <w:lang w:val="en-US"/>
        </w:rPr>
        <w:t>e</w:t>
      </w:r>
      <w:r w:rsidRPr="6FDEE1E0">
        <w:rPr>
          <w:i/>
          <w:iCs/>
          <w:sz w:val="24"/>
          <w:szCs w:val="24"/>
          <w:vertAlign w:val="subscript"/>
          <w:lang w:val="en-US"/>
        </w:rPr>
        <w:t>ikt</w:t>
      </w:r>
      <w:proofErr w:type="spellEnd"/>
      <w:r w:rsidRPr="6FDEE1E0">
        <w:rPr>
          <w:i/>
          <w:iCs/>
          <w:sz w:val="24"/>
          <w:szCs w:val="24"/>
          <w:lang w:val="en-US"/>
        </w:rPr>
        <w:t xml:space="preserve">, </w:t>
      </w:r>
      <w:proofErr w:type="spellStart"/>
      <w:r w:rsidRPr="6FDEE1E0">
        <w:rPr>
          <w:sz w:val="24"/>
          <w:szCs w:val="24"/>
          <w:lang w:val="en-US"/>
        </w:rPr>
        <w:t>e</w:t>
      </w:r>
      <w:r w:rsidRPr="6FDEE1E0">
        <w:rPr>
          <w:i/>
          <w:iCs/>
          <w:sz w:val="24"/>
          <w:szCs w:val="24"/>
          <w:vertAlign w:val="subscript"/>
          <w:lang w:val="en-US"/>
        </w:rPr>
        <w:t>iks</w:t>
      </w:r>
      <w:proofErr w:type="spellEnd"/>
      <w:r w:rsidRPr="6FDEE1E0">
        <w:rPr>
          <w:i/>
          <w:iCs/>
          <w:sz w:val="24"/>
          <w:szCs w:val="24"/>
          <w:lang w:val="en-US"/>
        </w:rPr>
        <w:t>)=</w:t>
      </w:r>
      <w:r w:rsidRPr="6FDEE1E0">
        <w:rPr>
          <w:sz w:val="24"/>
          <w:szCs w:val="24"/>
          <w:lang w:val="en-US"/>
        </w:rPr>
        <w:t xml:space="preserve"> σ</w:t>
      </w:r>
      <w:r w:rsidRPr="6FDEE1E0">
        <w:rPr>
          <w:i/>
          <w:iCs/>
          <w:sz w:val="24"/>
          <w:szCs w:val="24"/>
          <w:vertAlign w:val="superscript"/>
          <w:lang w:val="en-US"/>
        </w:rPr>
        <w:t>2</w:t>
      </w:r>
      <w:r w:rsidRPr="6FDEE1E0">
        <w:rPr>
          <w:rFonts w:ascii="Cambria Math" w:hAnsi="Cambria Math"/>
          <w:i/>
          <w:iCs/>
          <w:sz w:val="24"/>
          <w:szCs w:val="24"/>
          <w:lang w:val="en-US"/>
        </w:rPr>
        <w:t>⋅</w:t>
      </w:r>
      <w:r w:rsidRPr="6FDEE1E0">
        <w:rPr>
          <w:rFonts w:ascii="Calibri" w:hAnsi="Calibri"/>
          <w:i/>
          <w:iCs/>
          <w:sz w:val="24"/>
          <w:szCs w:val="24"/>
          <w:lang w:val="en-US"/>
        </w:rPr>
        <w:t>ρ</w:t>
      </w:r>
      <w:r w:rsidRPr="6FDEE1E0">
        <w:rPr>
          <w:i/>
          <w:iCs/>
          <w:sz w:val="24"/>
          <w:szCs w:val="24"/>
          <w:vertAlign w:val="superscript"/>
          <w:lang w:val="en-US"/>
        </w:rPr>
        <w:t>d(</w:t>
      </w:r>
      <w:proofErr w:type="spellStart"/>
      <w:r w:rsidRPr="6FDEE1E0">
        <w:rPr>
          <w:i/>
          <w:iCs/>
          <w:sz w:val="24"/>
          <w:szCs w:val="24"/>
          <w:vertAlign w:val="superscript"/>
          <w:lang w:val="en-US"/>
        </w:rPr>
        <w:t>t,s</w:t>
      </w:r>
      <w:proofErr w:type="spellEnd"/>
      <w:r w:rsidRPr="6FDEE1E0">
        <w:rPr>
          <w:i/>
          <w:iCs/>
          <w:sz w:val="24"/>
          <w:szCs w:val="24"/>
          <w:vertAlign w:val="superscript"/>
          <w:lang w:val="en-US"/>
        </w:rPr>
        <w:t>)</w:t>
      </w:r>
      <w:r w:rsidRPr="6FDEE1E0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r w:rsidRPr="00567B78">
        <w:rPr>
          <w:sz w:val="24"/>
          <w:szCs w:val="24"/>
          <w:lang w:val="en-US"/>
        </w:rPr>
        <w:t xml:space="preserve">with variance parameter </w:t>
      </w:r>
      <w:r w:rsidRPr="00F856A1">
        <w:rPr>
          <w:rFonts w:ascii="Calibri" w:hAnsi="Calibri"/>
          <w:i/>
          <w:sz w:val="24"/>
          <w:lang w:val="en-US"/>
        </w:rPr>
        <w:t>σ</w:t>
      </w:r>
      <w:r w:rsidRPr="00F856A1">
        <w:rPr>
          <w:i/>
          <w:sz w:val="24"/>
          <w:vertAlign w:val="superscript"/>
          <w:lang w:val="en-US"/>
        </w:rPr>
        <w:t>2</w:t>
      </w:r>
      <w:r w:rsidRPr="00F856A1">
        <w:rPr>
          <w:i/>
          <w:sz w:val="24"/>
          <w:lang w:val="en-US"/>
        </w:rPr>
        <w:t>&gt;0</w:t>
      </w:r>
      <w:r w:rsidRPr="00567B78">
        <w:rPr>
          <w:sz w:val="24"/>
          <w:szCs w:val="24"/>
          <w:lang w:val="en-US"/>
        </w:rPr>
        <w:t xml:space="preserve">, correlation parameter </w:t>
      </w:r>
      <w:r w:rsidRPr="00F856A1">
        <w:rPr>
          <w:i/>
          <w:sz w:val="24"/>
          <w:lang w:val="en-US"/>
        </w:rPr>
        <w:t>0&lt;</w:t>
      </w:r>
      <w:r w:rsidRPr="00F856A1">
        <w:rPr>
          <w:rFonts w:ascii="Calibri" w:hAnsi="Calibri"/>
          <w:i/>
          <w:sz w:val="24"/>
          <w:lang w:val="en-US"/>
        </w:rPr>
        <w:t>ρ</w:t>
      </w:r>
      <w:r w:rsidRPr="00F856A1">
        <w:rPr>
          <w:i/>
          <w:sz w:val="24"/>
          <w:lang w:val="en-US"/>
        </w:rPr>
        <w:t>&lt;1</w:t>
      </w:r>
      <w:r w:rsidRPr="00567B78">
        <w:rPr>
          <w:sz w:val="24"/>
          <w:szCs w:val="24"/>
          <w:lang w:val="en-US"/>
        </w:rPr>
        <w:t xml:space="preserve">, and temporal distance </w:t>
      </w:r>
      <w:r w:rsidRPr="00F856A1">
        <w:rPr>
          <w:i/>
          <w:sz w:val="24"/>
          <w:lang w:val="en-US"/>
        </w:rPr>
        <w:t>d(</w:t>
      </w:r>
      <w:proofErr w:type="spellStart"/>
      <w:r w:rsidRPr="00F856A1">
        <w:rPr>
          <w:i/>
          <w:sz w:val="24"/>
          <w:lang w:val="en-US"/>
        </w:rPr>
        <w:t>t,s</w:t>
      </w:r>
      <w:proofErr w:type="spellEnd"/>
      <w:r w:rsidRPr="00F856A1">
        <w:rPr>
          <w:i/>
          <w:sz w:val="24"/>
          <w:lang w:val="en-US"/>
        </w:rPr>
        <w:t>)</w:t>
      </w:r>
      <w:r w:rsidRPr="00567B78">
        <w:rPr>
          <w:sz w:val="24"/>
          <w:szCs w:val="24"/>
          <w:lang w:val="en-US"/>
        </w:rPr>
        <w:t xml:space="preserve"> between the measurements. No correlation was assumed between observations from different animals. Finally, the contrast </w:t>
      </w:r>
      <w:proofErr w:type="spellStart"/>
      <w:r w:rsidRPr="00F856A1">
        <w:rPr>
          <w:i/>
          <w:sz w:val="24"/>
          <w:lang w:val="en-US"/>
        </w:rPr>
        <w:t>γ</w:t>
      </w:r>
      <w:r w:rsidRPr="00F856A1">
        <w:rPr>
          <w:i/>
          <w:sz w:val="24"/>
          <w:vertAlign w:val="subscript"/>
          <w:lang w:val="en-US"/>
        </w:rPr>
        <w:t>k</w:t>
      </w:r>
      <w:r w:rsidRPr="00F856A1">
        <w:rPr>
          <w:i/>
          <w:sz w:val="24"/>
          <w:lang w:val="en-US"/>
        </w:rPr>
        <w:t>-γ</w:t>
      </w:r>
      <w:r w:rsidRPr="00F856A1">
        <w:rPr>
          <w:i/>
          <w:sz w:val="24"/>
          <w:vertAlign w:val="subscript"/>
          <w:lang w:val="en-US"/>
        </w:rPr>
        <w:t>l</w:t>
      </w:r>
      <w:proofErr w:type="spellEnd"/>
      <w:r w:rsidRPr="00F856A1">
        <w:rPr>
          <w:i/>
          <w:sz w:val="24"/>
          <w:lang w:val="en-US"/>
        </w:rPr>
        <w:t xml:space="preserve"> </w:t>
      </w:r>
      <w:r w:rsidRPr="00567B78">
        <w:rPr>
          <w:sz w:val="24"/>
          <w:szCs w:val="24"/>
          <w:lang w:val="en-US"/>
        </w:rPr>
        <w:t xml:space="preserve">between growth </w:t>
      </w:r>
      <w:r w:rsidRPr="00567B78">
        <w:rPr>
          <w:sz w:val="24"/>
          <w:szCs w:val="24"/>
          <w:lang w:val="en-US"/>
        </w:rPr>
        <w:lastRenderedPageBreak/>
        <w:t>slopes of treatment groups k and l was evaluated and the null-hypothesis</w:t>
      </w:r>
      <w:r w:rsidRPr="2A6A9DE0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2A6A9DE0">
        <w:rPr>
          <w:i/>
          <w:iCs/>
          <w:sz w:val="24"/>
          <w:szCs w:val="24"/>
          <w:lang w:val="en-US"/>
        </w:rPr>
        <w:t>γ</w:t>
      </w:r>
      <w:r w:rsidRPr="2A6A9DE0">
        <w:rPr>
          <w:i/>
          <w:iCs/>
          <w:sz w:val="24"/>
          <w:szCs w:val="24"/>
          <w:vertAlign w:val="subscript"/>
          <w:lang w:val="en-US"/>
        </w:rPr>
        <w:t>k</w:t>
      </w:r>
      <w:r w:rsidRPr="2A6A9DE0">
        <w:rPr>
          <w:i/>
          <w:iCs/>
          <w:sz w:val="24"/>
          <w:szCs w:val="24"/>
          <w:lang w:val="en-US"/>
        </w:rPr>
        <w:t>-γ</w:t>
      </w:r>
      <w:r w:rsidRPr="2A6A9DE0">
        <w:rPr>
          <w:i/>
          <w:iCs/>
          <w:sz w:val="24"/>
          <w:szCs w:val="24"/>
          <w:vertAlign w:val="subscript"/>
          <w:lang w:val="en-US"/>
        </w:rPr>
        <w:t>l</w:t>
      </w:r>
      <w:proofErr w:type="spellEnd"/>
      <w:r w:rsidRPr="2A6A9DE0">
        <w:rPr>
          <w:i/>
          <w:iCs/>
          <w:sz w:val="24"/>
          <w:szCs w:val="24"/>
          <w:lang w:val="en-US"/>
        </w:rPr>
        <w:t xml:space="preserve"> </w:t>
      </w:r>
      <w:r w:rsidRPr="00F856A1">
        <w:rPr>
          <w:i/>
          <w:sz w:val="24"/>
          <w:lang w:val="en-US"/>
        </w:rPr>
        <w:t xml:space="preserve">=0 </w:t>
      </w:r>
      <w:r w:rsidRPr="00567B78">
        <w:rPr>
          <w:sz w:val="24"/>
          <w:szCs w:val="24"/>
          <w:lang w:val="en-US"/>
        </w:rPr>
        <w:t xml:space="preserve">was tested, </w:t>
      </w:r>
      <w:r>
        <w:rPr>
          <w:sz w:val="24"/>
          <w:szCs w:val="24"/>
          <w:lang w:val="en-US"/>
        </w:rPr>
        <w:t>that is</w:t>
      </w:r>
      <w:r w:rsidRPr="00567B78">
        <w:rPr>
          <w:sz w:val="24"/>
          <w:szCs w:val="24"/>
          <w:lang w:val="en-US"/>
        </w:rPr>
        <w:t>, the average log-tumor volume growth rate is the same in both groups.</w:t>
      </w:r>
    </w:p>
    <w:p w14:paraId="5AAE0EFB" w14:textId="77777777" w:rsidR="005831B3" w:rsidRPr="00567B78" w:rsidRDefault="005831B3" w:rsidP="005831B3">
      <w:pPr>
        <w:spacing w:line="480" w:lineRule="auto"/>
        <w:rPr>
          <w:sz w:val="24"/>
          <w:szCs w:val="24"/>
          <w:lang w:val="en-US"/>
        </w:rPr>
      </w:pPr>
      <w:r w:rsidRPr="00567B78">
        <w:rPr>
          <w:sz w:val="24"/>
          <w:szCs w:val="24"/>
          <w:lang w:val="en-US"/>
        </w:rPr>
        <w:t xml:space="preserve">A two-sided </w:t>
      </w:r>
      <w:r w:rsidRPr="0032504D">
        <w:rPr>
          <w:i/>
          <w:sz w:val="24"/>
          <w:szCs w:val="24"/>
          <w:lang w:val="en-US"/>
        </w:rPr>
        <w:t>t</w:t>
      </w:r>
      <w:r w:rsidRPr="00567B78">
        <w:rPr>
          <w:sz w:val="24"/>
          <w:szCs w:val="24"/>
          <w:lang w:val="en-US"/>
        </w:rPr>
        <w:t xml:space="preserve">-test was conducted to evaluate the difference in transcript frequency, analyzed by </w:t>
      </w:r>
      <w:proofErr w:type="spellStart"/>
      <w:r w:rsidRPr="00567B78">
        <w:rPr>
          <w:sz w:val="24"/>
          <w:szCs w:val="24"/>
          <w:lang w:val="en-US"/>
        </w:rPr>
        <w:t>qRT</w:t>
      </w:r>
      <w:proofErr w:type="spellEnd"/>
      <w:r w:rsidRPr="00567B78">
        <w:rPr>
          <w:sz w:val="24"/>
          <w:szCs w:val="24"/>
          <w:lang w:val="en-US"/>
        </w:rPr>
        <w:t>-PCR, for a selection of genes of interest from three CT26 tumors</w:t>
      </w:r>
      <w:r>
        <w:rPr>
          <w:sz w:val="24"/>
          <w:szCs w:val="24"/>
          <w:lang w:val="en-US"/>
        </w:rPr>
        <w:t xml:space="preserve"> in </w:t>
      </w:r>
      <w:r w:rsidRPr="00567B78">
        <w:rPr>
          <w:sz w:val="24"/>
          <w:szCs w:val="24"/>
          <w:lang w:val="en-US"/>
        </w:rPr>
        <w:t>each of the vehicle group</w:t>
      </w:r>
      <w:r>
        <w:rPr>
          <w:sz w:val="24"/>
          <w:szCs w:val="24"/>
          <w:lang w:val="en-US"/>
        </w:rPr>
        <w:t>s</w:t>
      </w:r>
      <w:r w:rsidRPr="00567B78">
        <w:rPr>
          <w:sz w:val="24"/>
          <w:szCs w:val="24"/>
          <w:lang w:val="en-US"/>
        </w:rPr>
        <w:t xml:space="preserve"> at 24 h after the penultimate treatment</w:t>
      </w:r>
      <w:r>
        <w:rPr>
          <w:sz w:val="24"/>
          <w:szCs w:val="24"/>
          <w:lang w:val="en-US"/>
        </w:rPr>
        <w:t>,</w:t>
      </w:r>
      <w:r w:rsidRPr="00567B78">
        <w:rPr>
          <w:sz w:val="24"/>
          <w:szCs w:val="24"/>
          <w:lang w:val="en-US"/>
        </w:rPr>
        <w:t xml:space="preserve"> and the REG(V1) group at 24 h after the penultimate and ultimate treatments.</w:t>
      </w:r>
    </w:p>
    <w:p w14:paraId="3A371049" w14:textId="77777777" w:rsidR="005831B3" w:rsidRPr="00B26EEE" w:rsidRDefault="005831B3" w:rsidP="005C2B08">
      <w:pPr>
        <w:spacing w:line="480" w:lineRule="auto"/>
        <w:rPr>
          <w:sz w:val="24"/>
          <w:szCs w:val="24"/>
          <w:lang w:val="en-US"/>
        </w:rPr>
      </w:pPr>
    </w:p>
    <w:p w14:paraId="76AAF0AD" w14:textId="77777777" w:rsidR="00E84D12" w:rsidRDefault="00E84D12"/>
    <w:sectPr w:rsidR="00E84D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08"/>
    <w:rsid w:val="0002689B"/>
    <w:rsid w:val="005831B3"/>
    <w:rsid w:val="005C2B08"/>
    <w:rsid w:val="00DA21CD"/>
    <w:rsid w:val="00E84D12"/>
    <w:rsid w:val="00F5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C5AEC"/>
  <w15:chartTrackingRefBased/>
  <w15:docId w15:val="{70A2272C-202C-418E-919E-30A990A4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B08"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B08"/>
    <w:pPr>
      <w:spacing w:line="480" w:lineRule="auto"/>
      <w:outlineLvl w:val="0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B08"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1061</Words>
  <Characters>6053</Characters>
  <Application>Microsoft Office Word</Application>
  <DocSecurity>0</DocSecurity>
  <Lines>50</Lines>
  <Paragraphs>14</Paragraphs>
  <ScaleCrop>false</ScaleCrop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Simren Gill</dc:creator>
  <cp:keywords/>
  <dc:description/>
  <cp:lastModifiedBy>Victoria Jones</cp:lastModifiedBy>
  <cp:revision>5</cp:revision>
  <dcterms:created xsi:type="dcterms:W3CDTF">2022-09-26T09:55:00Z</dcterms:created>
  <dcterms:modified xsi:type="dcterms:W3CDTF">2022-09-26T10:06:00Z</dcterms:modified>
</cp:coreProperties>
</file>